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79F259F2" w14:textId="77777777">
        <w:trPr>
          <w:cantSplit/>
        </w:trPr>
        <w:tc>
          <w:tcPr>
            <w:tcW w:w="6911" w:type="dxa"/>
          </w:tcPr>
          <w:p w14:paraId="53AE5202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618D047F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6EBCC303" wp14:editId="5A924499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4EF1B41A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17182A3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AAD8C71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5F272D3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9971640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43D4FB2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2B4DC1F1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7CFE70BE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48381A17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2 to</w:t>
            </w:r>
            <w:r>
              <w:rPr>
                <w:rFonts w:ascii="Verdana" w:hAnsi="Verdana"/>
                <w:b/>
                <w:sz w:val="20"/>
              </w:rPr>
              <w:br/>
              <w:t>Document 11(Add.19)(Add.3)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2B66ACB7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1160F5E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26587AAB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13 September 2019</w:t>
            </w:r>
          </w:p>
        </w:tc>
      </w:tr>
      <w:tr w:rsidR="00A066F1" w:rsidRPr="00C324A8" w14:paraId="42FAC2DA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CFCC3F8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27F6D29E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  <w:r w:rsidR="00BD26F8">
              <w:rPr>
                <w:rFonts w:ascii="Verdana" w:hAnsi="Verdana"/>
                <w:b/>
                <w:sz w:val="20"/>
              </w:rPr>
              <w:t>/Spanish</w:t>
            </w:r>
          </w:p>
        </w:tc>
      </w:tr>
      <w:tr w:rsidR="00A066F1" w:rsidRPr="00C324A8" w14:paraId="31F073C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911FBAA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3EC725A7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095D2DC" w14:textId="77777777" w:rsidR="00E55816" w:rsidRDefault="00884D60" w:rsidP="00E55816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E55816" w:rsidRPr="00C324A8" w14:paraId="0176C96C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8FC4883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0D2E8A8E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519E337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2B8BF234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D8612CC" w14:textId="77777777" w:rsidR="00A538A6" w:rsidRDefault="004B13CB" w:rsidP="004B13CB">
            <w:pPr>
              <w:pStyle w:val="Agendaitem"/>
            </w:pPr>
            <w:r>
              <w:t>Agenda item 7(C)</w:t>
            </w:r>
          </w:p>
        </w:tc>
      </w:tr>
    </w:tbl>
    <w:bookmarkEnd w:id="5"/>
    <w:bookmarkEnd w:id="6"/>
    <w:p w14:paraId="32D7836B" w14:textId="77777777" w:rsidR="005118F7" w:rsidRPr="00EC5386" w:rsidRDefault="00BD26F8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7</w:t>
      </w:r>
      <w:r w:rsidRPr="00656311">
        <w:rPr>
          <w:lang w:val="en-US"/>
        </w:rPr>
        <w:tab/>
        <w:t>to consider possible changes, and other opt</w:t>
      </w:r>
      <w:r>
        <w:rPr>
          <w:lang w:val="en-US"/>
        </w:rPr>
        <w:t>ions, in response to Resolution 86 (Rev. </w:t>
      </w:r>
      <w:r w:rsidRPr="00656311">
        <w:rPr>
          <w:lang w:val="en-US"/>
        </w:rPr>
        <w:t xml:space="preserve">Marrakesh, 2002) of the Plenipotentiary Conference, an advance publication, coordination, notification and recording procedures for frequency assignments pertaining to satellite networks, in accordance with Resolution </w:t>
      </w:r>
      <w:r w:rsidRPr="00656311">
        <w:rPr>
          <w:b/>
          <w:bCs/>
          <w:lang w:val="en-US"/>
        </w:rPr>
        <w:t>86 (Rev.WRC-07)</w:t>
      </w:r>
      <w:r w:rsidRPr="00656311">
        <w:rPr>
          <w:lang w:val="en-US"/>
        </w:rPr>
        <w:t>, in order to facilitate rational, efficient and economical use of radio frequencies and any associated orbits, including the geostationary-satellite orbit;</w:t>
      </w:r>
    </w:p>
    <w:p w14:paraId="10D96123" w14:textId="589E5D40" w:rsidR="005118F7" w:rsidRPr="00EC5386" w:rsidRDefault="00BD26F8" w:rsidP="00D01CF4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7(C)</w:t>
      </w:r>
      <w:r w:rsidRPr="00656311">
        <w:rPr>
          <w:lang w:val="en-US"/>
        </w:rPr>
        <w:tab/>
      </w:r>
      <w:r w:rsidRPr="00D01BF9">
        <w:t>Issue C</w:t>
      </w:r>
      <w:r w:rsidR="008A54D3" w:rsidRPr="008A54D3">
        <w:t xml:space="preserve"> - </w:t>
      </w:r>
      <w:r w:rsidRPr="00D01BF9">
        <w:t>Issues for which consensus was achieved in ITU-R</w:t>
      </w:r>
      <w:r>
        <w:t xml:space="preserve"> </w:t>
      </w:r>
      <w:r w:rsidRPr="00667985">
        <w:rPr>
          <w:lang w:val="en-US"/>
        </w:rPr>
        <w:t>and a single method has been identified</w:t>
      </w:r>
    </w:p>
    <w:p w14:paraId="7E703734" w14:textId="77777777" w:rsidR="00BD26F8" w:rsidRPr="000B26F0" w:rsidRDefault="00BD26F8" w:rsidP="00BD26F8">
      <w:pPr>
        <w:rPr>
          <w:lang w:val="en-US"/>
        </w:rPr>
      </w:pPr>
      <w:r w:rsidRPr="000B26F0">
        <w:rPr>
          <w:lang w:val="en-US"/>
        </w:rPr>
        <w:t>Issue C is a collection of several different topics that are viewed as being straightforward and for which consensus was readily achieved within ITU-R. The issues address such things as resolving inconsistencies in regulatory provisions, clarifying certain existing practices, or increasing transparency in the regulatory process.</w:t>
      </w:r>
    </w:p>
    <w:p w14:paraId="3202CEA3" w14:textId="77777777" w:rsidR="00BD26F8" w:rsidRPr="000B26F0" w:rsidRDefault="00BD26F8" w:rsidP="00BD26F8">
      <w:pPr>
        <w:pStyle w:val="Title4"/>
        <w:rPr>
          <w:lang w:val="en-US"/>
        </w:rPr>
      </w:pPr>
      <w:bookmarkStart w:id="7" w:name="_GoBack"/>
      <w:r w:rsidRPr="000B26F0">
        <w:rPr>
          <w:lang w:val="en-US"/>
        </w:rPr>
        <w:t>Issue C2</w:t>
      </w:r>
    </w:p>
    <w:bookmarkEnd w:id="7"/>
    <w:p w14:paraId="30BE09B9" w14:textId="483F5941" w:rsidR="00BD26F8" w:rsidRPr="006D41AB" w:rsidRDefault="00BD26F8" w:rsidP="00BD26F8">
      <w:pPr>
        <w:pStyle w:val="Headingb"/>
        <w:rPr>
          <w:lang w:val="en-GB"/>
        </w:rPr>
      </w:pPr>
      <w:r w:rsidRPr="006D41AB">
        <w:rPr>
          <w:lang w:val="en-GB"/>
        </w:rPr>
        <w:t>B</w:t>
      </w:r>
      <w:r w:rsidR="0017424D" w:rsidRPr="006D41AB">
        <w:rPr>
          <w:lang w:val="en-GB"/>
        </w:rPr>
        <w:t>ackground</w:t>
      </w:r>
    </w:p>
    <w:p w14:paraId="0587D521" w14:textId="1BD0E59C" w:rsidR="00BD26F8" w:rsidRPr="000B26F0" w:rsidRDefault="00BD26F8" w:rsidP="00BD26F8">
      <w:pPr>
        <w:rPr>
          <w:lang w:val="en-US"/>
        </w:rPr>
      </w:pPr>
      <w:r w:rsidRPr="000B26F0">
        <w:rPr>
          <w:lang w:val="en-US"/>
        </w:rPr>
        <w:t xml:space="preserve">RR Appendix </w:t>
      </w:r>
      <w:r w:rsidRPr="006D41AB">
        <w:rPr>
          <w:b/>
          <w:lang w:val="en-US"/>
        </w:rPr>
        <w:t>30B</w:t>
      </w:r>
      <w:r w:rsidRPr="000B26F0">
        <w:rPr>
          <w:lang w:val="en-US"/>
        </w:rPr>
        <w:t xml:space="preserve"> consists of two blocks/sub-bands of 250 MHz each in 10-11 GHz frequency range, i.e. 10.70-10.95 GHz, 11.2-11.45 GHz for the downlink and 12.75-13.0 GHz, 13.0-13.25</w:t>
      </w:r>
      <w:r w:rsidR="0017424D">
        <w:rPr>
          <w:lang w:val="en-US"/>
        </w:rPr>
        <w:t> </w:t>
      </w:r>
      <w:r w:rsidRPr="000B26F0">
        <w:rPr>
          <w:lang w:val="en-US"/>
        </w:rPr>
        <w:t xml:space="preserve">GHz for the uplink. Submission from administrations when applying Article 6 of RR Appendix </w:t>
      </w:r>
      <w:r w:rsidRPr="006D41AB">
        <w:rPr>
          <w:b/>
          <w:lang w:val="en-US"/>
        </w:rPr>
        <w:t>30B</w:t>
      </w:r>
      <w:r w:rsidRPr="000B26F0">
        <w:rPr>
          <w:lang w:val="en-US"/>
        </w:rPr>
        <w:t xml:space="preserve"> for additional use usually covers both blocks/sub-bands of 250 MHz as mentioned above or may only submit either of the two blocks for additional use, or while successfully applying Article 6 for the two blocks/sub bands, when applying Article 8 only bring into use one block/sub-band of 11/13 GHz.</w:t>
      </w:r>
    </w:p>
    <w:p w14:paraId="4707FB13" w14:textId="77777777" w:rsidR="00BD26F8" w:rsidRPr="000B26F0" w:rsidRDefault="00BD26F8" w:rsidP="00BD26F8">
      <w:pPr>
        <w:rPr>
          <w:lang w:val="en-US"/>
        </w:rPr>
      </w:pPr>
      <w:r w:rsidRPr="000B26F0">
        <w:rPr>
          <w:lang w:val="en-US"/>
        </w:rPr>
        <w:t xml:space="preserve">There is no provision in RR Appendix </w:t>
      </w:r>
      <w:r w:rsidRPr="006D41AB">
        <w:rPr>
          <w:b/>
          <w:lang w:val="en-US"/>
        </w:rPr>
        <w:t>30B</w:t>
      </w:r>
      <w:r w:rsidRPr="000B26F0">
        <w:rPr>
          <w:lang w:val="en-US"/>
        </w:rPr>
        <w:t xml:space="preserve"> prohibiting, strictly speaking, an Administration from submitting an application for one of the blocks/sub-bands in an explicit submission. However, there is no specific provision authorizing that application when submitting RR Appendix </w:t>
      </w:r>
      <w:r w:rsidRPr="006D41AB">
        <w:rPr>
          <w:b/>
          <w:lang w:val="en-US"/>
        </w:rPr>
        <w:t>4</w:t>
      </w:r>
      <w:r w:rsidRPr="000B26F0">
        <w:rPr>
          <w:lang w:val="en-US"/>
        </w:rPr>
        <w:t xml:space="preserve"> for either of the blocks/sub-bands. </w:t>
      </w:r>
    </w:p>
    <w:p w14:paraId="1837E890" w14:textId="77777777" w:rsidR="00BD26F8" w:rsidRPr="000B26F0" w:rsidRDefault="006D41AB" w:rsidP="00BD26F8">
      <w:pPr>
        <w:rPr>
          <w:lang w:val="en-US"/>
        </w:rPr>
      </w:pPr>
      <w:r w:rsidRPr="006D41AB">
        <w:rPr>
          <w:lang w:val="en-US"/>
        </w:rPr>
        <w:lastRenderedPageBreak/>
        <w:t xml:space="preserve">In response to this problem, ITU-R developed the Report of the CPM with a unique approach to this issue, which is to add a footnote to paragraph 6.1 of Article 6 of RR Appendix </w:t>
      </w:r>
      <w:r w:rsidRPr="006D41AB">
        <w:rPr>
          <w:b/>
          <w:bCs/>
          <w:lang w:val="en-US"/>
        </w:rPr>
        <w:t>30B</w:t>
      </w:r>
      <w:r w:rsidRPr="006D41AB">
        <w:rPr>
          <w:lang w:val="en-US"/>
        </w:rPr>
        <w:t>, to allow:</w:t>
      </w:r>
    </w:p>
    <w:p w14:paraId="33E19BED" w14:textId="77777777" w:rsidR="00BD26F8" w:rsidRPr="000B26F0" w:rsidRDefault="00BD26F8" w:rsidP="00BD26F8">
      <w:pPr>
        <w:pStyle w:val="enumlev1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r w:rsidRPr="000B26F0">
        <w:rPr>
          <w:lang w:val="en-US"/>
        </w:rPr>
        <w:t xml:space="preserve">Submit, in accordance with </w:t>
      </w:r>
      <w:r w:rsidR="006D41AB" w:rsidRPr="000B26F0">
        <w:rPr>
          <w:lang w:val="en-US"/>
        </w:rPr>
        <w:t>p</w:t>
      </w:r>
      <w:r w:rsidRPr="000B26F0">
        <w:rPr>
          <w:lang w:val="en-US"/>
        </w:rPr>
        <w:t>aragraph 6.1, an additional use for the two blocks/sub-bands in 10-11 GHz, but only put into service one of the blocks/sub-bands, or</w:t>
      </w:r>
    </w:p>
    <w:p w14:paraId="7127B51A" w14:textId="77777777" w:rsidR="00BD26F8" w:rsidRPr="000B26F0" w:rsidRDefault="00BD26F8" w:rsidP="00BD26F8">
      <w:pPr>
        <w:pStyle w:val="enumlev1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 w:rsidRPr="000B26F0">
        <w:rPr>
          <w:lang w:val="en-US"/>
        </w:rPr>
        <w:t xml:space="preserve">Submit, in accordance with </w:t>
      </w:r>
      <w:r w:rsidR="006D41AB" w:rsidRPr="000B26F0">
        <w:rPr>
          <w:lang w:val="en-US"/>
        </w:rPr>
        <w:t>p</w:t>
      </w:r>
      <w:r w:rsidRPr="000B26F0">
        <w:rPr>
          <w:lang w:val="en-US"/>
        </w:rPr>
        <w:t>aragraph 6.1, an additional use for only one of the two blocks/sub-bands in 10-11 GHz, and notify and put into service that block/sub-band;</w:t>
      </w:r>
    </w:p>
    <w:p w14:paraId="1B5B96C4" w14:textId="77777777" w:rsidR="00BD26F8" w:rsidRPr="000B26F0" w:rsidRDefault="00BD26F8" w:rsidP="00BD26F8">
      <w:pPr>
        <w:pStyle w:val="enumlev1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</w:r>
      <w:r w:rsidRPr="000B26F0">
        <w:rPr>
          <w:lang w:val="en-US"/>
        </w:rPr>
        <w:t>Enable the Bureau, by applying Article 6, to process the application according to its submission, that is, to process the two blocks/sub-bands or process one of the two blocks/sub-bands and continue processing the application as received;</w:t>
      </w:r>
    </w:p>
    <w:p w14:paraId="23B39B78" w14:textId="77777777" w:rsidR="00BD26F8" w:rsidRPr="000B26F0" w:rsidRDefault="00BD26F8" w:rsidP="00BD26F8">
      <w:pPr>
        <w:pStyle w:val="enumlev1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</w:r>
      <w:r w:rsidRPr="000B26F0">
        <w:rPr>
          <w:lang w:val="en-US"/>
        </w:rPr>
        <w:t>Enable the Bureau, by applying Article 8, to process only one of the two blocks/sub-bands, although the two blocks/sub-bands have been requested by an administration under Article 6 or has been successfully coordinated under Article 6 but only one block/sub-band has been put into use.</w:t>
      </w:r>
    </w:p>
    <w:p w14:paraId="3C602243" w14:textId="77777777" w:rsidR="00241FA2" w:rsidRDefault="00BD26F8" w:rsidP="00BD26F8">
      <w:r w:rsidRPr="000B26F0">
        <w:rPr>
          <w:lang w:val="en-US"/>
        </w:rPr>
        <w:t>It is proposed to apply the additions to the Radio Regulations according to the single method proposed by the ITU-R.</w:t>
      </w:r>
    </w:p>
    <w:p w14:paraId="4F0F2BBF" w14:textId="77777777" w:rsidR="00187BD9" w:rsidRPr="00BD26F8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D26F8">
        <w:br w:type="page"/>
      </w:r>
    </w:p>
    <w:p w14:paraId="140E1C33" w14:textId="77777777" w:rsidR="006C04ED" w:rsidRPr="00B819B9" w:rsidRDefault="00BD26F8" w:rsidP="000735D2">
      <w:pPr>
        <w:pStyle w:val="AppendixNo"/>
        <w:rPr>
          <w:lang w:val="en-US"/>
        </w:rPr>
      </w:pPr>
      <w:bookmarkStart w:id="8" w:name="_Toc454787492"/>
      <w:r w:rsidRPr="00B819B9">
        <w:rPr>
          <w:lang w:val="en-US"/>
        </w:rPr>
        <w:lastRenderedPageBreak/>
        <w:t xml:space="preserve">APPENDIX </w:t>
      </w:r>
      <w:r w:rsidRPr="0051167E">
        <w:rPr>
          <w:rStyle w:val="href"/>
        </w:rPr>
        <w:t>30B</w:t>
      </w:r>
      <w:r w:rsidRPr="00B819B9">
        <w:rPr>
          <w:lang w:val="en-US"/>
        </w:rPr>
        <w:t xml:space="preserve"> (</w:t>
      </w:r>
      <w:r w:rsidRPr="00354DCE">
        <w:t>REV</w:t>
      </w:r>
      <w:r w:rsidRPr="00B819B9">
        <w:rPr>
          <w:lang w:val="en-US"/>
        </w:rPr>
        <w:t>.</w:t>
      </w:r>
      <w:r>
        <w:rPr>
          <w:lang w:val="en-US"/>
        </w:rPr>
        <w:t>WRC</w:t>
      </w:r>
      <w:r>
        <w:rPr>
          <w:lang w:val="en-US"/>
        </w:rPr>
        <w:noBreakHyphen/>
        <w:t>15</w:t>
      </w:r>
      <w:r w:rsidRPr="00B819B9">
        <w:rPr>
          <w:lang w:val="en-US"/>
        </w:rPr>
        <w:t>)</w:t>
      </w:r>
      <w:bookmarkEnd w:id="8"/>
    </w:p>
    <w:p w14:paraId="7C5C93E2" w14:textId="77777777" w:rsidR="006C04ED" w:rsidRPr="00C01EDF" w:rsidRDefault="00BD26F8" w:rsidP="001F0862">
      <w:pPr>
        <w:pStyle w:val="Appendixtitle"/>
        <w:rPr>
          <w:lang w:val="en-US"/>
        </w:rPr>
      </w:pPr>
      <w:bookmarkStart w:id="9" w:name="_Toc330560572"/>
      <w:bookmarkStart w:id="10" w:name="_Toc454787493"/>
      <w:r w:rsidRPr="00C01EDF">
        <w:rPr>
          <w:lang w:val="en-US"/>
        </w:rPr>
        <w:t>Provisions and associated Plan for the fixed</w:t>
      </w:r>
      <w:r>
        <w:rPr>
          <w:lang w:val="en-US"/>
        </w:rPr>
        <w:t>-</w:t>
      </w:r>
      <w:r w:rsidRPr="00C01EDF">
        <w:rPr>
          <w:lang w:val="en-US"/>
        </w:rPr>
        <w:t>satellite service</w:t>
      </w:r>
      <w:r w:rsidRPr="00C01EDF">
        <w:rPr>
          <w:lang w:val="en-US"/>
        </w:rPr>
        <w:br/>
        <w:t>in the frequency bands 4</w:t>
      </w:r>
      <w:r w:rsidRPr="00B819B9">
        <w:rPr>
          <w:lang w:val="en-US"/>
        </w:rPr>
        <w:t> </w:t>
      </w:r>
      <w:r>
        <w:rPr>
          <w:lang w:val="en-US"/>
        </w:rPr>
        <w:t>500-</w:t>
      </w:r>
      <w:r w:rsidRPr="00C01EDF">
        <w:rPr>
          <w:lang w:val="en-US"/>
        </w:rPr>
        <w:t>4</w:t>
      </w:r>
      <w:r w:rsidRPr="00B819B9">
        <w:rPr>
          <w:lang w:val="en-US"/>
        </w:rPr>
        <w:t> </w:t>
      </w:r>
      <w:r w:rsidRPr="00C01EDF">
        <w:rPr>
          <w:lang w:val="en-US"/>
        </w:rPr>
        <w:t>800</w:t>
      </w:r>
      <w:r>
        <w:rPr>
          <w:lang w:val="en-US"/>
        </w:rPr>
        <w:t> MHz</w:t>
      </w:r>
      <w:r w:rsidRPr="00C01EDF">
        <w:rPr>
          <w:lang w:val="en-US"/>
        </w:rPr>
        <w:t>, 6</w:t>
      </w:r>
      <w:r w:rsidRPr="00B819B9">
        <w:rPr>
          <w:lang w:val="en-US"/>
        </w:rPr>
        <w:t> </w:t>
      </w:r>
      <w:r w:rsidRPr="00C01EDF">
        <w:rPr>
          <w:lang w:val="en-US"/>
        </w:rPr>
        <w:t>725</w:t>
      </w:r>
      <w:r>
        <w:rPr>
          <w:lang w:val="en-US"/>
        </w:rPr>
        <w:t>-</w:t>
      </w:r>
      <w:r w:rsidRPr="00C01EDF">
        <w:rPr>
          <w:lang w:val="en-US"/>
        </w:rPr>
        <w:t>7</w:t>
      </w:r>
      <w:r w:rsidRPr="00B819B9">
        <w:rPr>
          <w:lang w:val="en-US"/>
        </w:rPr>
        <w:t> </w:t>
      </w:r>
      <w:r w:rsidRPr="00C01EDF">
        <w:rPr>
          <w:lang w:val="en-US"/>
        </w:rPr>
        <w:t>025</w:t>
      </w:r>
      <w:r>
        <w:rPr>
          <w:lang w:val="en-US"/>
        </w:rPr>
        <w:t> MHz</w:t>
      </w:r>
      <w:r w:rsidRPr="00C01EDF">
        <w:rPr>
          <w:lang w:val="en-US"/>
        </w:rPr>
        <w:t>,</w:t>
      </w:r>
      <w:r w:rsidRPr="00C01EDF">
        <w:rPr>
          <w:lang w:val="en-US"/>
        </w:rPr>
        <w:br/>
        <w:t>10.70</w:t>
      </w:r>
      <w:r>
        <w:rPr>
          <w:lang w:val="en-US"/>
        </w:rPr>
        <w:t>-</w:t>
      </w:r>
      <w:r w:rsidRPr="00C01EDF">
        <w:rPr>
          <w:lang w:val="en-US"/>
        </w:rPr>
        <w:t>10.95</w:t>
      </w:r>
      <w:r>
        <w:rPr>
          <w:lang w:val="en-US"/>
        </w:rPr>
        <w:t> GHz</w:t>
      </w:r>
      <w:r w:rsidRPr="00C01EDF">
        <w:rPr>
          <w:lang w:val="en-US"/>
        </w:rPr>
        <w:t>, 11.2</w:t>
      </w:r>
      <w:r>
        <w:rPr>
          <w:lang w:val="en-US"/>
        </w:rPr>
        <w:t>0-</w:t>
      </w:r>
      <w:r w:rsidRPr="00C01EDF">
        <w:rPr>
          <w:lang w:val="en-US"/>
        </w:rPr>
        <w:t>11.45</w:t>
      </w:r>
      <w:r>
        <w:rPr>
          <w:lang w:val="en-US"/>
        </w:rPr>
        <w:t> GHz</w:t>
      </w:r>
      <w:r w:rsidRPr="00C01EDF">
        <w:rPr>
          <w:lang w:val="en-US"/>
        </w:rPr>
        <w:t xml:space="preserve"> and 12.75</w:t>
      </w:r>
      <w:r>
        <w:rPr>
          <w:lang w:val="en-US"/>
        </w:rPr>
        <w:t>-</w:t>
      </w:r>
      <w:r w:rsidRPr="00C01EDF">
        <w:rPr>
          <w:lang w:val="en-US"/>
        </w:rPr>
        <w:t>13.25</w:t>
      </w:r>
      <w:r>
        <w:rPr>
          <w:lang w:val="en-US"/>
        </w:rPr>
        <w:t> GHz</w:t>
      </w:r>
      <w:bookmarkEnd w:id="9"/>
      <w:bookmarkEnd w:id="10"/>
    </w:p>
    <w:p w14:paraId="06A2509F" w14:textId="77777777" w:rsidR="006C04ED" w:rsidRPr="00BD26F8" w:rsidRDefault="00BD26F8" w:rsidP="00CE1DCA">
      <w:pPr>
        <w:pStyle w:val="AppArtNo"/>
      </w:pPr>
      <w:r w:rsidRPr="00BD26F8">
        <w:t>ARTICLE 6</w:t>
      </w:r>
      <w:r w:rsidRPr="00BD26F8">
        <w:rPr>
          <w:caps w:val="0"/>
          <w:sz w:val="16"/>
          <w:szCs w:val="16"/>
        </w:rPr>
        <w:t>     (REV.WRC</w:t>
      </w:r>
      <w:r w:rsidRPr="00BD26F8">
        <w:rPr>
          <w:caps w:val="0"/>
          <w:sz w:val="16"/>
          <w:szCs w:val="16"/>
        </w:rPr>
        <w:noBreakHyphen/>
        <w:t>15)</w:t>
      </w:r>
    </w:p>
    <w:p w14:paraId="1BFB9FA2" w14:textId="77777777" w:rsidR="006C04ED" w:rsidRPr="00C01EDF" w:rsidRDefault="00BD26F8" w:rsidP="00904559">
      <w:pPr>
        <w:pStyle w:val="AppArttitle"/>
        <w:keepNext w:val="0"/>
        <w:keepLines w:val="0"/>
        <w:rPr>
          <w:lang w:val="en-US"/>
        </w:rPr>
      </w:pPr>
      <w:r w:rsidRPr="00C01EDF">
        <w:rPr>
          <w:lang w:val="en-US"/>
        </w:rPr>
        <w:t>Procedures for the conversion of an allotment into an assignment, for</w:t>
      </w:r>
      <w:r w:rsidRPr="00C01EDF">
        <w:rPr>
          <w:lang w:val="en-US"/>
        </w:rPr>
        <w:br/>
        <w:t>the introduction of an additional system or for the modification of</w:t>
      </w:r>
      <w:r w:rsidRPr="00C01EDF">
        <w:rPr>
          <w:lang w:val="en-US"/>
        </w:rPr>
        <w:br/>
        <w:t>an assignment in the List</w:t>
      </w:r>
      <w:r w:rsidRPr="00BD26F8">
        <w:rPr>
          <w:rStyle w:val="FootnoteReference"/>
          <w:b w:val="0"/>
        </w:rPr>
        <w:t>1, 2</w:t>
      </w:r>
      <w:r w:rsidRPr="000735D2">
        <w:rPr>
          <w:b w:val="0"/>
          <w:bCs/>
          <w:sz w:val="16"/>
          <w:szCs w:val="16"/>
          <w:lang w:val="en-US"/>
        </w:rPr>
        <w:t>     (WRC</w:t>
      </w:r>
      <w:r w:rsidRPr="000735D2">
        <w:rPr>
          <w:b w:val="0"/>
          <w:bCs/>
          <w:sz w:val="16"/>
          <w:szCs w:val="16"/>
          <w:lang w:val="en-US"/>
        </w:rPr>
        <w:noBreakHyphen/>
      </w:r>
      <w:r>
        <w:rPr>
          <w:b w:val="0"/>
          <w:bCs/>
          <w:sz w:val="16"/>
          <w:szCs w:val="16"/>
          <w:lang w:val="en-US"/>
        </w:rPr>
        <w:t>15</w:t>
      </w:r>
      <w:r w:rsidRPr="000735D2">
        <w:rPr>
          <w:b w:val="0"/>
          <w:bCs/>
          <w:sz w:val="16"/>
          <w:szCs w:val="16"/>
          <w:lang w:val="en-US"/>
        </w:rPr>
        <w:t>)</w:t>
      </w:r>
    </w:p>
    <w:p w14:paraId="1F27C25A" w14:textId="77777777" w:rsidR="00C51E7B" w:rsidRDefault="00BD26F8">
      <w:pPr>
        <w:pStyle w:val="Proposal"/>
      </w:pPr>
      <w:r>
        <w:t>ADD</w:t>
      </w:r>
      <w:r>
        <w:tab/>
        <w:t>IAP/11A19A3A2/1</w:t>
      </w:r>
      <w:r>
        <w:rPr>
          <w:vanish/>
          <w:color w:val="7F7F7F" w:themeColor="text1" w:themeTint="80"/>
          <w:vertAlign w:val="superscript"/>
        </w:rPr>
        <w:t>#50067</w:t>
      </w:r>
    </w:p>
    <w:p w14:paraId="5357A886" w14:textId="77777777" w:rsidR="001962A2" w:rsidRPr="0042498F" w:rsidRDefault="00BD26F8" w:rsidP="00130FDA">
      <w:r w:rsidRPr="000B26F0">
        <w:rPr>
          <w:rStyle w:val="Provsplit"/>
        </w:rPr>
        <w:t>6.1</w:t>
      </w:r>
      <w:r w:rsidRPr="000B26F0">
        <w:rPr>
          <w:rStyle w:val="Provsplit"/>
          <w:i/>
          <w:iCs/>
        </w:rPr>
        <w:t>bis</w:t>
      </w:r>
      <w:r w:rsidRPr="000B26F0">
        <w:rPr>
          <w:b/>
          <w:bCs/>
        </w:rPr>
        <w:tab/>
      </w:r>
      <w:r w:rsidRPr="000B26F0">
        <w:t>Administrations, in submitting an additional use under paragraph 6.1 of Appendix </w:t>
      </w:r>
      <w:r w:rsidRPr="000B26F0">
        <w:rPr>
          <w:b/>
          <w:bCs/>
        </w:rPr>
        <w:t>30B</w:t>
      </w:r>
      <w:r w:rsidRPr="000B26F0">
        <w:t>,</w:t>
      </w:r>
      <w:r w:rsidRPr="000B26F0">
        <w:rPr>
          <w:b/>
          <w:bCs/>
        </w:rPr>
        <w:t xml:space="preserve"> </w:t>
      </w:r>
      <w:r w:rsidRPr="000B26F0">
        <w:t>may submit the information specified in Appendix </w:t>
      </w:r>
      <w:r w:rsidRPr="000B26F0">
        <w:rPr>
          <w:b/>
          <w:bCs/>
        </w:rPr>
        <w:t>4</w:t>
      </w:r>
      <w:r w:rsidRPr="000B26F0">
        <w:t xml:space="preserve"> for both blocks/sub-bands each with 250 MHz (10.7-10.95 GHz or 11.2-11.45 GHz for downlink and 12.75-13.0 GHz or 13.0-13.25 GHz for uplink)</w:t>
      </w:r>
      <w:r w:rsidRPr="000B26F0">
        <w:rPr>
          <w:b/>
        </w:rPr>
        <w:t xml:space="preserve"> </w:t>
      </w:r>
      <w:r w:rsidRPr="000B26F0">
        <w:t>and notify under Article 8 and bring into use only one of the two blocks/sub-bands each with 250 MHz (10.7-10.95 GHz or 11.2-11.45 GHz for downlink and 12.75-13.0 GHz or 13.0-13.25 GHz for uplink)</w:t>
      </w:r>
      <w:r w:rsidRPr="000B26F0">
        <w:rPr>
          <w:b/>
        </w:rPr>
        <w:t xml:space="preserve"> </w:t>
      </w:r>
      <w:r w:rsidRPr="000B26F0">
        <w:t>or submit under paragraph 6.1 either of the two blocks/sub-bands each with 250 MHz (10.7-10.95 GHz or 11.2-11.45 GHz for downlink and 12.75-13.0 GHz or 13.0-13.25 GHz for uplink) and notify and bring into use under Article 8 that block/sub-band. The Bureau shall process that block/sub-band as it has been submitted under Article 6 and shall apply Article 8 for that notified and brought into use block/sub-band and cancel the other block/sub-band from its database.</w:t>
      </w:r>
      <w:r w:rsidRPr="0042498F">
        <w:rPr>
          <w:sz w:val="16"/>
          <w:szCs w:val="16"/>
        </w:rPr>
        <w:t>     (WRC</w:t>
      </w:r>
      <w:r w:rsidRPr="0042498F">
        <w:rPr>
          <w:sz w:val="16"/>
          <w:szCs w:val="16"/>
        </w:rPr>
        <w:noBreakHyphen/>
        <w:t>19)</w:t>
      </w:r>
    </w:p>
    <w:p w14:paraId="64E8EE80" w14:textId="456E5E7B" w:rsidR="00C51E7B" w:rsidRDefault="00BD26F8">
      <w:pPr>
        <w:pStyle w:val="Reasons"/>
      </w:pPr>
      <w:r>
        <w:rPr>
          <w:b/>
        </w:rPr>
        <w:t>Reasons:</w:t>
      </w:r>
      <w:r>
        <w:tab/>
      </w:r>
      <w:r w:rsidR="00044716">
        <w:rPr>
          <w:lang w:val="en-US"/>
        </w:rPr>
        <w:t>A</w:t>
      </w:r>
      <w:r w:rsidRPr="000B26F0">
        <w:rPr>
          <w:lang w:val="en-US"/>
        </w:rPr>
        <w:t>dditions are required to update the Radio Regulations in accordance with existing practices between administrations in the application procedures for additional use and/or putting into service a block/sub-band of 250 MHz in 11-13 GHz according to their needs.</w:t>
      </w:r>
    </w:p>
    <w:p w14:paraId="57128BD3" w14:textId="77777777" w:rsidR="00C51E7B" w:rsidRDefault="00BD26F8">
      <w:pPr>
        <w:pStyle w:val="Proposal"/>
      </w:pPr>
      <w:r>
        <w:t>ADD</w:t>
      </w:r>
      <w:r>
        <w:tab/>
        <w:t>IAP/11A19A3A2/2</w:t>
      </w:r>
      <w:r>
        <w:rPr>
          <w:vanish/>
          <w:color w:val="7F7F7F" w:themeColor="text1" w:themeTint="80"/>
          <w:vertAlign w:val="superscript"/>
        </w:rPr>
        <w:t>#50068</w:t>
      </w:r>
    </w:p>
    <w:p w14:paraId="7D8B09FF" w14:textId="77777777" w:rsidR="001962A2" w:rsidRPr="0042498F" w:rsidRDefault="00BD26F8" w:rsidP="00130FDA">
      <w:r w:rsidRPr="0042498F">
        <w:rPr>
          <w:rStyle w:val="Provsplit"/>
        </w:rPr>
        <w:t>6.17</w:t>
      </w:r>
      <w:r w:rsidRPr="0042498F">
        <w:rPr>
          <w:rStyle w:val="Provsplit"/>
          <w:i/>
          <w:iCs/>
        </w:rPr>
        <w:t>bis</w:t>
      </w:r>
      <w:r w:rsidRPr="0042498F">
        <w:rPr>
          <w:i/>
        </w:rPr>
        <w:tab/>
      </w:r>
      <w:proofErr w:type="gramStart"/>
      <w:r w:rsidRPr="0042498F">
        <w:t>An</w:t>
      </w:r>
      <w:proofErr w:type="gramEnd"/>
      <w:r w:rsidRPr="0042498F">
        <w:t xml:space="preserve"> administration that has submitted the notice for an additional use under § 6.1 may request the Bureau to enter into the List only one block/sub-band of 250 MHz (10.7-10.95 GHz or 11.2-11.45 GHz for downlink and 12.75-13.0 GHz or 13.0-13.25 GHz for uplink).</w:t>
      </w:r>
      <w:r w:rsidRPr="0042498F">
        <w:rPr>
          <w:sz w:val="16"/>
          <w:szCs w:val="16"/>
        </w:rPr>
        <w:t>     (WRC</w:t>
      </w:r>
      <w:r w:rsidRPr="0042498F">
        <w:rPr>
          <w:sz w:val="16"/>
          <w:szCs w:val="16"/>
        </w:rPr>
        <w:noBreakHyphen/>
        <w:t>19)</w:t>
      </w:r>
    </w:p>
    <w:p w14:paraId="4FE45391" w14:textId="77777777" w:rsidR="0017424D" w:rsidRDefault="00BD26F8" w:rsidP="00411C49">
      <w:pPr>
        <w:pStyle w:val="Reasons"/>
      </w:pPr>
      <w:r>
        <w:rPr>
          <w:b/>
        </w:rPr>
        <w:t>Reasons:</w:t>
      </w:r>
      <w:r>
        <w:tab/>
      </w:r>
      <w:r w:rsidRPr="000B26F0">
        <w:rPr>
          <w:lang w:val="en-US"/>
        </w:rPr>
        <w:t>Additions are required to update the Radio Regulations in accordance with existing practices between administrations in the application procedures for additional use and/or putting into service a block/sub-band of 250 MHz in 11-13 GHz according to their needs.</w:t>
      </w:r>
    </w:p>
    <w:p w14:paraId="0566B0E1" w14:textId="77777777" w:rsidR="0017424D" w:rsidRDefault="0017424D">
      <w:pPr>
        <w:jc w:val="center"/>
      </w:pPr>
      <w:r>
        <w:t>______________</w:t>
      </w:r>
    </w:p>
    <w:p w14:paraId="039B0FE0" w14:textId="585F0233" w:rsidR="00BD26F8" w:rsidRPr="0017424D" w:rsidRDefault="00BD26F8" w:rsidP="00B67120">
      <w:pPr>
        <w:rPr>
          <w:lang w:val="en-US"/>
        </w:rPr>
      </w:pPr>
    </w:p>
    <w:sectPr w:rsidR="00BD26F8" w:rsidRPr="0017424D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8CAEB" w14:textId="77777777" w:rsidR="00AE514B" w:rsidRDefault="00AE514B">
      <w:r>
        <w:separator/>
      </w:r>
    </w:p>
  </w:endnote>
  <w:endnote w:type="continuationSeparator" w:id="0">
    <w:p w14:paraId="47CDB46D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6D251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58F331B" w14:textId="69DCCEE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65714">
      <w:rPr>
        <w:noProof/>
        <w:lang w:val="en-US"/>
      </w:rPr>
      <w:t>P:\ENG\ITU-R\CONF-R\CMR19\000\011ADD19ADD03ADD02E.docx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5714">
      <w:rPr>
        <w:noProof/>
      </w:rPr>
      <w:t>20.09.19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5714">
      <w:rPr>
        <w:noProof/>
      </w:rPr>
      <w:t>26.09.19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F70C1" w14:textId="756A72EC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65714">
      <w:rPr>
        <w:lang w:val="en-US"/>
      </w:rPr>
      <w:t>P:\ENG\ITU-R\CONF-R\CMR19\000\011ADD19ADD03ADD02E.docx</w:t>
    </w:r>
    <w:r>
      <w:fldChar w:fldCharType="end"/>
    </w:r>
    <w:r w:rsidR="0017424D">
      <w:t xml:space="preserve"> (46080</w:t>
    </w:r>
    <w:r w:rsidR="00EF1192">
      <w:t>1</w:t>
    </w:r>
    <w:r w:rsidR="0017424D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DF4D9" w14:textId="7A20C40A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65714">
      <w:rPr>
        <w:lang w:val="en-US"/>
      </w:rPr>
      <w:t>P:\ENG\ITU-R\CONF-R\CMR19\000\011ADD19ADD03ADD02E.docx</w:t>
    </w:r>
    <w:r>
      <w:fldChar w:fldCharType="end"/>
    </w:r>
    <w:r w:rsidR="0017424D">
      <w:t xml:space="preserve"> (46080</w:t>
    </w:r>
    <w:r w:rsidR="00EF1192">
      <w:t>1</w:t>
    </w:r>
    <w:r w:rsidR="0017424D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E7AD3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1882E18C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064E8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D41AB">
      <w:rPr>
        <w:noProof/>
      </w:rPr>
      <w:t>2</w:t>
    </w:r>
    <w:r>
      <w:fldChar w:fldCharType="end"/>
    </w:r>
  </w:p>
  <w:p w14:paraId="7C7BFFC1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1" w:name="OLE_LINK1"/>
    <w:bookmarkStart w:id="12" w:name="OLE_LINK2"/>
    <w:bookmarkStart w:id="13" w:name="OLE_LINK3"/>
    <w:r w:rsidR="00EB55C6">
      <w:t>11(Add.19)(Add.3)(Add.2)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707A3F65"/>
    <w:multiLevelType w:val="hybridMultilevel"/>
    <w:tmpl w:val="AF9EF6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44716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7424D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65714"/>
    <w:rsid w:val="00271316"/>
    <w:rsid w:val="002B349C"/>
    <w:rsid w:val="002C13A9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41AB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A54D3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67120"/>
    <w:rsid w:val="00B817CD"/>
    <w:rsid w:val="00B81A7D"/>
    <w:rsid w:val="00B94AD0"/>
    <w:rsid w:val="00BB3A95"/>
    <w:rsid w:val="00BD26F8"/>
    <w:rsid w:val="00BD6CCE"/>
    <w:rsid w:val="00C0018F"/>
    <w:rsid w:val="00C16A5A"/>
    <w:rsid w:val="00C20466"/>
    <w:rsid w:val="00C214ED"/>
    <w:rsid w:val="00C234E6"/>
    <w:rsid w:val="00C324A8"/>
    <w:rsid w:val="00C51E7B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192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5633EBB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F9677B"/>
  </w:style>
  <w:style w:type="paragraph" w:customStyle="1" w:styleId="toc0">
    <w:name w:val="toc 0"/>
    <w:basedOn w:val="Normal"/>
    <w:next w:val="TOC1"/>
    <w:rsid w:val="002B188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R16-WRC19-C-0011!A19-A3-A2!MSW-E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9CDC7-D0AE-4A4F-B265-D11FADF61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03F790-F9A8-4875-84D4-29C7EA16E36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32a1a8c5-2265-4ebc-b7a0-2071e2c5c9bb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DAD679-7447-4F52-9F87-6829B15E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847</Words>
  <Characters>4708</Characters>
  <Application>Microsoft Office Word</Application>
  <DocSecurity>0</DocSecurity>
  <Lines>92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R16-WRC19-C-0011!A19-A3-A2!MSW-E</vt:lpstr>
    </vt:vector>
  </TitlesOfParts>
  <Manager>General Secretariat - Pool</Manager>
  <Company>International Telecommunication Union (ITU)</Company>
  <LinksUpToDate>false</LinksUpToDate>
  <CharactersWithSpaces>5541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R16-WRC19-C-0011!A19-A3-A2!MSW-E</dc:title>
  <dc:subject>World Radiocommunication Conference - 2019</dc:subject>
  <dc:creator>Documents Proposals Manager (DPM)</dc:creator>
  <cp:keywords>DPM_v2019.9.13.1_prod</cp:keywords>
  <dc:description>Uploaded on 2015.07.06</dc:description>
  <cp:lastModifiedBy>Sarah Scott</cp:lastModifiedBy>
  <cp:revision>9</cp:revision>
  <cp:lastPrinted>2019-09-26T13:15:00Z</cp:lastPrinted>
  <dcterms:created xsi:type="dcterms:W3CDTF">2019-09-17T14:50:00Z</dcterms:created>
  <dcterms:modified xsi:type="dcterms:W3CDTF">2019-09-26T13:15:00Z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