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1F7AA0" w14:paraId="03F77226" w14:textId="77777777" w:rsidTr="004C351A">
        <w:trPr>
          <w:cantSplit/>
        </w:trPr>
        <w:tc>
          <w:tcPr>
            <w:tcW w:w="6804" w:type="dxa"/>
          </w:tcPr>
          <w:p w14:paraId="493ED526" w14:textId="77777777" w:rsidR="00BB1D82" w:rsidRPr="001F7AA0" w:rsidRDefault="00851625" w:rsidP="00F10064">
            <w:pPr>
              <w:spacing w:before="400" w:after="48" w:line="240" w:lineRule="atLeast"/>
              <w:rPr>
                <w:rFonts w:ascii="Verdana" w:hAnsi="Verdana"/>
                <w:b/>
                <w:bCs/>
                <w:sz w:val="20"/>
              </w:rPr>
            </w:pPr>
            <w:r w:rsidRPr="001F7AA0">
              <w:rPr>
                <w:rFonts w:ascii="Verdana" w:hAnsi="Verdana"/>
                <w:b/>
                <w:bCs/>
                <w:sz w:val="20"/>
              </w:rPr>
              <w:t>Conférence mondiale des radiocommunications (CMR-1</w:t>
            </w:r>
            <w:r w:rsidR="00FD7AA3" w:rsidRPr="001F7AA0">
              <w:rPr>
                <w:rFonts w:ascii="Verdana" w:hAnsi="Verdana"/>
                <w:b/>
                <w:bCs/>
                <w:sz w:val="20"/>
              </w:rPr>
              <w:t>9</w:t>
            </w:r>
            <w:r w:rsidRPr="001F7AA0">
              <w:rPr>
                <w:rFonts w:ascii="Verdana" w:hAnsi="Verdana"/>
                <w:b/>
                <w:bCs/>
                <w:sz w:val="20"/>
              </w:rPr>
              <w:t>)</w:t>
            </w:r>
            <w:r w:rsidRPr="001F7AA0">
              <w:rPr>
                <w:rFonts w:ascii="Verdana" w:hAnsi="Verdana"/>
                <w:b/>
                <w:bCs/>
                <w:sz w:val="20"/>
              </w:rPr>
              <w:br/>
            </w:r>
            <w:r w:rsidR="00063A1F" w:rsidRPr="001F7AA0">
              <w:rPr>
                <w:rFonts w:ascii="Verdana" w:hAnsi="Verdana"/>
                <w:b/>
                <w:bCs/>
                <w:sz w:val="18"/>
                <w:szCs w:val="18"/>
              </w:rPr>
              <w:t xml:space="preserve">Charm el-Cheikh, </w:t>
            </w:r>
            <w:r w:rsidR="00081366" w:rsidRPr="001F7AA0">
              <w:rPr>
                <w:rFonts w:ascii="Verdana" w:hAnsi="Verdana"/>
                <w:b/>
                <w:bCs/>
                <w:sz w:val="18"/>
                <w:szCs w:val="18"/>
              </w:rPr>
              <w:t>É</w:t>
            </w:r>
            <w:r w:rsidR="00063A1F" w:rsidRPr="001F7AA0">
              <w:rPr>
                <w:rFonts w:ascii="Verdana" w:hAnsi="Verdana"/>
                <w:b/>
                <w:bCs/>
                <w:sz w:val="18"/>
                <w:szCs w:val="18"/>
              </w:rPr>
              <w:t>gypte</w:t>
            </w:r>
            <w:r w:rsidRPr="001F7AA0">
              <w:rPr>
                <w:rFonts w:ascii="Verdana" w:hAnsi="Verdana"/>
                <w:b/>
                <w:bCs/>
                <w:sz w:val="18"/>
                <w:szCs w:val="18"/>
              </w:rPr>
              <w:t>,</w:t>
            </w:r>
            <w:r w:rsidR="00E537FF" w:rsidRPr="001F7AA0">
              <w:rPr>
                <w:rFonts w:ascii="Verdana" w:hAnsi="Verdana"/>
                <w:b/>
                <w:bCs/>
                <w:sz w:val="18"/>
                <w:szCs w:val="18"/>
              </w:rPr>
              <w:t xml:space="preserve"> </w:t>
            </w:r>
            <w:r w:rsidRPr="001F7AA0">
              <w:rPr>
                <w:rFonts w:ascii="Verdana" w:hAnsi="Verdana"/>
                <w:b/>
                <w:bCs/>
                <w:sz w:val="18"/>
                <w:szCs w:val="18"/>
              </w:rPr>
              <w:t>2</w:t>
            </w:r>
            <w:r w:rsidR="00FD7AA3" w:rsidRPr="001F7AA0">
              <w:rPr>
                <w:rFonts w:ascii="Verdana" w:hAnsi="Verdana"/>
                <w:b/>
                <w:bCs/>
                <w:sz w:val="18"/>
                <w:szCs w:val="18"/>
              </w:rPr>
              <w:t xml:space="preserve">8 octobre </w:t>
            </w:r>
            <w:r w:rsidR="00F10064" w:rsidRPr="001F7AA0">
              <w:rPr>
                <w:rFonts w:ascii="Verdana" w:hAnsi="Verdana"/>
                <w:b/>
                <w:bCs/>
                <w:sz w:val="18"/>
                <w:szCs w:val="18"/>
              </w:rPr>
              <w:t>–</w:t>
            </w:r>
            <w:r w:rsidR="00FD7AA3" w:rsidRPr="001F7AA0">
              <w:rPr>
                <w:rFonts w:ascii="Verdana" w:hAnsi="Verdana"/>
                <w:b/>
                <w:bCs/>
                <w:sz w:val="18"/>
                <w:szCs w:val="18"/>
              </w:rPr>
              <w:t xml:space="preserve"> </w:t>
            </w:r>
            <w:r w:rsidRPr="001F7AA0">
              <w:rPr>
                <w:rFonts w:ascii="Verdana" w:hAnsi="Verdana"/>
                <w:b/>
                <w:bCs/>
                <w:sz w:val="18"/>
                <w:szCs w:val="18"/>
              </w:rPr>
              <w:t>2</w:t>
            </w:r>
            <w:r w:rsidR="00FD7AA3" w:rsidRPr="001F7AA0">
              <w:rPr>
                <w:rFonts w:ascii="Verdana" w:hAnsi="Verdana"/>
                <w:b/>
                <w:bCs/>
                <w:sz w:val="18"/>
                <w:szCs w:val="18"/>
              </w:rPr>
              <w:t>2</w:t>
            </w:r>
            <w:r w:rsidRPr="001F7AA0">
              <w:rPr>
                <w:rFonts w:ascii="Verdana" w:hAnsi="Verdana"/>
                <w:b/>
                <w:bCs/>
                <w:sz w:val="18"/>
                <w:szCs w:val="18"/>
              </w:rPr>
              <w:t xml:space="preserve"> novembre 201</w:t>
            </w:r>
            <w:r w:rsidR="00FD7AA3" w:rsidRPr="001F7AA0">
              <w:rPr>
                <w:rFonts w:ascii="Verdana" w:hAnsi="Verdana"/>
                <w:b/>
                <w:bCs/>
                <w:sz w:val="18"/>
                <w:szCs w:val="18"/>
              </w:rPr>
              <w:t>9</w:t>
            </w:r>
          </w:p>
        </w:tc>
        <w:tc>
          <w:tcPr>
            <w:tcW w:w="3227" w:type="dxa"/>
          </w:tcPr>
          <w:p w14:paraId="0A83F916" w14:textId="77777777" w:rsidR="00BB1D82" w:rsidRPr="001F7AA0" w:rsidRDefault="000A55AE" w:rsidP="002C28A4">
            <w:pPr>
              <w:spacing w:before="0" w:line="240" w:lineRule="atLeast"/>
              <w:jc w:val="right"/>
            </w:pPr>
            <w:r w:rsidRPr="001F7AA0">
              <w:rPr>
                <w:rFonts w:ascii="Verdana" w:hAnsi="Verdana"/>
                <w:b/>
                <w:bCs/>
                <w:noProof/>
                <w:lang w:eastAsia="zh-CN"/>
              </w:rPr>
              <w:drawing>
                <wp:inline distT="0" distB="0" distL="0" distR="0" wp14:anchorId="1E2EB545" wp14:editId="00ECCB3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F7AA0" w14:paraId="75AA8BA8" w14:textId="77777777" w:rsidTr="004C351A">
        <w:trPr>
          <w:cantSplit/>
        </w:trPr>
        <w:tc>
          <w:tcPr>
            <w:tcW w:w="6804" w:type="dxa"/>
            <w:tcBorders>
              <w:bottom w:val="single" w:sz="12" w:space="0" w:color="auto"/>
            </w:tcBorders>
          </w:tcPr>
          <w:p w14:paraId="46E2D546" w14:textId="77777777" w:rsidR="00BB1D82" w:rsidRPr="001F7AA0" w:rsidRDefault="00BB1D82" w:rsidP="00BB1D82">
            <w:pPr>
              <w:spacing w:before="0" w:after="48" w:line="240" w:lineRule="atLeast"/>
              <w:rPr>
                <w:b/>
                <w:smallCaps/>
                <w:szCs w:val="24"/>
              </w:rPr>
            </w:pPr>
            <w:bookmarkStart w:id="0" w:name="dhead"/>
          </w:p>
        </w:tc>
        <w:tc>
          <w:tcPr>
            <w:tcW w:w="3227" w:type="dxa"/>
            <w:tcBorders>
              <w:bottom w:val="single" w:sz="12" w:space="0" w:color="auto"/>
            </w:tcBorders>
          </w:tcPr>
          <w:p w14:paraId="071CC47C" w14:textId="77777777" w:rsidR="00BB1D82" w:rsidRPr="001F7AA0" w:rsidRDefault="00BB1D82" w:rsidP="00BB1D82">
            <w:pPr>
              <w:spacing w:before="0" w:line="240" w:lineRule="atLeast"/>
              <w:rPr>
                <w:rFonts w:ascii="Verdana" w:hAnsi="Verdana"/>
                <w:szCs w:val="24"/>
              </w:rPr>
            </w:pPr>
          </w:p>
        </w:tc>
      </w:tr>
      <w:tr w:rsidR="00BB1D82" w:rsidRPr="001F7AA0" w14:paraId="5873A32D" w14:textId="77777777" w:rsidTr="004C351A">
        <w:trPr>
          <w:cantSplit/>
        </w:trPr>
        <w:tc>
          <w:tcPr>
            <w:tcW w:w="6804" w:type="dxa"/>
            <w:tcBorders>
              <w:top w:val="single" w:sz="12" w:space="0" w:color="auto"/>
            </w:tcBorders>
          </w:tcPr>
          <w:p w14:paraId="2ABC983B" w14:textId="77777777" w:rsidR="00BB1D82" w:rsidRPr="001F7AA0" w:rsidRDefault="00BB1D82" w:rsidP="00BB1D82">
            <w:pPr>
              <w:spacing w:before="0" w:after="48" w:line="240" w:lineRule="atLeast"/>
              <w:rPr>
                <w:rFonts w:ascii="Verdana" w:hAnsi="Verdana"/>
                <w:b/>
                <w:smallCaps/>
                <w:sz w:val="20"/>
              </w:rPr>
            </w:pPr>
          </w:p>
        </w:tc>
        <w:tc>
          <w:tcPr>
            <w:tcW w:w="3227" w:type="dxa"/>
            <w:tcBorders>
              <w:top w:val="single" w:sz="12" w:space="0" w:color="auto"/>
            </w:tcBorders>
          </w:tcPr>
          <w:p w14:paraId="2028CE00" w14:textId="77777777" w:rsidR="00BB1D82" w:rsidRPr="001F7AA0" w:rsidRDefault="00BB1D82" w:rsidP="00BB1D82">
            <w:pPr>
              <w:spacing w:before="0" w:line="240" w:lineRule="atLeast"/>
              <w:rPr>
                <w:rFonts w:ascii="Verdana" w:hAnsi="Verdana"/>
                <w:sz w:val="20"/>
              </w:rPr>
            </w:pPr>
          </w:p>
        </w:tc>
      </w:tr>
      <w:tr w:rsidR="00BB1D82" w:rsidRPr="001F7AA0" w14:paraId="46A3B088" w14:textId="77777777" w:rsidTr="004C351A">
        <w:trPr>
          <w:cantSplit/>
        </w:trPr>
        <w:tc>
          <w:tcPr>
            <w:tcW w:w="6804" w:type="dxa"/>
          </w:tcPr>
          <w:p w14:paraId="6747D2A2" w14:textId="77777777" w:rsidR="00BB1D82" w:rsidRPr="001F7AA0" w:rsidRDefault="006D4724" w:rsidP="00BA5BD0">
            <w:pPr>
              <w:spacing w:before="0"/>
              <w:rPr>
                <w:rFonts w:ascii="Verdana" w:hAnsi="Verdana"/>
                <w:b/>
                <w:sz w:val="20"/>
              </w:rPr>
            </w:pPr>
            <w:r w:rsidRPr="001F7AA0">
              <w:rPr>
                <w:rFonts w:ascii="Verdana" w:hAnsi="Verdana"/>
                <w:b/>
                <w:sz w:val="20"/>
              </w:rPr>
              <w:t>SÉANCE PLÉNIÈRE</w:t>
            </w:r>
          </w:p>
        </w:tc>
        <w:tc>
          <w:tcPr>
            <w:tcW w:w="3227" w:type="dxa"/>
          </w:tcPr>
          <w:p w14:paraId="49687029" w14:textId="2E5D450A" w:rsidR="00BB1D82" w:rsidRPr="001F7AA0" w:rsidRDefault="006D4724" w:rsidP="00356861">
            <w:pPr>
              <w:spacing w:before="0"/>
              <w:rPr>
                <w:rFonts w:ascii="Verdana" w:hAnsi="Verdana"/>
                <w:sz w:val="20"/>
              </w:rPr>
            </w:pPr>
            <w:r w:rsidRPr="001F7AA0">
              <w:rPr>
                <w:rFonts w:ascii="Verdana" w:hAnsi="Verdana"/>
                <w:b/>
                <w:sz w:val="20"/>
              </w:rPr>
              <w:t xml:space="preserve">Addendum 10 </w:t>
            </w:r>
            <w:r w:rsidR="00356861" w:rsidRPr="001F7AA0">
              <w:rPr>
                <w:rFonts w:ascii="Verdana" w:hAnsi="Verdana"/>
                <w:b/>
                <w:sz w:val="20"/>
              </w:rPr>
              <w:t>d</w:t>
            </w:r>
            <w:r w:rsidRPr="001F7AA0">
              <w:rPr>
                <w:rFonts w:ascii="Verdana" w:hAnsi="Verdana"/>
                <w:b/>
                <w:sz w:val="20"/>
              </w:rPr>
              <w:t>u</w:t>
            </w:r>
            <w:r w:rsidRPr="001F7AA0">
              <w:rPr>
                <w:rFonts w:ascii="Verdana" w:hAnsi="Verdana"/>
                <w:b/>
                <w:sz w:val="20"/>
              </w:rPr>
              <w:br/>
              <w:t>Document 11(Add.19)</w:t>
            </w:r>
            <w:r w:rsidR="00BB1D82" w:rsidRPr="001F7AA0">
              <w:rPr>
                <w:rFonts w:ascii="Verdana" w:hAnsi="Verdana"/>
                <w:b/>
                <w:sz w:val="20"/>
              </w:rPr>
              <w:t>-</w:t>
            </w:r>
            <w:r w:rsidRPr="001F7AA0">
              <w:rPr>
                <w:rFonts w:ascii="Verdana" w:hAnsi="Verdana"/>
                <w:b/>
                <w:sz w:val="20"/>
              </w:rPr>
              <w:t>F</w:t>
            </w:r>
          </w:p>
        </w:tc>
      </w:tr>
      <w:bookmarkEnd w:id="0"/>
      <w:tr w:rsidR="00690C7B" w:rsidRPr="001F7AA0" w14:paraId="3BFE0A24" w14:textId="77777777" w:rsidTr="004C351A">
        <w:trPr>
          <w:cantSplit/>
        </w:trPr>
        <w:tc>
          <w:tcPr>
            <w:tcW w:w="6804" w:type="dxa"/>
          </w:tcPr>
          <w:p w14:paraId="10B830DE" w14:textId="77777777" w:rsidR="00690C7B" w:rsidRPr="001F7AA0" w:rsidRDefault="00690C7B" w:rsidP="00BA5BD0">
            <w:pPr>
              <w:spacing w:before="0"/>
              <w:rPr>
                <w:rFonts w:ascii="Verdana" w:hAnsi="Verdana"/>
                <w:b/>
                <w:sz w:val="20"/>
              </w:rPr>
            </w:pPr>
          </w:p>
        </w:tc>
        <w:tc>
          <w:tcPr>
            <w:tcW w:w="3227" w:type="dxa"/>
          </w:tcPr>
          <w:p w14:paraId="053777DD" w14:textId="77777777" w:rsidR="00690C7B" w:rsidRPr="001F7AA0" w:rsidRDefault="00690C7B" w:rsidP="00BA5BD0">
            <w:pPr>
              <w:spacing w:before="0"/>
              <w:rPr>
                <w:rFonts w:ascii="Verdana" w:hAnsi="Verdana"/>
                <w:b/>
                <w:sz w:val="20"/>
              </w:rPr>
            </w:pPr>
            <w:r w:rsidRPr="001F7AA0">
              <w:rPr>
                <w:rFonts w:ascii="Verdana" w:hAnsi="Verdana"/>
                <w:b/>
                <w:sz w:val="20"/>
              </w:rPr>
              <w:t>18 septembre 2019</w:t>
            </w:r>
          </w:p>
        </w:tc>
      </w:tr>
      <w:tr w:rsidR="00690C7B" w:rsidRPr="001F7AA0" w14:paraId="3165DC50" w14:textId="77777777" w:rsidTr="004C351A">
        <w:trPr>
          <w:cantSplit/>
        </w:trPr>
        <w:tc>
          <w:tcPr>
            <w:tcW w:w="6804" w:type="dxa"/>
          </w:tcPr>
          <w:p w14:paraId="1BD7CB0A" w14:textId="77777777" w:rsidR="00690C7B" w:rsidRPr="001F7AA0" w:rsidRDefault="00690C7B" w:rsidP="00BA5BD0">
            <w:pPr>
              <w:spacing w:before="0" w:after="48"/>
              <w:rPr>
                <w:rFonts w:ascii="Verdana" w:hAnsi="Verdana"/>
                <w:b/>
                <w:smallCaps/>
                <w:sz w:val="20"/>
              </w:rPr>
            </w:pPr>
          </w:p>
        </w:tc>
        <w:tc>
          <w:tcPr>
            <w:tcW w:w="3227" w:type="dxa"/>
          </w:tcPr>
          <w:p w14:paraId="40950ECE" w14:textId="5A3C69AA" w:rsidR="00690C7B" w:rsidRPr="001F7AA0" w:rsidRDefault="00690C7B" w:rsidP="00BA5BD0">
            <w:pPr>
              <w:spacing w:before="0"/>
              <w:rPr>
                <w:rFonts w:ascii="Verdana" w:hAnsi="Verdana"/>
                <w:b/>
                <w:sz w:val="20"/>
              </w:rPr>
            </w:pPr>
            <w:r w:rsidRPr="001F7AA0">
              <w:rPr>
                <w:rFonts w:ascii="Verdana" w:hAnsi="Verdana"/>
                <w:b/>
                <w:sz w:val="20"/>
              </w:rPr>
              <w:t>Original: anglais</w:t>
            </w:r>
            <w:r w:rsidR="0030362C" w:rsidRPr="001F7AA0">
              <w:rPr>
                <w:rFonts w:ascii="Verdana" w:hAnsi="Verdana"/>
                <w:b/>
                <w:sz w:val="20"/>
              </w:rPr>
              <w:t>/espagnol</w:t>
            </w:r>
          </w:p>
        </w:tc>
      </w:tr>
      <w:tr w:rsidR="00690C7B" w:rsidRPr="001F7AA0" w14:paraId="427BD3CF" w14:textId="77777777" w:rsidTr="00C11970">
        <w:trPr>
          <w:cantSplit/>
        </w:trPr>
        <w:tc>
          <w:tcPr>
            <w:tcW w:w="10031" w:type="dxa"/>
            <w:gridSpan w:val="2"/>
          </w:tcPr>
          <w:p w14:paraId="2BC1BCFC" w14:textId="77777777" w:rsidR="00690C7B" w:rsidRPr="001F7AA0" w:rsidRDefault="00690C7B" w:rsidP="00BA5BD0">
            <w:pPr>
              <w:spacing w:before="0"/>
              <w:rPr>
                <w:rFonts w:ascii="Verdana" w:hAnsi="Verdana"/>
                <w:b/>
                <w:sz w:val="20"/>
              </w:rPr>
            </w:pPr>
          </w:p>
        </w:tc>
      </w:tr>
      <w:tr w:rsidR="00690C7B" w:rsidRPr="001F7AA0" w14:paraId="0512C219" w14:textId="77777777" w:rsidTr="0050008E">
        <w:trPr>
          <w:cantSplit/>
        </w:trPr>
        <w:tc>
          <w:tcPr>
            <w:tcW w:w="10031" w:type="dxa"/>
            <w:gridSpan w:val="2"/>
          </w:tcPr>
          <w:p w14:paraId="237971E2" w14:textId="77777777" w:rsidR="00690C7B" w:rsidRPr="001F7AA0" w:rsidRDefault="00690C7B" w:rsidP="00690C7B">
            <w:pPr>
              <w:pStyle w:val="Source"/>
            </w:pPr>
            <w:bookmarkStart w:id="1" w:name="dsource" w:colFirst="0" w:colLast="0"/>
            <w:r w:rsidRPr="001F7AA0">
              <w:t>États Membres de la Commission interaméricaine des télécommunications (CITEL)</w:t>
            </w:r>
          </w:p>
        </w:tc>
      </w:tr>
      <w:tr w:rsidR="00690C7B" w:rsidRPr="001F7AA0" w14:paraId="73526340" w14:textId="77777777" w:rsidTr="0050008E">
        <w:trPr>
          <w:cantSplit/>
        </w:trPr>
        <w:tc>
          <w:tcPr>
            <w:tcW w:w="10031" w:type="dxa"/>
            <w:gridSpan w:val="2"/>
          </w:tcPr>
          <w:p w14:paraId="3BACE823" w14:textId="625070CC" w:rsidR="00690C7B" w:rsidRPr="001F7AA0" w:rsidRDefault="00BC36B3" w:rsidP="00690C7B">
            <w:pPr>
              <w:pStyle w:val="Title1"/>
            </w:pPr>
            <w:bookmarkStart w:id="2" w:name="dtitle1" w:colFirst="0" w:colLast="0"/>
            <w:bookmarkEnd w:id="1"/>
            <w:r w:rsidRPr="001F7AA0">
              <w:t>PROPOSITIONS POUR LES TRAVAUX DE LA CONFÉRENCE</w:t>
            </w:r>
          </w:p>
        </w:tc>
      </w:tr>
      <w:tr w:rsidR="00690C7B" w:rsidRPr="001F7AA0" w14:paraId="04A41695" w14:textId="77777777" w:rsidTr="0050008E">
        <w:trPr>
          <w:cantSplit/>
        </w:trPr>
        <w:tc>
          <w:tcPr>
            <w:tcW w:w="10031" w:type="dxa"/>
            <w:gridSpan w:val="2"/>
          </w:tcPr>
          <w:p w14:paraId="3AB6749A" w14:textId="77777777" w:rsidR="00690C7B" w:rsidRPr="001F7AA0" w:rsidRDefault="00690C7B" w:rsidP="00690C7B">
            <w:pPr>
              <w:pStyle w:val="Title2"/>
            </w:pPr>
            <w:bookmarkStart w:id="3" w:name="dtitle2" w:colFirst="0" w:colLast="0"/>
            <w:bookmarkEnd w:id="2"/>
          </w:p>
        </w:tc>
      </w:tr>
      <w:tr w:rsidR="00690C7B" w:rsidRPr="001F7AA0" w14:paraId="5F5961B1" w14:textId="77777777" w:rsidTr="0050008E">
        <w:trPr>
          <w:cantSplit/>
        </w:trPr>
        <w:tc>
          <w:tcPr>
            <w:tcW w:w="10031" w:type="dxa"/>
            <w:gridSpan w:val="2"/>
          </w:tcPr>
          <w:p w14:paraId="2603156B" w14:textId="77777777" w:rsidR="00690C7B" w:rsidRPr="001F7AA0" w:rsidRDefault="00690C7B" w:rsidP="00690C7B">
            <w:pPr>
              <w:pStyle w:val="Agendaitem"/>
              <w:rPr>
                <w:lang w:val="fr-FR"/>
              </w:rPr>
            </w:pPr>
            <w:bookmarkStart w:id="4" w:name="dtitle3" w:colFirst="0" w:colLast="0"/>
            <w:bookmarkEnd w:id="3"/>
            <w:r w:rsidRPr="001F7AA0">
              <w:rPr>
                <w:lang w:val="fr-FR"/>
              </w:rPr>
              <w:t>Point 7(J) de l'ordre du jour</w:t>
            </w:r>
          </w:p>
        </w:tc>
      </w:tr>
    </w:tbl>
    <w:bookmarkEnd w:id="4"/>
    <w:p w14:paraId="0305A982" w14:textId="72E941A7" w:rsidR="001C0E40" w:rsidRPr="001F7AA0" w:rsidRDefault="003503F4" w:rsidP="008158A1">
      <w:r w:rsidRPr="001F7AA0">
        <w:t>7</w:t>
      </w:r>
      <w:r w:rsidRPr="001F7AA0">
        <w:tab/>
        <w:t xml:space="preserve">examiner d'éventuels changements à apporter, et d'autres options à mettre en oeuvre, en application de la Résolution 86 (Rév. Marrakech, 2002) de la Conférence de plénipotentiaires, intitulée </w:t>
      </w:r>
      <w:r w:rsidR="004C351A" w:rsidRPr="001F7AA0">
        <w:t>«</w:t>
      </w:r>
      <w:r w:rsidRPr="001F7AA0">
        <w:t>Procédures de publication anticipée, de coordination, de notification et d'inscription des assignations de fréquence relatives aux réseaux à satellite</w:t>
      </w:r>
      <w:r w:rsidR="004C351A" w:rsidRPr="001F7AA0">
        <w:t>»</w:t>
      </w:r>
      <w:r w:rsidRPr="001F7AA0">
        <w:t>, conformément à la Résolution </w:t>
      </w:r>
      <w:r w:rsidRPr="001F7AA0">
        <w:rPr>
          <w:b/>
          <w:bCs/>
        </w:rPr>
        <w:t>86 (Rév.CMR-07)</w:t>
      </w:r>
      <w:r w:rsidRPr="001F7AA0">
        <w:t>, afin de faciliter l'utilisation rationnelle, efficace et économique des fréquences radioélectriques et des orbites associées, y compris de l'orbite des satellites géostationnaires;</w:t>
      </w:r>
    </w:p>
    <w:p w14:paraId="0B448A6A" w14:textId="77777777" w:rsidR="001C0E40" w:rsidRPr="001F7AA0" w:rsidRDefault="003503F4" w:rsidP="009C5955">
      <w:r w:rsidRPr="001F7AA0">
        <w:t>7(J)</w:t>
      </w:r>
      <w:r w:rsidRPr="001F7AA0">
        <w:tab/>
        <w:t xml:space="preserve">Question J – Limite de puissance surfacique figurant dans la section 1 de l'Annexe 1 de l'Appendice </w:t>
      </w:r>
      <w:r w:rsidRPr="001F7AA0">
        <w:rPr>
          <w:b/>
          <w:bCs/>
        </w:rPr>
        <w:t>30</w:t>
      </w:r>
      <w:r w:rsidRPr="001F7AA0">
        <w:t xml:space="preserve"> du RR.</w:t>
      </w:r>
    </w:p>
    <w:p w14:paraId="6D0529D1" w14:textId="6BFF62D2" w:rsidR="0030362C" w:rsidRPr="001F7AA0" w:rsidRDefault="001A366F" w:rsidP="0030362C">
      <w:pPr>
        <w:pStyle w:val="Headingb"/>
      </w:pPr>
      <w:r w:rsidRPr="001F7AA0">
        <w:t>Généralités</w:t>
      </w:r>
    </w:p>
    <w:p w14:paraId="329010E3" w14:textId="1A8CBCFB" w:rsidR="00C06A00" w:rsidRPr="001F7AA0" w:rsidRDefault="00C06A00" w:rsidP="004C351A">
      <w:r w:rsidRPr="001F7AA0">
        <w:t xml:space="preserve">La Question J traite de la possibilité d'un dépassement de la limite de puissance surfacique </w:t>
      </w:r>
      <w:r w:rsidR="00F742BA" w:rsidRPr="001F7AA0">
        <w:t>de −103,6 dB(W/(m</w:t>
      </w:r>
      <w:r w:rsidR="00F742BA" w:rsidRPr="001F7AA0">
        <w:rPr>
          <w:vertAlign w:val="superscript"/>
        </w:rPr>
        <w:t>2</w:t>
      </w:r>
      <w:r w:rsidR="00F742BA" w:rsidRPr="001F7AA0">
        <w:t xml:space="preserve"> · 27 MHz)) qui a été établie pour les utilisations dans les Régions 1 et 3 afin de protéger les réseaux du SRS en dehors de l'arc de coordination de ±9 degrés</w:t>
      </w:r>
      <w:r w:rsidRPr="001F7AA0">
        <w:t>.</w:t>
      </w:r>
      <w:r w:rsidR="00FD5B25" w:rsidRPr="001F7AA0">
        <w:t xml:space="preserve"> </w:t>
      </w:r>
      <w:r w:rsidRPr="001F7AA0">
        <w:t>Dans le cas où une administration applique les dispositions pertinentes de l'Article </w:t>
      </w:r>
      <w:r w:rsidRPr="001F7AA0">
        <w:rPr>
          <w:b/>
          <w:bCs/>
        </w:rPr>
        <w:t>23</w:t>
      </w:r>
      <w:r w:rsidRPr="001F7AA0">
        <w:t xml:space="preserve"> du RR pour demander l'exclusion de son territoire des zones de service de réseaux du SRS d'autres administrations, ces réseaux n'ont pas droit à une protection sur le territoire de l'administration qui a formulé l'objection. Compte tenu de ce qui précède, la limite de puissance surfacique de −103,6 dB(W/(m</w:t>
      </w:r>
      <w:r w:rsidRPr="001F7AA0">
        <w:rPr>
          <w:vertAlign w:val="superscript"/>
        </w:rPr>
        <w:t>2</w:t>
      </w:r>
      <w:r w:rsidRPr="001F7AA0">
        <w:t xml:space="preserve"> · 27 MHz)) peut être dépassée uniquement sur le territoire national de l'administration notificatrice sous réserve que, dans les zones frontalières et sur le territoire des autres pays, cette limite de puissance surfacique ne soit pas dépassée.</w:t>
      </w:r>
    </w:p>
    <w:p w14:paraId="5BE4992C" w14:textId="43EB884B" w:rsidR="00C06A00" w:rsidRPr="001F7AA0" w:rsidRDefault="00C06A00" w:rsidP="004C351A">
      <w:pPr>
        <w:rPr>
          <w:iCs/>
          <w:highlight w:val="cyan"/>
        </w:rPr>
      </w:pPr>
      <w:r w:rsidRPr="001F7AA0">
        <w:t>Au titre de la Question J du point 7 de l'ordre du jour de la CMR-19, deux méthodes sont présentées. Dans la Méthode J1, il est proposé de modifier la section 1 de l'Annexe 1 de l'Appendice </w:t>
      </w:r>
      <w:r w:rsidRPr="001F7AA0">
        <w:rPr>
          <w:b/>
          <w:bCs/>
        </w:rPr>
        <w:t>30</w:t>
      </w:r>
      <w:r w:rsidRPr="001F7AA0">
        <w:t xml:space="preserve"> du RR et dans la Méthode J2, il est proposé de n'apporter aucune modification </w:t>
      </w:r>
      <w:r w:rsidR="008330C8" w:rsidRPr="001F7AA0">
        <w:t>a</w:t>
      </w:r>
      <w:r w:rsidRPr="001F7AA0">
        <w:t>u Règlement des radiocommunications.</w:t>
      </w:r>
    </w:p>
    <w:p w14:paraId="1CE935C1" w14:textId="77777777" w:rsidR="0015203F" w:rsidRPr="001F7AA0" w:rsidRDefault="0015203F" w:rsidP="004C351A">
      <w:pPr>
        <w:tabs>
          <w:tab w:val="clear" w:pos="1134"/>
          <w:tab w:val="clear" w:pos="1871"/>
          <w:tab w:val="clear" w:pos="2268"/>
        </w:tabs>
        <w:overflowPunct/>
        <w:autoSpaceDE/>
        <w:autoSpaceDN/>
        <w:adjustRightInd/>
        <w:spacing w:before="0"/>
        <w:textAlignment w:val="auto"/>
      </w:pPr>
      <w:r w:rsidRPr="001F7AA0">
        <w:br w:type="page"/>
      </w:r>
    </w:p>
    <w:p w14:paraId="39C00142" w14:textId="77777777" w:rsidR="00221098" w:rsidRPr="001F7AA0" w:rsidRDefault="003503F4" w:rsidP="00193AD6">
      <w:pPr>
        <w:pStyle w:val="AppendixNo"/>
        <w:spacing w:before="0"/>
      </w:pPr>
      <w:bookmarkStart w:id="5" w:name="_Toc459986340"/>
      <w:bookmarkStart w:id="6" w:name="_Toc459987790"/>
      <w:r w:rsidRPr="001F7AA0">
        <w:lastRenderedPageBreak/>
        <w:t xml:space="preserve">APPENDICE </w:t>
      </w:r>
      <w:r w:rsidRPr="001F7AA0">
        <w:rPr>
          <w:rStyle w:val="href"/>
        </w:rPr>
        <w:t>30</w:t>
      </w:r>
      <w:r w:rsidRPr="001F7AA0">
        <w:t xml:space="preserve"> (R</w:t>
      </w:r>
      <w:r w:rsidRPr="001F7AA0">
        <w:rPr>
          <w:caps w:val="0"/>
        </w:rPr>
        <w:t>ÉV</w:t>
      </w:r>
      <w:r w:rsidRPr="001F7AA0">
        <w:t>.CMR</w:t>
      </w:r>
      <w:r w:rsidRPr="001F7AA0">
        <w:noBreakHyphen/>
        <w:t>15)</w:t>
      </w:r>
      <w:r w:rsidRPr="001F7AA0">
        <w:rPr>
          <w:rStyle w:val="FootnoteReference"/>
        </w:rPr>
        <w:footnoteReference w:customMarkFollows="1" w:id="1"/>
        <w:t>*</w:t>
      </w:r>
      <w:bookmarkEnd w:id="5"/>
      <w:bookmarkEnd w:id="6"/>
    </w:p>
    <w:p w14:paraId="15FD1A25" w14:textId="77777777" w:rsidR="00221098" w:rsidRPr="001F7AA0" w:rsidRDefault="003503F4" w:rsidP="00193AD6">
      <w:pPr>
        <w:pStyle w:val="Appendixtitle"/>
        <w:rPr>
          <w:rFonts w:asciiTheme="majorBidi" w:hAnsiTheme="majorBidi"/>
        </w:rPr>
      </w:pPr>
      <w:bookmarkStart w:id="7" w:name="_Toc459986341"/>
      <w:bookmarkStart w:id="8" w:name="_Toc459987791"/>
      <w:r w:rsidRPr="001F7AA0">
        <w:t>Dispositions applicables à tous les services et Plans et Liste</w:t>
      </w:r>
      <w:r w:rsidRPr="001F7AA0">
        <w:rPr>
          <w:rStyle w:val="FootnoteReference"/>
          <w:rFonts w:ascii="Times New Roman" w:hAnsi="Times New Roman"/>
          <w:b w:val="0"/>
          <w:bCs/>
          <w:color w:val="000000"/>
        </w:rPr>
        <w:footnoteReference w:customMarkFollows="1" w:id="2"/>
        <w:t>1</w:t>
      </w:r>
      <w:r w:rsidRPr="001F7AA0">
        <w:t xml:space="preserve"> associés</w:t>
      </w:r>
      <w:r w:rsidRPr="001F7AA0">
        <w:br/>
        <w:t>concernant le service de radiodiffusion par satellite dans les</w:t>
      </w:r>
      <w:r w:rsidRPr="001F7AA0">
        <w:br/>
        <w:t>bandes 11,7-12,2 GHz (dans la Région 3), 11,7-12,5 GHz</w:t>
      </w:r>
      <w:r w:rsidRPr="001F7AA0">
        <w:br/>
        <w:t>(dans la Région 1) et 12,2-12,7 GHz (dans la Région 2)</w:t>
      </w:r>
      <w:r w:rsidRPr="001F7AA0">
        <w:rPr>
          <w:b w:val="0"/>
          <w:sz w:val="16"/>
        </w:rPr>
        <w:t>     </w:t>
      </w:r>
      <w:r w:rsidRPr="001F7AA0">
        <w:rPr>
          <w:rFonts w:asciiTheme="majorBidi" w:hAnsiTheme="majorBidi"/>
          <w:b w:val="0"/>
          <w:sz w:val="16"/>
        </w:rPr>
        <w:t>(CMR</w:t>
      </w:r>
      <w:r w:rsidRPr="001F7AA0">
        <w:rPr>
          <w:rFonts w:asciiTheme="majorBidi" w:hAnsiTheme="majorBidi"/>
          <w:b w:val="0"/>
          <w:sz w:val="16"/>
        </w:rPr>
        <w:noBreakHyphen/>
        <w:t>03)</w:t>
      </w:r>
      <w:bookmarkEnd w:id="7"/>
      <w:bookmarkEnd w:id="8"/>
    </w:p>
    <w:p w14:paraId="29E0B6C3" w14:textId="77777777" w:rsidR="00F53B28" w:rsidRPr="001F7AA0" w:rsidRDefault="003503F4">
      <w:pPr>
        <w:pStyle w:val="Proposal"/>
      </w:pPr>
      <w:r w:rsidRPr="001F7AA0">
        <w:rPr>
          <w:u w:val="single"/>
        </w:rPr>
        <w:t>NOC</w:t>
      </w:r>
      <w:r w:rsidRPr="001F7AA0">
        <w:tab/>
        <w:t>IAP/11A19A10/1</w:t>
      </w:r>
    </w:p>
    <w:p w14:paraId="2CD02EF5" w14:textId="77777777" w:rsidR="00221098" w:rsidRPr="001F7AA0" w:rsidRDefault="003503F4" w:rsidP="00193AD6">
      <w:pPr>
        <w:pStyle w:val="AnnexNo"/>
      </w:pPr>
      <w:bookmarkStart w:id="9" w:name="_Toc459986356"/>
      <w:bookmarkStart w:id="10" w:name="_Toc459987792"/>
      <w:r w:rsidRPr="001F7AA0">
        <w:t>ANNEXE 1</w:t>
      </w:r>
      <w:r w:rsidRPr="001F7AA0">
        <w:rPr>
          <w:sz w:val="16"/>
        </w:rPr>
        <w:t>     (R</w:t>
      </w:r>
      <w:r w:rsidRPr="001F7AA0">
        <w:rPr>
          <w:caps w:val="0"/>
          <w:sz w:val="16"/>
        </w:rPr>
        <w:t>ÉV</w:t>
      </w:r>
      <w:r w:rsidRPr="001F7AA0">
        <w:rPr>
          <w:sz w:val="16"/>
        </w:rPr>
        <w:t>.CMR-15)</w:t>
      </w:r>
      <w:bookmarkEnd w:id="9"/>
      <w:bookmarkEnd w:id="10"/>
    </w:p>
    <w:p w14:paraId="49A637DB" w14:textId="77777777" w:rsidR="00221098" w:rsidRPr="001F7AA0" w:rsidRDefault="003503F4" w:rsidP="00193AD6">
      <w:pPr>
        <w:pStyle w:val="Annextitle"/>
      </w:pPr>
      <w:bookmarkStart w:id="11" w:name="_Toc459987793"/>
      <w:r w:rsidRPr="001F7AA0">
        <w:t>Limites à prendre en consi</w:t>
      </w:r>
      <w:bookmarkStart w:id="12" w:name="_GoBack"/>
      <w:bookmarkEnd w:id="12"/>
      <w:r w:rsidRPr="001F7AA0">
        <w:t xml:space="preserve">dération pour déterminer si un service d'une administration est affecté par un projet de modification du Plan pour la </w:t>
      </w:r>
      <w:r w:rsidRPr="001F7AA0">
        <w:br/>
        <w:t>Région 2 ou par un projet d'assignation nouvelle ou modifiée dans la Liste pour les Régions 1 et 3 ou lorsqu'il faut rechercher l'accord d'une autre administration conformément au présent Appendice</w:t>
      </w:r>
      <w:r w:rsidRPr="001F7AA0">
        <w:rPr>
          <w:rStyle w:val="FootnoteReference"/>
          <w:rFonts w:asciiTheme="majorBidi" w:hAnsiTheme="majorBidi"/>
          <w:b w:val="0"/>
          <w:bCs/>
          <w:color w:val="000000"/>
        </w:rPr>
        <w:footnoteReference w:customMarkFollows="1" w:id="3"/>
        <w:t>25</w:t>
      </w:r>
      <w:bookmarkEnd w:id="11"/>
    </w:p>
    <w:p w14:paraId="08B9B802" w14:textId="77777777" w:rsidR="00221098" w:rsidRPr="001F7AA0" w:rsidRDefault="003503F4" w:rsidP="00193AD6">
      <w:pPr>
        <w:pStyle w:val="Annexref"/>
      </w:pPr>
      <w:r w:rsidRPr="001F7AA0">
        <w:t>(Voir l'Article 4)</w:t>
      </w:r>
    </w:p>
    <w:p w14:paraId="07CB4109" w14:textId="77777777" w:rsidR="004C351A" w:rsidRPr="001F7AA0" w:rsidRDefault="003503F4" w:rsidP="004C351A">
      <w:pPr>
        <w:pStyle w:val="Reasons"/>
      </w:pPr>
      <w:r w:rsidRPr="001F7AA0">
        <w:rPr>
          <w:b/>
        </w:rPr>
        <w:t>Motifs:</w:t>
      </w:r>
      <w:r w:rsidRPr="001F7AA0">
        <w:tab/>
      </w:r>
      <w:r w:rsidR="00131345" w:rsidRPr="001F7AA0">
        <w:t>Étant donné qu</w:t>
      </w:r>
      <w:r w:rsidR="00FD5B25" w:rsidRPr="001F7AA0">
        <w:t>e la Question</w:t>
      </w:r>
      <w:r w:rsidR="0019511A" w:rsidRPr="001F7AA0">
        <w:t xml:space="preserve"> </w:t>
      </w:r>
      <w:r w:rsidR="00FD5B25" w:rsidRPr="001F7AA0">
        <w:t>J inscrite au point</w:t>
      </w:r>
      <w:r w:rsidR="0019511A" w:rsidRPr="001F7AA0">
        <w:t xml:space="preserve"> </w:t>
      </w:r>
      <w:r w:rsidR="00131345" w:rsidRPr="001F7AA0">
        <w:t>7 de l'ordre du jour de la CMR-19 ne concerne que les Régions 1 et 3, il est proposé de n'apporter aucune modification pour</w:t>
      </w:r>
      <w:r w:rsidR="00FD5B25" w:rsidRPr="001F7AA0">
        <w:t xml:space="preserve"> la Région</w:t>
      </w:r>
      <w:r w:rsidR="0019511A" w:rsidRPr="001F7AA0">
        <w:t xml:space="preserve"> </w:t>
      </w:r>
      <w:r w:rsidR="00131345" w:rsidRPr="001F7AA0">
        <w:t>2. De plus, toute modification apportée au Règlement des radiocommuni</w:t>
      </w:r>
      <w:r w:rsidR="00FD5B25" w:rsidRPr="001F7AA0">
        <w:t>cations au titre de la Question J du point</w:t>
      </w:r>
      <w:r w:rsidR="0019511A" w:rsidRPr="001F7AA0">
        <w:t xml:space="preserve"> </w:t>
      </w:r>
      <w:r w:rsidR="00131345" w:rsidRPr="001F7AA0">
        <w:t xml:space="preserve">7 de l'ordre du jour de la CMR-19 ne doit pas avoir d'incidence sur le Plan de la </w:t>
      </w:r>
      <w:r w:rsidR="00FD5B25" w:rsidRPr="001F7AA0">
        <w:t>Région</w:t>
      </w:r>
      <w:r w:rsidR="0019511A" w:rsidRPr="001F7AA0">
        <w:t xml:space="preserve"> </w:t>
      </w:r>
      <w:r w:rsidR="00FD5B25" w:rsidRPr="001F7AA0">
        <w:t>2 figurant à l'Appendice</w:t>
      </w:r>
      <w:r w:rsidR="0019511A" w:rsidRPr="001F7AA0">
        <w:t xml:space="preserve"> </w:t>
      </w:r>
      <w:r w:rsidR="00131345" w:rsidRPr="001F7AA0">
        <w:rPr>
          <w:b/>
          <w:bCs/>
        </w:rPr>
        <w:t>30</w:t>
      </w:r>
      <w:r w:rsidR="00131345" w:rsidRPr="001F7AA0">
        <w:t xml:space="preserve"> du RR</w:t>
      </w:r>
      <w:r w:rsidR="00F6698C" w:rsidRPr="001F7AA0">
        <w:t>.</w:t>
      </w:r>
    </w:p>
    <w:p w14:paraId="0F6CAAF2" w14:textId="0095A443" w:rsidR="00C06A00" w:rsidRPr="001F7AA0" w:rsidRDefault="007D0BE2" w:rsidP="004C351A">
      <w:r w:rsidRPr="001F7AA0">
        <w:t xml:space="preserve">Afin de protéger les services offerts dans la Région 2, les modifications qui sont apportées </w:t>
      </w:r>
      <w:r w:rsidR="00832AB1" w:rsidRPr="001F7AA0">
        <w:t>uniquement</w:t>
      </w:r>
      <w:r w:rsidRPr="001F7AA0">
        <w:t xml:space="preserve"> dans les Régions 1 et 3 ne devraient </w:t>
      </w:r>
      <w:r w:rsidR="00832AB1" w:rsidRPr="001F7AA0">
        <w:t>entraîner aucune modification d</w:t>
      </w:r>
      <w:r w:rsidRPr="001F7AA0">
        <w:t>es procédures applicables à la Région 2 dans le cadre de cette question</w:t>
      </w:r>
      <w:r w:rsidR="00C06A00" w:rsidRPr="001F7AA0">
        <w:t xml:space="preserve">. </w:t>
      </w:r>
      <w:r w:rsidRPr="001F7AA0">
        <w:t xml:space="preserve">Par conséquent, il est proposé de n'apporter aucune modification </w:t>
      </w:r>
      <w:r w:rsidR="00C06A00" w:rsidRPr="001F7AA0">
        <w:t xml:space="preserve">(NOC) </w:t>
      </w:r>
      <w:r w:rsidRPr="001F7AA0">
        <w:t xml:space="preserve">qui pourrait avoir une incidence sur les procédures </w:t>
      </w:r>
      <w:r w:rsidR="00E27736" w:rsidRPr="001F7AA0">
        <w:t xml:space="preserve">applicables </w:t>
      </w:r>
      <w:r w:rsidRPr="001F7AA0">
        <w:t>dans la Région</w:t>
      </w:r>
      <w:r w:rsidR="00C06A00" w:rsidRPr="001F7AA0">
        <w:t xml:space="preserve"> 2.</w:t>
      </w:r>
    </w:p>
    <w:p w14:paraId="75DF1E6E" w14:textId="77777777" w:rsidR="00321DB9" w:rsidRPr="001F7AA0" w:rsidRDefault="00321DB9" w:rsidP="003503F4">
      <w:pPr>
        <w:jc w:val="center"/>
      </w:pPr>
      <w:r w:rsidRPr="001F7AA0">
        <w:t>______________</w:t>
      </w:r>
    </w:p>
    <w:sectPr w:rsidR="00321DB9" w:rsidRPr="001F7AA0">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6BA62" w14:textId="77777777" w:rsidR="0070076C" w:rsidRDefault="0070076C">
      <w:r>
        <w:separator/>
      </w:r>
    </w:p>
  </w:endnote>
  <w:endnote w:type="continuationSeparator" w:id="0">
    <w:p w14:paraId="6B942A1A"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B6F9" w14:textId="43A5225B" w:rsidR="00936D25" w:rsidRDefault="00936D25">
    <w:pPr>
      <w:rPr>
        <w:lang w:val="en-US"/>
      </w:rPr>
    </w:pPr>
    <w:r>
      <w:fldChar w:fldCharType="begin"/>
    </w:r>
    <w:r>
      <w:rPr>
        <w:lang w:val="en-US"/>
      </w:rPr>
      <w:instrText xml:space="preserve"> FILENAME \p  \* MERGEFORMAT </w:instrText>
    </w:r>
    <w:r>
      <w:fldChar w:fldCharType="separate"/>
    </w:r>
    <w:r w:rsidR="000E0979">
      <w:rPr>
        <w:noProof/>
        <w:lang w:val="en-US"/>
      </w:rPr>
      <w:t>P:\FRA\ITU-R\CONF-R\CMR19\000\011ADD19ADD10F.docx</w:t>
    </w:r>
    <w:r>
      <w:fldChar w:fldCharType="end"/>
    </w:r>
    <w:r>
      <w:rPr>
        <w:lang w:val="en-US"/>
      </w:rPr>
      <w:tab/>
    </w:r>
    <w:r>
      <w:fldChar w:fldCharType="begin"/>
    </w:r>
    <w:r>
      <w:instrText xml:space="preserve"> SAVEDATE \@ DD.MM.YY </w:instrText>
    </w:r>
    <w:r>
      <w:fldChar w:fldCharType="separate"/>
    </w:r>
    <w:r w:rsidR="000E0979">
      <w:rPr>
        <w:noProof/>
      </w:rPr>
      <w:t>30.09.19</w:t>
    </w:r>
    <w:r>
      <w:fldChar w:fldCharType="end"/>
    </w:r>
    <w:r>
      <w:rPr>
        <w:lang w:val="en-US"/>
      </w:rPr>
      <w:tab/>
    </w:r>
    <w:r>
      <w:fldChar w:fldCharType="begin"/>
    </w:r>
    <w:r>
      <w:instrText xml:space="preserve"> PRINTDATE \@ DD.MM.YY </w:instrText>
    </w:r>
    <w:r>
      <w:fldChar w:fldCharType="separate"/>
    </w:r>
    <w:r w:rsidR="000E0979">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82A3" w14:textId="45DB7408" w:rsidR="00936D25" w:rsidRDefault="009F74D8" w:rsidP="006858ED">
    <w:pPr>
      <w:pStyle w:val="Footer"/>
      <w:rPr>
        <w:lang w:val="en-US"/>
      </w:rPr>
    </w:pPr>
    <w:r>
      <w:fldChar w:fldCharType="begin"/>
    </w:r>
    <w:r w:rsidRPr="00832AB1">
      <w:rPr>
        <w:lang w:val="en-GB"/>
      </w:rPr>
      <w:instrText xml:space="preserve"> FILENAME \p  \* MERGEFORMAT </w:instrText>
    </w:r>
    <w:r>
      <w:fldChar w:fldCharType="separate"/>
    </w:r>
    <w:r w:rsidR="000E0979">
      <w:rPr>
        <w:lang w:val="en-GB"/>
      </w:rPr>
      <w:t>P:\FRA\ITU-R\CONF-R\CMR19\000\011ADD19ADD10F.docx</w:t>
    </w:r>
    <w:r>
      <w:fldChar w:fldCharType="end"/>
    </w:r>
    <w:r w:rsidR="006858ED" w:rsidRPr="00832AB1">
      <w:rPr>
        <w:lang w:val="en-GB"/>
      </w:rPr>
      <w:t xml:space="preserve"> (460819)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8EED" w14:textId="6CD31A04" w:rsidR="00936D25" w:rsidRDefault="009F74D8" w:rsidP="00C06A00">
    <w:pPr>
      <w:pStyle w:val="Footer"/>
      <w:rPr>
        <w:lang w:val="en-US"/>
      </w:rPr>
    </w:pPr>
    <w:r>
      <w:fldChar w:fldCharType="begin"/>
    </w:r>
    <w:r w:rsidRPr="00832AB1">
      <w:rPr>
        <w:lang w:val="en-GB"/>
      </w:rPr>
      <w:instrText xml:space="preserve"> FILENAME \p  \* MERGEFORMAT </w:instrText>
    </w:r>
    <w:r>
      <w:fldChar w:fldCharType="separate"/>
    </w:r>
    <w:r w:rsidR="000E0979">
      <w:rPr>
        <w:lang w:val="en-GB"/>
      </w:rPr>
      <w:t>P:\FRA\ITU-R\CONF-R\CMR19\000\011ADD19ADD10F.docx</w:t>
    </w:r>
    <w:r>
      <w:fldChar w:fldCharType="end"/>
    </w:r>
    <w:r w:rsidR="00C06A00" w:rsidRPr="00832AB1">
      <w:rPr>
        <w:lang w:val="en-GB"/>
      </w:rPr>
      <w:t xml:space="preserve"> (460819)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15473" w14:textId="77777777" w:rsidR="0070076C" w:rsidRDefault="0070076C">
      <w:r>
        <w:rPr>
          <w:b/>
        </w:rPr>
        <w:t>_______________</w:t>
      </w:r>
    </w:p>
  </w:footnote>
  <w:footnote w:type="continuationSeparator" w:id="0">
    <w:p w14:paraId="4DA146D0" w14:textId="77777777" w:rsidR="0070076C" w:rsidRDefault="0070076C">
      <w:r>
        <w:continuationSeparator/>
      </w:r>
    </w:p>
  </w:footnote>
  <w:footnote w:id="1">
    <w:p w14:paraId="4742876E" w14:textId="77777777" w:rsidR="00E555B4" w:rsidRDefault="003503F4"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5E526119" w14:textId="77777777" w:rsidR="00E555B4" w:rsidRDefault="003503F4"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1963E9A1" w14:textId="77777777" w:rsidR="00E555B4" w:rsidRDefault="003503F4"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29068E65" w14:textId="77777777" w:rsidR="00E555B4" w:rsidRDefault="003503F4"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7B918869" w14:textId="77777777" w:rsidR="00E555B4" w:rsidRDefault="003503F4" w:rsidP="00193AD6">
      <w:pPr>
        <w:pStyle w:val="FootnoteText"/>
        <w:rPr>
          <w:lang w:val="fr-CH"/>
        </w:rPr>
      </w:pPr>
      <w:r>
        <w:rPr>
          <w:rStyle w:val="FootnoteReference"/>
          <w:color w:val="000000"/>
        </w:rPr>
        <w:t>25</w:t>
      </w:r>
      <w:r>
        <w:t xml:space="preserve"> </w:t>
      </w:r>
      <w:r>
        <w:tab/>
      </w:r>
      <w:r>
        <w:rPr>
          <w:lang w:val="fr-CH"/>
        </w:rPr>
        <w:t>Dans la présente Annexe, sauf en ce qui concerne le § 2, les limites se rapportent à la puissance surfacique obtenue en supposant une propagation en espace libre.</w:t>
      </w:r>
    </w:p>
    <w:p w14:paraId="192B2E8A" w14:textId="77777777" w:rsidR="00E555B4" w:rsidRDefault="003503F4" w:rsidP="00193AD6">
      <w:pPr>
        <w:pStyle w:val="FootnoteText"/>
      </w:pPr>
      <w:r>
        <w:rPr>
          <w:lang w:val="fr-CH"/>
        </w:rPr>
        <w:tab/>
        <w:t>Dans le § 2 de la présente Annexe, la limite spécifiée se rapporte à la marge de protection globale équivalente calculée selon le § 2.2.4 de l'Annexe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2385" w14:textId="77777777" w:rsidR="004F1F8E" w:rsidRDefault="004F1F8E" w:rsidP="004F1F8E">
    <w:pPr>
      <w:pStyle w:val="Header"/>
    </w:pPr>
    <w:r>
      <w:fldChar w:fldCharType="begin"/>
    </w:r>
    <w:r>
      <w:instrText xml:space="preserve"> PAGE </w:instrText>
    </w:r>
    <w:r>
      <w:fldChar w:fldCharType="separate"/>
    </w:r>
    <w:r w:rsidR="0019511A">
      <w:rPr>
        <w:noProof/>
      </w:rPr>
      <w:t>4</w:t>
    </w:r>
    <w:r>
      <w:fldChar w:fldCharType="end"/>
    </w:r>
  </w:p>
  <w:p w14:paraId="13756D8D" w14:textId="77777777" w:rsidR="004F1F8E" w:rsidRDefault="004F1F8E" w:rsidP="00FD7AA3">
    <w:pPr>
      <w:pStyle w:val="Header"/>
    </w:pPr>
    <w:r>
      <w:t>CMR1</w:t>
    </w:r>
    <w:r w:rsidR="00FD7AA3">
      <w:t>9</w:t>
    </w:r>
    <w:r>
      <w:t>/</w:t>
    </w:r>
    <w:r w:rsidR="006A4B45">
      <w:t>11(Add.19)(Add.10)-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80C6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BECA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5C3F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38EA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9EC5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78BE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A60B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7EB5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3C0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BA11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E0979"/>
    <w:rsid w:val="001167B9"/>
    <w:rsid w:val="001267A0"/>
    <w:rsid w:val="00131345"/>
    <w:rsid w:val="0015203F"/>
    <w:rsid w:val="00160C64"/>
    <w:rsid w:val="0016547D"/>
    <w:rsid w:val="0018169B"/>
    <w:rsid w:val="0019352B"/>
    <w:rsid w:val="0019511A"/>
    <w:rsid w:val="001960D0"/>
    <w:rsid w:val="001A11F6"/>
    <w:rsid w:val="001A366F"/>
    <w:rsid w:val="001F17E8"/>
    <w:rsid w:val="001F7323"/>
    <w:rsid w:val="001F7AA0"/>
    <w:rsid w:val="00204306"/>
    <w:rsid w:val="00232FD2"/>
    <w:rsid w:val="0026554E"/>
    <w:rsid w:val="002A4622"/>
    <w:rsid w:val="002A6F8F"/>
    <w:rsid w:val="002B17E5"/>
    <w:rsid w:val="002C0EBF"/>
    <w:rsid w:val="002C28A4"/>
    <w:rsid w:val="002D7E0A"/>
    <w:rsid w:val="0030362C"/>
    <w:rsid w:val="00315AFE"/>
    <w:rsid w:val="00321DB9"/>
    <w:rsid w:val="003503F4"/>
    <w:rsid w:val="00356861"/>
    <w:rsid w:val="003606A6"/>
    <w:rsid w:val="0036650C"/>
    <w:rsid w:val="00373001"/>
    <w:rsid w:val="00393ACD"/>
    <w:rsid w:val="003A583E"/>
    <w:rsid w:val="003C4F0D"/>
    <w:rsid w:val="003E112B"/>
    <w:rsid w:val="003E1D1C"/>
    <w:rsid w:val="003E7B05"/>
    <w:rsid w:val="003F3719"/>
    <w:rsid w:val="003F6F2D"/>
    <w:rsid w:val="00465858"/>
    <w:rsid w:val="00466211"/>
    <w:rsid w:val="00483196"/>
    <w:rsid w:val="004834A9"/>
    <w:rsid w:val="004C351A"/>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858ED"/>
    <w:rsid w:val="00690C7B"/>
    <w:rsid w:val="006A4B45"/>
    <w:rsid w:val="006B51F4"/>
    <w:rsid w:val="006D4724"/>
    <w:rsid w:val="006F5FA2"/>
    <w:rsid w:val="0070076C"/>
    <w:rsid w:val="00701BAE"/>
    <w:rsid w:val="00721F04"/>
    <w:rsid w:val="00730E95"/>
    <w:rsid w:val="007426B9"/>
    <w:rsid w:val="00764342"/>
    <w:rsid w:val="00774362"/>
    <w:rsid w:val="00786598"/>
    <w:rsid w:val="00790C74"/>
    <w:rsid w:val="007A04E8"/>
    <w:rsid w:val="007B2C34"/>
    <w:rsid w:val="007D0BE2"/>
    <w:rsid w:val="007D42A6"/>
    <w:rsid w:val="00830086"/>
    <w:rsid w:val="00832AB1"/>
    <w:rsid w:val="008330C8"/>
    <w:rsid w:val="00851625"/>
    <w:rsid w:val="00863C0A"/>
    <w:rsid w:val="008A3120"/>
    <w:rsid w:val="008A4B97"/>
    <w:rsid w:val="008C5B8E"/>
    <w:rsid w:val="008C5DD5"/>
    <w:rsid w:val="008D41BE"/>
    <w:rsid w:val="008D58D3"/>
    <w:rsid w:val="008E3BC9"/>
    <w:rsid w:val="00923064"/>
    <w:rsid w:val="00930FFD"/>
    <w:rsid w:val="00936D25"/>
    <w:rsid w:val="00941EA5"/>
    <w:rsid w:val="00946B51"/>
    <w:rsid w:val="00964700"/>
    <w:rsid w:val="00966C16"/>
    <w:rsid w:val="0098732F"/>
    <w:rsid w:val="009A045F"/>
    <w:rsid w:val="009A6A2B"/>
    <w:rsid w:val="009C7E7C"/>
    <w:rsid w:val="009F74D8"/>
    <w:rsid w:val="00A00473"/>
    <w:rsid w:val="00A03C9B"/>
    <w:rsid w:val="00A17FFB"/>
    <w:rsid w:val="00A37105"/>
    <w:rsid w:val="00A606C3"/>
    <w:rsid w:val="00A83B09"/>
    <w:rsid w:val="00A84541"/>
    <w:rsid w:val="00AE36A0"/>
    <w:rsid w:val="00B00294"/>
    <w:rsid w:val="00B3749C"/>
    <w:rsid w:val="00B64FD0"/>
    <w:rsid w:val="00BA5BD0"/>
    <w:rsid w:val="00BB1D82"/>
    <w:rsid w:val="00BC36B3"/>
    <w:rsid w:val="00BD51C5"/>
    <w:rsid w:val="00BF26E7"/>
    <w:rsid w:val="00C06A00"/>
    <w:rsid w:val="00C53FCA"/>
    <w:rsid w:val="00C76BAF"/>
    <w:rsid w:val="00C814B9"/>
    <w:rsid w:val="00CD516F"/>
    <w:rsid w:val="00D119A7"/>
    <w:rsid w:val="00D25FBA"/>
    <w:rsid w:val="00D32B28"/>
    <w:rsid w:val="00D42954"/>
    <w:rsid w:val="00D66EAC"/>
    <w:rsid w:val="00D730DF"/>
    <w:rsid w:val="00D772F0"/>
    <w:rsid w:val="00D77BDC"/>
    <w:rsid w:val="00D9649D"/>
    <w:rsid w:val="00DC402B"/>
    <w:rsid w:val="00DE0932"/>
    <w:rsid w:val="00E03A27"/>
    <w:rsid w:val="00E049F1"/>
    <w:rsid w:val="00E27736"/>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53B28"/>
    <w:rsid w:val="00F6698C"/>
    <w:rsid w:val="00F711A7"/>
    <w:rsid w:val="00F742BA"/>
    <w:rsid w:val="00F83D72"/>
    <w:rsid w:val="00FA3BBF"/>
    <w:rsid w:val="00FB64E3"/>
    <w:rsid w:val="00FC41F8"/>
    <w:rsid w:val="00FD5B25"/>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967EC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styleId="BalloonText">
    <w:name w:val="Balloon Text"/>
    <w:basedOn w:val="Normal"/>
    <w:link w:val="BalloonTextChar"/>
    <w:semiHidden/>
    <w:unhideWhenUsed/>
    <w:rsid w:val="00832AB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2AB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R16-WRC19-C-0011!A19-A10!MSW-F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1A8F8-0938-4C21-A87F-982C33A3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AC0D47A9-4FD1-4137-8A07-F3570F12B2DA}">
  <ds:schemaRefs>
    <ds:schemaRef ds:uri="http://purl.org/dc/dcmitype/"/>
    <ds:schemaRef ds:uri="http://schemas.microsoft.com/office/infopath/2007/PartnerControls"/>
    <ds:schemaRef ds:uri="http://purl.org/dc/elements/1.1/"/>
    <ds:schemaRef ds:uri="996b2e75-67fd-4955-a3b0-5ab9934cb50b"/>
    <ds:schemaRef ds:uri="http://purl.org/dc/terms/"/>
    <ds:schemaRef ds:uri="http://schemas.microsoft.com/office/2006/metadata/properties"/>
    <ds:schemaRef ds:uri="http://schemas.microsoft.com/office/2006/documentManagement/type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D33C7992-E072-40FA-9CC7-FE9E9F7AA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598</Words>
  <Characters>3211</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R16-WRC19-C-0011!A19-A10!MSW-F</vt:lpstr>
    </vt:vector>
  </TitlesOfParts>
  <Manager>Secrétariat général - Pool</Manager>
  <Company>Union internationale des télécommunications (UIT)</Company>
  <LinksUpToDate>false</LinksUpToDate>
  <CharactersWithSpaces>3798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R16-WRC19-C-0011!A19-A10!MSW-F</dc:title>
  <dc:subject>Conférence mondiale des radiocommunications - 2019</dc:subject>
  <dc:creator>Documents Proposals Manager (DPM)</dc:creator>
  <cp:keywords>DPM_v2019.9.20.1_prod</cp:keywords>
  <dc:description/>
  <cp:lastModifiedBy>Gozel, Elsa</cp:lastModifiedBy>
  <cp:revision>8</cp:revision>
  <cp:lastPrinted>2019-09-30T07:53:00Z</cp:lastPrinted>
  <dcterms:created xsi:type="dcterms:W3CDTF">2019-09-27T10:13:00Z</dcterms:created>
  <dcterms:modified xsi:type="dcterms:W3CDTF">2019-09-30T07:53:00Z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