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9853" w:type="dxa"/>
        <w:tblLayout w:type="fixed"/>
        <w:tblLook w:val="0000" w:firstRow="0" w:lastRow="0" w:firstColumn="0" w:lastColumn="0" w:noHBand="0" w:noVBand="0"/>
      </w:tblPr>
      <w:tblGrid>
        <w:gridCol w:w="6677"/>
        <w:gridCol w:w="3168"/>
        <w:gridCol w:w="8"/>
      </w:tblGrid>
      <w:tr w:rsidR="0090121B" w:rsidRPr="003779A4" w14:paraId="406EDE31" w14:textId="77777777" w:rsidTr="0046228B">
        <w:trPr>
          <w:cantSplit/>
        </w:trPr>
        <w:tc>
          <w:tcPr>
            <w:tcW w:w="6677" w:type="dxa"/>
          </w:tcPr>
          <w:p w14:paraId="61A02BC5" w14:textId="77777777" w:rsidR="0090121B" w:rsidRPr="003779A4" w:rsidRDefault="005D46FB" w:rsidP="00C44E9E">
            <w:pPr>
              <w:spacing w:before="400" w:after="48" w:line="240" w:lineRule="atLeast"/>
              <w:rPr>
                <w:rFonts w:ascii="Verdana" w:hAnsi="Verdana"/>
                <w:position w:val="6"/>
              </w:rPr>
            </w:pPr>
            <w:r w:rsidRPr="003779A4">
              <w:rPr>
                <w:rFonts w:ascii="Verdana" w:hAnsi="Verdana" w:cs="Times"/>
                <w:b/>
                <w:position w:val="6"/>
                <w:sz w:val="20"/>
              </w:rPr>
              <w:t>Conferencia Mundial de Radiocomunicaciones (CMR-1</w:t>
            </w:r>
            <w:r w:rsidR="00C44E9E" w:rsidRPr="003779A4">
              <w:rPr>
                <w:rFonts w:ascii="Verdana" w:hAnsi="Verdana" w:cs="Times"/>
                <w:b/>
                <w:position w:val="6"/>
                <w:sz w:val="20"/>
              </w:rPr>
              <w:t>9</w:t>
            </w:r>
            <w:r w:rsidRPr="003779A4">
              <w:rPr>
                <w:rFonts w:ascii="Verdana" w:hAnsi="Verdana" w:cs="Times"/>
                <w:b/>
                <w:position w:val="6"/>
                <w:sz w:val="20"/>
              </w:rPr>
              <w:t>)</w:t>
            </w:r>
            <w:r w:rsidRPr="003779A4">
              <w:rPr>
                <w:rFonts w:ascii="Verdana" w:hAnsi="Verdana" w:cs="Times"/>
                <w:b/>
                <w:position w:val="6"/>
                <w:sz w:val="20"/>
              </w:rPr>
              <w:br/>
            </w:r>
            <w:r w:rsidR="006124AD" w:rsidRPr="003779A4">
              <w:rPr>
                <w:rFonts w:ascii="Verdana" w:hAnsi="Verdana"/>
                <w:b/>
                <w:bCs/>
                <w:position w:val="6"/>
                <w:sz w:val="17"/>
                <w:szCs w:val="17"/>
              </w:rPr>
              <w:t>Sharm el-Sheikh (Egipto)</w:t>
            </w:r>
            <w:r w:rsidRPr="003779A4">
              <w:rPr>
                <w:rFonts w:ascii="Verdana" w:hAnsi="Verdana"/>
                <w:b/>
                <w:bCs/>
                <w:position w:val="6"/>
                <w:sz w:val="17"/>
                <w:szCs w:val="17"/>
              </w:rPr>
              <w:t>, 2</w:t>
            </w:r>
            <w:r w:rsidR="00C44E9E" w:rsidRPr="003779A4">
              <w:rPr>
                <w:rFonts w:ascii="Verdana" w:hAnsi="Verdana"/>
                <w:b/>
                <w:bCs/>
                <w:position w:val="6"/>
                <w:sz w:val="17"/>
                <w:szCs w:val="17"/>
              </w:rPr>
              <w:t xml:space="preserve">8 de octubre </w:t>
            </w:r>
            <w:r w:rsidR="00DE1C31" w:rsidRPr="003779A4">
              <w:rPr>
                <w:rFonts w:ascii="Verdana" w:hAnsi="Verdana"/>
                <w:b/>
                <w:bCs/>
                <w:position w:val="6"/>
                <w:sz w:val="17"/>
                <w:szCs w:val="17"/>
              </w:rPr>
              <w:t>–</w:t>
            </w:r>
            <w:r w:rsidR="00C44E9E" w:rsidRPr="003779A4">
              <w:rPr>
                <w:rFonts w:ascii="Verdana" w:hAnsi="Verdana"/>
                <w:b/>
                <w:bCs/>
                <w:position w:val="6"/>
                <w:sz w:val="17"/>
                <w:szCs w:val="17"/>
              </w:rPr>
              <w:t xml:space="preserve"> </w:t>
            </w:r>
            <w:r w:rsidRPr="003779A4">
              <w:rPr>
                <w:rFonts w:ascii="Verdana" w:hAnsi="Verdana"/>
                <w:b/>
                <w:bCs/>
                <w:position w:val="6"/>
                <w:sz w:val="17"/>
                <w:szCs w:val="17"/>
              </w:rPr>
              <w:t>2</w:t>
            </w:r>
            <w:r w:rsidR="00C44E9E" w:rsidRPr="003779A4">
              <w:rPr>
                <w:rFonts w:ascii="Verdana" w:hAnsi="Verdana"/>
                <w:b/>
                <w:bCs/>
                <w:position w:val="6"/>
                <w:sz w:val="17"/>
                <w:szCs w:val="17"/>
              </w:rPr>
              <w:t>2</w:t>
            </w:r>
            <w:r w:rsidRPr="003779A4">
              <w:rPr>
                <w:rFonts w:ascii="Verdana" w:hAnsi="Verdana"/>
                <w:b/>
                <w:bCs/>
                <w:position w:val="6"/>
                <w:sz w:val="17"/>
                <w:szCs w:val="17"/>
              </w:rPr>
              <w:t xml:space="preserve"> de noviembre de 201</w:t>
            </w:r>
            <w:r w:rsidR="00C44E9E" w:rsidRPr="003779A4">
              <w:rPr>
                <w:rFonts w:ascii="Verdana" w:hAnsi="Verdana"/>
                <w:b/>
                <w:bCs/>
                <w:position w:val="6"/>
                <w:sz w:val="17"/>
                <w:szCs w:val="17"/>
              </w:rPr>
              <w:t>9</w:t>
            </w:r>
          </w:p>
        </w:tc>
        <w:tc>
          <w:tcPr>
            <w:tcW w:w="3176" w:type="dxa"/>
            <w:gridSpan w:val="2"/>
          </w:tcPr>
          <w:p w14:paraId="58BC073F" w14:textId="77777777" w:rsidR="0090121B" w:rsidRPr="003779A4" w:rsidRDefault="00DA71A3" w:rsidP="00CE7431">
            <w:pPr>
              <w:spacing w:before="0" w:line="240" w:lineRule="atLeast"/>
              <w:jc w:val="right"/>
            </w:pPr>
            <w:bookmarkStart w:id="0" w:name="ditulogo"/>
            <w:bookmarkEnd w:id="0"/>
            <w:r w:rsidRPr="003779A4">
              <w:rPr>
                <w:rFonts w:ascii="Verdana" w:hAnsi="Verdana"/>
                <w:b/>
                <w:bCs/>
                <w:noProof/>
                <w:szCs w:val="24"/>
                <w:lang w:eastAsia="zh-CN"/>
              </w:rPr>
              <w:drawing>
                <wp:inline distT="0" distB="0" distL="0" distR="0" wp14:anchorId="67C83643" wp14:editId="06D68D7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779A4" w14:paraId="044E1F4D" w14:textId="77777777" w:rsidTr="0046228B">
        <w:trPr>
          <w:cantSplit/>
        </w:trPr>
        <w:tc>
          <w:tcPr>
            <w:tcW w:w="6677" w:type="dxa"/>
            <w:tcBorders>
              <w:bottom w:val="single" w:sz="12" w:space="0" w:color="auto"/>
            </w:tcBorders>
          </w:tcPr>
          <w:p w14:paraId="784EE3A0" w14:textId="77777777" w:rsidR="0090121B" w:rsidRPr="003779A4" w:rsidRDefault="0090121B" w:rsidP="0090121B">
            <w:pPr>
              <w:spacing w:before="0" w:after="48" w:line="240" w:lineRule="atLeast"/>
              <w:rPr>
                <w:b/>
                <w:smallCaps/>
                <w:szCs w:val="24"/>
              </w:rPr>
            </w:pPr>
            <w:bookmarkStart w:id="1" w:name="dhead"/>
          </w:p>
        </w:tc>
        <w:tc>
          <w:tcPr>
            <w:tcW w:w="3176" w:type="dxa"/>
            <w:gridSpan w:val="2"/>
            <w:tcBorders>
              <w:bottom w:val="single" w:sz="12" w:space="0" w:color="auto"/>
            </w:tcBorders>
          </w:tcPr>
          <w:p w14:paraId="057F6B90" w14:textId="77777777" w:rsidR="0090121B" w:rsidRPr="003779A4" w:rsidRDefault="0090121B" w:rsidP="0090121B">
            <w:pPr>
              <w:spacing w:before="0" w:line="240" w:lineRule="atLeast"/>
              <w:rPr>
                <w:rFonts w:ascii="Verdana" w:hAnsi="Verdana"/>
                <w:szCs w:val="24"/>
              </w:rPr>
            </w:pPr>
          </w:p>
        </w:tc>
      </w:tr>
      <w:tr w:rsidR="0090121B" w:rsidRPr="003779A4" w14:paraId="20B07945" w14:textId="77777777" w:rsidTr="0046228B">
        <w:trPr>
          <w:cantSplit/>
        </w:trPr>
        <w:tc>
          <w:tcPr>
            <w:tcW w:w="6677" w:type="dxa"/>
            <w:tcBorders>
              <w:top w:val="single" w:sz="12" w:space="0" w:color="auto"/>
            </w:tcBorders>
          </w:tcPr>
          <w:p w14:paraId="441371FD" w14:textId="77777777" w:rsidR="0090121B" w:rsidRPr="003779A4" w:rsidRDefault="0090121B" w:rsidP="0090121B">
            <w:pPr>
              <w:spacing w:before="0" w:after="48" w:line="240" w:lineRule="atLeast"/>
              <w:rPr>
                <w:rFonts w:ascii="Verdana" w:hAnsi="Verdana"/>
                <w:b/>
                <w:smallCaps/>
                <w:sz w:val="20"/>
              </w:rPr>
            </w:pPr>
          </w:p>
        </w:tc>
        <w:tc>
          <w:tcPr>
            <w:tcW w:w="3176" w:type="dxa"/>
            <w:gridSpan w:val="2"/>
            <w:tcBorders>
              <w:top w:val="single" w:sz="12" w:space="0" w:color="auto"/>
            </w:tcBorders>
          </w:tcPr>
          <w:p w14:paraId="3908C669" w14:textId="77777777" w:rsidR="0090121B" w:rsidRPr="003779A4" w:rsidRDefault="0090121B" w:rsidP="0090121B">
            <w:pPr>
              <w:spacing w:before="0" w:line="240" w:lineRule="atLeast"/>
              <w:rPr>
                <w:rFonts w:ascii="Verdana" w:hAnsi="Verdana"/>
                <w:sz w:val="20"/>
              </w:rPr>
            </w:pPr>
          </w:p>
        </w:tc>
      </w:tr>
      <w:tr w:rsidR="0090121B" w:rsidRPr="003779A4" w14:paraId="21CFE287" w14:textId="77777777" w:rsidTr="0046228B">
        <w:trPr>
          <w:cantSplit/>
        </w:trPr>
        <w:tc>
          <w:tcPr>
            <w:tcW w:w="6677" w:type="dxa"/>
          </w:tcPr>
          <w:p w14:paraId="2D291EB7" w14:textId="618466BA" w:rsidR="0090121B" w:rsidRPr="003779A4" w:rsidRDefault="001E7D42" w:rsidP="00EA77F0">
            <w:pPr>
              <w:pStyle w:val="Committee"/>
              <w:framePr w:hSpace="0" w:wrap="auto" w:hAnchor="text" w:yAlign="inline"/>
              <w:rPr>
                <w:lang w:val="es-ES_tradnl"/>
              </w:rPr>
            </w:pPr>
            <w:r w:rsidRPr="003779A4">
              <w:rPr>
                <w:lang w:val="es-ES_tradnl"/>
              </w:rPr>
              <w:t>SESIÓN PLENARIA</w:t>
            </w:r>
          </w:p>
        </w:tc>
        <w:tc>
          <w:tcPr>
            <w:tcW w:w="3176" w:type="dxa"/>
            <w:gridSpan w:val="2"/>
          </w:tcPr>
          <w:p w14:paraId="1D8C135F" w14:textId="77777777" w:rsidR="0090121B" w:rsidRPr="003779A4" w:rsidRDefault="00AE658F" w:rsidP="0045384C">
            <w:pPr>
              <w:spacing w:before="0"/>
              <w:rPr>
                <w:rFonts w:ascii="Verdana" w:hAnsi="Verdana"/>
                <w:sz w:val="20"/>
              </w:rPr>
            </w:pPr>
            <w:r w:rsidRPr="003779A4">
              <w:rPr>
                <w:rFonts w:ascii="Verdana" w:hAnsi="Verdana"/>
                <w:b/>
                <w:sz w:val="20"/>
              </w:rPr>
              <w:t>Addéndum 6 al</w:t>
            </w:r>
            <w:r w:rsidRPr="003779A4">
              <w:rPr>
                <w:rFonts w:ascii="Verdana" w:hAnsi="Verdana"/>
                <w:b/>
                <w:sz w:val="20"/>
              </w:rPr>
              <w:br/>
              <w:t>Documento 11(Add.13)</w:t>
            </w:r>
            <w:r w:rsidR="0090121B" w:rsidRPr="003779A4">
              <w:rPr>
                <w:rFonts w:ascii="Verdana" w:hAnsi="Verdana"/>
                <w:b/>
                <w:sz w:val="20"/>
              </w:rPr>
              <w:t>-</w:t>
            </w:r>
            <w:r w:rsidRPr="003779A4">
              <w:rPr>
                <w:rFonts w:ascii="Verdana" w:hAnsi="Verdana"/>
                <w:b/>
                <w:sz w:val="20"/>
              </w:rPr>
              <w:t>S</w:t>
            </w:r>
          </w:p>
        </w:tc>
      </w:tr>
      <w:bookmarkEnd w:id="1"/>
      <w:tr w:rsidR="000A5B9A" w:rsidRPr="003779A4" w14:paraId="69A155C4" w14:textId="77777777" w:rsidTr="0046228B">
        <w:trPr>
          <w:cantSplit/>
        </w:trPr>
        <w:tc>
          <w:tcPr>
            <w:tcW w:w="6677" w:type="dxa"/>
          </w:tcPr>
          <w:p w14:paraId="3F3225AB" w14:textId="77777777" w:rsidR="000A5B9A" w:rsidRPr="003779A4" w:rsidRDefault="000A5B9A" w:rsidP="0045384C">
            <w:pPr>
              <w:spacing w:before="0" w:after="48"/>
              <w:rPr>
                <w:rFonts w:ascii="Verdana" w:hAnsi="Verdana"/>
                <w:b/>
                <w:smallCaps/>
                <w:sz w:val="20"/>
              </w:rPr>
            </w:pPr>
          </w:p>
        </w:tc>
        <w:tc>
          <w:tcPr>
            <w:tcW w:w="3176" w:type="dxa"/>
            <w:gridSpan w:val="2"/>
          </w:tcPr>
          <w:p w14:paraId="01DBD5AF" w14:textId="740EA502" w:rsidR="000A5B9A" w:rsidRPr="003779A4" w:rsidRDefault="0046228B" w:rsidP="0045384C">
            <w:pPr>
              <w:spacing w:before="0"/>
              <w:rPr>
                <w:rFonts w:ascii="Verdana" w:hAnsi="Verdana"/>
                <w:b/>
                <w:sz w:val="20"/>
              </w:rPr>
            </w:pPr>
            <w:r w:rsidRPr="003779A4">
              <w:rPr>
                <w:rFonts w:ascii="Verdana" w:hAnsi="Verdana"/>
                <w:b/>
                <w:sz w:val="20"/>
              </w:rPr>
              <w:t>13</w:t>
            </w:r>
            <w:r w:rsidR="000A5B9A" w:rsidRPr="003779A4">
              <w:rPr>
                <w:rFonts w:ascii="Verdana" w:hAnsi="Verdana"/>
                <w:b/>
                <w:sz w:val="20"/>
              </w:rPr>
              <w:t xml:space="preserve"> de septiembre de 2019</w:t>
            </w:r>
          </w:p>
        </w:tc>
      </w:tr>
      <w:tr w:rsidR="000A5B9A" w:rsidRPr="003779A4" w14:paraId="332BA71D" w14:textId="77777777" w:rsidTr="0046228B">
        <w:trPr>
          <w:cantSplit/>
        </w:trPr>
        <w:tc>
          <w:tcPr>
            <w:tcW w:w="6677" w:type="dxa"/>
          </w:tcPr>
          <w:p w14:paraId="6D642D13" w14:textId="77777777" w:rsidR="000A5B9A" w:rsidRPr="003779A4" w:rsidRDefault="000A5B9A" w:rsidP="0045384C">
            <w:pPr>
              <w:spacing w:before="0" w:after="48"/>
              <w:rPr>
                <w:rFonts w:ascii="Verdana" w:hAnsi="Verdana"/>
                <w:b/>
                <w:smallCaps/>
                <w:sz w:val="20"/>
              </w:rPr>
            </w:pPr>
          </w:p>
        </w:tc>
        <w:tc>
          <w:tcPr>
            <w:tcW w:w="3176" w:type="dxa"/>
            <w:gridSpan w:val="2"/>
          </w:tcPr>
          <w:p w14:paraId="37221FD3" w14:textId="01A4D6DD" w:rsidR="000A5B9A" w:rsidRPr="003779A4" w:rsidRDefault="000A5B9A" w:rsidP="0045384C">
            <w:pPr>
              <w:spacing w:before="0"/>
              <w:rPr>
                <w:rFonts w:ascii="Verdana" w:hAnsi="Verdana"/>
                <w:b/>
                <w:sz w:val="20"/>
              </w:rPr>
            </w:pPr>
            <w:r w:rsidRPr="003779A4">
              <w:rPr>
                <w:rFonts w:ascii="Verdana" w:hAnsi="Verdana"/>
                <w:b/>
                <w:sz w:val="20"/>
              </w:rPr>
              <w:t>Original: inglés</w:t>
            </w:r>
            <w:r w:rsidR="0046228B" w:rsidRPr="003779A4">
              <w:rPr>
                <w:rFonts w:ascii="Verdana" w:hAnsi="Verdana"/>
                <w:b/>
                <w:sz w:val="20"/>
              </w:rPr>
              <w:t>/español</w:t>
            </w:r>
          </w:p>
        </w:tc>
      </w:tr>
      <w:tr w:rsidR="000A5B9A" w:rsidRPr="003779A4" w14:paraId="7AC8468A" w14:textId="77777777" w:rsidTr="0046228B">
        <w:trPr>
          <w:gridAfter w:val="1"/>
          <w:wAfter w:w="8" w:type="dxa"/>
          <w:cantSplit/>
        </w:trPr>
        <w:tc>
          <w:tcPr>
            <w:tcW w:w="9845" w:type="dxa"/>
            <w:gridSpan w:val="2"/>
          </w:tcPr>
          <w:p w14:paraId="2CB6C5A0" w14:textId="77777777" w:rsidR="000A5B9A" w:rsidRPr="003779A4" w:rsidRDefault="000A5B9A" w:rsidP="0045384C">
            <w:pPr>
              <w:spacing w:before="0"/>
              <w:rPr>
                <w:rFonts w:ascii="Verdana" w:hAnsi="Verdana"/>
                <w:b/>
                <w:sz w:val="20"/>
              </w:rPr>
            </w:pPr>
          </w:p>
        </w:tc>
      </w:tr>
      <w:tr w:rsidR="000A5B9A" w:rsidRPr="003779A4" w14:paraId="73533E32" w14:textId="77777777" w:rsidTr="0046228B">
        <w:trPr>
          <w:gridAfter w:val="1"/>
          <w:wAfter w:w="8" w:type="dxa"/>
          <w:cantSplit/>
        </w:trPr>
        <w:tc>
          <w:tcPr>
            <w:tcW w:w="9845" w:type="dxa"/>
            <w:gridSpan w:val="2"/>
          </w:tcPr>
          <w:p w14:paraId="70471DE8" w14:textId="77777777" w:rsidR="000A5B9A" w:rsidRPr="003779A4" w:rsidRDefault="000A5B9A" w:rsidP="000A5B9A">
            <w:pPr>
              <w:pStyle w:val="Source"/>
            </w:pPr>
            <w:bookmarkStart w:id="2" w:name="dsource" w:colFirst="0" w:colLast="0"/>
            <w:r w:rsidRPr="003779A4">
              <w:t>Estados Miembros de la Comisión Interamericana de Telecomunicaciones (CITEL)</w:t>
            </w:r>
          </w:p>
        </w:tc>
      </w:tr>
      <w:tr w:rsidR="000A5B9A" w:rsidRPr="003779A4" w14:paraId="3DDB6D7C" w14:textId="77777777" w:rsidTr="0046228B">
        <w:trPr>
          <w:gridAfter w:val="1"/>
          <w:wAfter w:w="8" w:type="dxa"/>
          <w:cantSplit/>
        </w:trPr>
        <w:tc>
          <w:tcPr>
            <w:tcW w:w="9845" w:type="dxa"/>
            <w:gridSpan w:val="2"/>
          </w:tcPr>
          <w:p w14:paraId="5B85FA2D" w14:textId="232BB17D" w:rsidR="000A5B9A" w:rsidRPr="003779A4" w:rsidRDefault="00D0180D" w:rsidP="000A5B9A">
            <w:pPr>
              <w:pStyle w:val="Title1"/>
            </w:pPr>
            <w:bookmarkStart w:id="3" w:name="dtitle1" w:colFirst="0" w:colLast="0"/>
            <w:bookmarkEnd w:id="2"/>
            <w:r w:rsidRPr="003779A4">
              <w:t>Propuestas para los trabajos de la Conferencia</w:t>
            </w:r>
          </w:p>
        </w:tc>
      </w:tr>
      <w:tr w:rsidR="000A5B9A" w:rsidRPr="003779A4" w14:paraId="026A8FC1" w14:textId="77777777" w:rsidTr="0046228B">
        <w:trPr>
          <w:gridAfter w:val="1"/>
          <w:wAfter w:w="8" w:type="dxa"/>
          <w:cantSplit/>
        </w:trPr>
        <w:tc>
          <w:tcPr>
            <w:tcW w:w="9845" w:type="dxa"/>
            <w:gridSpan w:val="2"/>
          </w:tcPr>
          <w:p w14:paraId="2603FF6C" w14:textId="77777777" w:rsidR="000A5B9A" w:rsidRPr="003779A4" w:rsidRDefault="000A5B9A" w:rsidP="000A5B9A">
            <w:pPr>
              <w:pStyle w:val="Title2"/>
            </w:pPr>
            <w:bookmarkStart w:id="4" w:name="dtitle2" w:colFirst="0" w:colLast="0"/>
            <w:bookmarkEnd w:id="3"/>
          </w:p>
        </w:tc>
      </w:tr>
      <w:tr w:rsidR="000A5B9A" w:rsidRPr="003779A4" w14:paraId="69D4541F" w14:textId="77777777" w:rsidTr="0046228B">
        <w:trPr>
          <w:gridAfter w:val="1"/>
          <w:wAfter w:w="8" w:type="dxa"/>
          <w:cantSplit/>
        </w:trPr>
        <w:tc>
          <w:tcPr>
            <w:tcW w:w="9845" w:type="dxa"/>
            <w:gridSpan w:val="2"/>
          </w:tcPr>
          <w:p w14:paraId="4D199775" w14:textId="77777777" w:rsidR="000A5B9A" w:rsidRPr="003779A4" w:rsidRDefault="000A5B9A" w:rsidP="000A5B9A">
            <w:pPr>
              <w:pStyle w:val="Agendaitem"/>
            </w:pPr>
            <w:bookmarkStart w:id="5" w:name="dtitle3" w:colFirst="0" w:colLast="0"/>
            <w:bookmarkEnd w:id="4"/>
            <w:r w:rsidRPr="003779A4">
              <w:t>Punto 1.13 del orden del día</w:t>
            </w:r>
          </w:p>
        </w:tc>
      </w:tr>
    </w:tbl>
    <w:bookmarkEnd w:id="5"/>
    <w:p w14:paraId="11AC1A55" w14:textId="77777777" w:rsidR="001C0E40" w:rsidRPr="003779A4" w:rsidRDefault="00D0180D" w:rsidP="003A37B0">
      <w:r w:rsidRPr="003779A4">
        <w:t>1.13</w:t>
      </w:r>
      <w:r w:rsidRPr="003779A4">
        <w:tab/>
        <w:t xml:space="preserve">considerar la identificación de bandas de frecuencias para el futuro despliegue de las Telecomunicaciones Móviles Internacionales </w:t>
      </w:r>
      <w:r w:rsidRPr="003779A4">
        <w:rPr>
          <w:lang w:eastAsia="ja-JP"/>
        </w:rPr>
        <w:t>(</w:t>
      </w:r>
      <w:r w:rsidRPr="003779A4">
        <w:t>IMT</w:t>
      </w:r>
      <w:r w:rsidRPr="003779A4">
        <w:rPr>
          <w:lang w:eastAsia="ko-KR"/>
        </w:rPr>
        <w:t>)</w:t>
      </w:r>
      <w:r w:rsidRPr="003779A4">
        <w:t>, incluidas posibles atribuciones adicionales al servicio móvil a título primario, de conformidad con la Resolución </w:t>
      </w:r>
      <w:r w:rsidRPr="003779A4">
        <w:rPr>
          <w:rFonts w:eastAsia="SimSun"/>
          <w:b/>
          <w:szCs w:val="24"/>
          <w:lang w:eastAsia="zh-CN"/>
        </w:rPr>
        <w:t>238 (CMR-15)</w:t>
      </w:r>
      <w:r w:rsidRPr="003779A4">
        <w:rPr>
          <w:rFonts w:eastAsia="SimSun"/>
          <w:szCs w:val="24"/>
          <w:lang w:eastAsia="zh-CN"/>
        </w:rPr>
        <w:t>;</w:t>
      </w:r>
    </w:p>
    <w:p w14:paraId="3D15BB28" w14:textId="574D9E06" w:rsidR="0046228B" w:rsidRPr="003779A4" w:rsidRDefault="0046228B" w:rsidP="00310DC7">
      <w:pPr>
        <w:pStyle w:val="Part1"/>
      </w:pPr>
      <w:r w:rsidRPr="003779A4">
        <w:t>Parte 6 – Bandas de frecuencias 71-76 GHz y 81-86 GHz</w:t>
      </w:r>
    </w:p>
    <w:p w14:paraId="05B9C919" w14:textId="741EE22B" w:rsidR="0046228B" w:rsidRPr="003779A4" w:rsidRDefault="0046228B" w:rsidP="00310DC7">
      <w:pPr>
        <w:pStyle w:val="Headingb"/>
      </w:pPr>
      <w:r w:rsidRPr="003779A4">
        <w:t>Antecedentes</w:t>
      </w:r>
    </w:p>
    <w:p w14:paraId="43647636" w14:textId="24874AF3" w:rsidR="0046228B" w:rsidRPr="003779A4" w:rsidRDefault="0046228B" w:rsidP="0046228B">
      <w:r w:rsidRPr="003779A4">
        <w:t>La Resolución 238 (CMR-15) requiere estudios para determinar las necesidades de espectro para el componente terrestre de las IMT en el rango de frecuencia entre 24</w:t>
      </w:r>
      <w:r w:rsidR="009C3B6A">
        <w:t>,</w:t>
      </w:r>
      <w:r w:rsidRPr="003779A4">
        <w:t>25 GHz y 86 GHz, así como estudios de compartición y compatibilidad, teniendo en cuenta la protección de los servicios a los que la banda de frecuencias se asigna a título primario, para las bandas de frecuencia:</w:t>
      </w:r>
    </w:p>
    <w:p w14:paraId="0017BCF4" w14:textId="0D2A09CF" w:rsidR="0046228B" w:rsidRPr="003779A4" w:rsidRDefault="0046228B" w:rsidP="0046228B">
      <w:pPr>
        <w:pStyle w:val="enumlev1"/>
      </w:pPr>
      <w:r w:rsidRPr="003779A4">
        <w:t>–</w:t>
      </w:r>
      <w:r w:rsidRPr="003779A4">
        <w:tab/>
        <w:t>24</w:t>
      </w:r>
      <w:r w:rsidR="005378D4" w:rsidRPr="003779A4">
        <w:t>,</w:t>
      </w:r>
      <w:r w:rsidRPr="003779A4">
        <w:t>25-27</w:t>
      </w:r>
      <w:r w:rsidR="005378D4" w:rsidRPr="003779A4">
        <w:t>,</w:t>
      </w:r>
      <w:r w:rsidRPr="003779A4">
        <w:t>5</w:t>
      </w:r>
      <w:r w:rsidR="00680394">
        <w:t> </w:t>
      </w:r>
      <w:r w:rsidRPr="003779A4">
        <w:t>GHz, 37-40</w:t>
      </w:r>
      <w:r w:rsidR="005378D4" w:rsidRPr="003779A4">
        <w:t>,</w:t>
      </w:r>
      <w:r w:rsidRPr="003779A4">
        <w:t>5</w:t>
      </w:r>
      <w:r w:rsidR="00680394">
        <w:t> </w:t>
      </w:r>
      <w:r w:rsidRPr="003779A4">
        <w:t>GHz, 42</w:t>
      </w:r>
      <w:r w:rsidR="005378D4" w:rsidRPr="003779A4">
        <w:t>,</w:t>
      </w:r>
      <w:r w:rsidRPr="003779A4">
        <w:t>5-43</w:t>
      </w:r>
      <w:r w:rsidR="005378D4" w:rsidRPr="003779A4">
        <w:t>,</w:t>
      </w:r>
      <w:r w:rsidRPr="003779A4">
        <w:t>5</w:t>
      </w:r>
      <w:r w:rsidR="00680394">
        <w:t> </w:t>
      </w:r>
      <w:r w:rsidRPr="003779A4">
        <w:t>GHz, 45</w:t>
      </w:r>
      <w:r w:rsidR="005378D4" w:rsidRPr="003779A4">
        <w:t>,</w:t>
      </w:r>
      <w:r w:rsidRPr="003779A4">
        <w:t>5-47</w:t>
      </w:r>
      <w:r w:rsidR="00680394">
        <w:t> </w:t>
      </w:r>
      <w:r w:rsidRPr="003779A4">
        <w:t>GHz, 47</w:t>
      </w:r>
      <w:r w:rsidR="005378D4" w:rsidRPr="003779A4">
        <w:t>,</w:t>
      </w:r>
      <w:r w:rsidRPr="003779A4">
        <w:t>2-50</w:t>
      </w:r>
      <w:r w:rsidR="005378D4" w:rsidRPr="003779A4">
        <w:t>,</w:t>
      </w:r>
      <w:r w:rsidRPr="003779A4">
        <w:t>2</w:t>
      </w:r>
      <w:r w:rsidR="00680394">
        <w:t> </w:t>
      </w:r>
      <w:r w:rsidRPr="003779A4">
        <w:t>GHz, 50</w:t>
      </w:r>
      <w:r w:rsidR="005378D4" w:rsidRPr="003779A4">
        <w:t>,</w:t>
      </w:r>
      <w:r w:rsidRPr="003779A4">
        <w:t>4</w:t>
      </w:r>
      <w:r w:rsidR="00614F12" w:rsidRPr="003779A4">
        <w:noBreakHyphen/>
      </w:r>
      <w:r w:rsidRPr="003779A4">
        <w:t>52</w:t>
      </w:r>
      <w:r w:rsidR="005378D4" w:rsidRPr="003779A4">
        <w:t>,</w:t>
      </w:r>
      <w:r w:rsidRPr="003779A4">
        <w:t>6</w:t>
      </w:r>
      <w:r w:rsidR="00614F12" w:rsidRPr="003779A4">
        <w:t> </w:t>
      </w:r>
      <w:r w:rsidRPr="003779A4">
        <w:t>GHz, 66-76</w:t>
      </w:r>
      <w:r w:rsidR="00680394">
        <w:t> </w:t>
      </w:r>
      <w:r w:rsidRPr="003779A4">
        <w:t>GHz y 81-86</w:t>
      </w:r>
      <w:r w:rsidR="00680394">
        <w:t> </w:t>
      </w:r>
      <w:r w:rsidRPr="003779A4">
        <w:t>GHz, que tienen asignaciones al servicio móvil a título primario; y</w:t>
      </w:r>
    </w:p>
    <w:p w14:paraId="29B88D1F" w14:textId="53B308E6" w:rsidR="0046228B" w:rsidRPr="003779A4" w:rsidRDefault="0046228B" w:rsidP="0046228B">
      <w:pPr>
        <w:pStyle w:val="enumlev1"/>
      </w:pPr>
      <w:r w:rsidRPr="003779A4">
        <w:t>–</w:t>
      </w:r>
      <w:r w:rsidRPr="003779A4">
        <w:tab/>
        <w:t>31</w:t>
      </w:r>
      <w:r w:rsidR="005378D4" w:rsidRPr="003779A4">
        <w:t>,</w:t>
      </w:r>
      <w:r w:rsidRPr="003779A4">
        <w:t>8-33</w:t>
      </w:r>
      <w:r w:rsidR="005378D4" w:rsidRPr="003779A4">
        <w:t>,</w:t>
      </w:r>
      <w:r w:rsidRPr="003779A4">
        <w:t>4</w:t>
      </w:r>
      <w:r w:rsidR="00680394">
        <w:t> </w:t>
      </w:r>
      <w:r w:rsidRPr="003779A4">
        <w:t>GHz, 40</w:t>
      </w:r>
      <w:r w:rsidR="005378D4" w:rsidRPr="003779A4">
        <w:t>,</w:t>
      </w:r>
      <w:r w:rsidRPr="003779A4">
        <w:t>5-42</w:t>
      </w:r>
      <w:r w:rsidR="005378D4" w:rsidRPr="003779A4">
        <w:t>,</w:t>
      </w:r>
      <w:r w:rsidRPr="003779A4">
        <w:t>5</w:t>
      </w:r>
      <w:r w:rsidR="00680394">
        <w:t> </w:t>
      </w:r>
      <w:r w:rsidRPr="003779A4">
        <w:t>GHz y 47-47</w:t>
      </w:r>
      <w:r w:rsidR="005378D4" w:rsidRPr="003779A4">
        <w:t>,</w:t>
      </w:r>
      <w:r w:rsidRPr="003779A4">
        <w:t>2</w:t>
      </w:r>
      <w:r w:rsidR="00680394">
        <w:t> </w:t>
      </w:r>
      <w:r w:rsidRPr="003779A4">
        <w:t>GHz, que pueden requerir asignaciones adicionales al servicio móvil a título primario.</w:t>
      </w:r>
    </w:p>
    <w:p w14:paraId="280AA5BF" w14:textId="1A64A2AC" w:rsidR="0046228B" w:rsidRPr="003779A4" w:rsidRDefault="0046228B" w:rsidP="0046228B">
      <w:r w:rsidRPr="003779A4">
        <w:t>La banda de frecuencias de 71-76</w:t>
      </w:r>
      <w:r w:rsidR="00680394">
        <w:t> </w:t>
      </w:r>
      <w:r w:rsidRPr="003779A4">
        <w:t xml:space="preserve">GHz, o parte de </w:t>
      </w:r>
      <w:proofErr w:type="gramStart"/>
      <w:r w:rsidRPr="003779A4">
        <w:t>la misma</w:t>
      </w:r>
      <w:proofErr w:type="gramEnd"/>
      <w:r w:rsidRPr="003779A4">
        <w:t>, se en</w:t>
      </w:r>
      <w:bookmarkStart w:id="6" w:name="_GoBack"/>
      <w:bookmarkEnd w:id="6"/>
      <w:r w:rsidRPr="003779A4">
        <w:t>cuentra atribuida en el RR al Servicio de Radiodifusión, Radiodifusión por Satélite, Servicio Fijo, Servicio Fijo por Satélite (sentido espacio-Tierra), Servicio Móvil y Servicio Móvil por Satélite (sentido espacio-Tierra) con categoría primaria y a la Investigación Espacial (sentido espacio-Tierra) con categoría secundaria.</w:t>
      </w:r>
    </w:p>
    <w:p w14:paraId="3B855C71" w14:textId="6D4467EB" w:rsidR="0046228B" w:rsidRPr="003779A4" w:rsidRDefault="0046228B" w:rsidP="0046228B">
      <w:bookmarkStart w:id="7" w:name="_kcepgywtbxww" w:colFirst="0" w:colLast="0"/>
      <w:bookmarkEnd w:id="7"/>
      <w:r w:rsidRPr="003779A4">
        <w:t>La banda de frecuencias de 81-86</w:t>
      </w:r>
      <w:r w:rsidR="00680394">
        <w:t> </w:t>
      </w:r>
      <w:r w:rsidRPr="003779A4">
        <w:t xml:space="preserve">GHz, o parte de </w:t>
      </w:r>
      <w:proofErr w:type="gramStart"/>
      <w:r w:rsidRPr="003779A4">
        <w:t>la misma</w:t>
      </w:r>
      <w:proofErr w:type="gramEnd"/>
      <w:r w:rsidRPr="003779A4">
        <w:t>, se encuentra atribuida en el RR al Servicio Fijo, Servicio Fijo por Satélite (sentido Tierra-espacio), Servicio Móvil y Servicio Móvil por Satélite (sentido Tierra-espacio), Radioastronomía con categoría primaria y a la Investigación Espacial (sentido espacio-Tierra) con categoría secundaria.</w:t>
      </w:r>
    </w:p>
    <w:p w14:paraId="06381C8B" w14:textId="4C315A3D" w:rsidR="0046228B" w:rsidRPr="003779A4" w:rsidRDefault="0046228B" w:rsidP="00614F12">
      <w:pPr>
        <w:keepNext/>
        <w:keepLines/>
      </w:pPr>
      <w:r w:rsidRPr="003779A4">
        <w:lastRenderedPageBreak/>
        <w:t xml:space="preserve">La banda ancha móvil desempeña un papel cada vez más crucial para proporcionar acceso a empresas y consumidores en todo el mundo. Según las estadísticas de la Unión Internacional de Telecomunicaciones (UIT), </w:t>
      </w:r>
      <w:r w:rsidR="00F37213" w:rsidRPr="003779A4">
        <w:t>«</w:t>
      </w:r>
      <w:r w:rsidRPr="003779A4">
        <w:t>las suscripciones de banda ancha móvil han crecido más del 20% anual en los últimos cinco años y se espera que alcancen los 4,3 mil millones a nivel mundial para fines de 2017</w:t>
      </w:r>
      <w:r w:rsidR="00F37213" w:rsidRPr="003779A4">
        <w:t>»</w:t>
      </w:r>
      <w:r w:rsidRPr="003779A4">
        <w:t>. Mientras que los precios de banda ancha móvil son un porcentaje de El INB per cápita se redujo a la mitad entre 2013 y 2016 en todo el mundo.</w:t>
      </w:r>
      <w:r w:rsidRPr="003779A4">
        <w:rPr>
          <w:vertAlign w:val="superscript"/>
        </w:rPr>
        <w:footnoteReference w:id="1"/>
      </w:r>
    </w:p>
    <w:p w14:paraId="31ABAA88" w14:textId="72173341" w:rsidR="0046228B" w:rsidRPr="003779A4" w:rsidRDefault="0046228B" w:rsidP="008925B6">
      <w:r w:rsidRPr="003779A4">
        <w:t>La creciente demanda de banda ancha móvil ha creado mayores requisitos de capacidad en el backhaul o la red de transporte. Los rangos de frecuencia de 71</w:t>
      </w:r>
      <w:r w:rsidR="00614F12" w:rsidRPr="003779A4">
        <w:t>-</w:t>
      </w:r>
      <w:r w:rsidRPr="003779A4">
        <w:t>76</w:t>
      </w:r>
      <w:r w:rsidR="00680394">
        <w:t> </w:t>
      </w:r>
      <w:r w:rsidRPr="003779A4">
        <w:t>GHz y 81</w:t>
      </w:r>
      <w:r w:rsidR="00614F12" w:rsidRPr="003779A4">
        <w:t>-</w:t>
      </w:r>
      <w:r w:rsidRPr="003779A4">
        <w:t>86</w:t>
      </w:r>
      <w:r w:rsidR="00680394">
        <w:t> </w:t>
      </w:r>
      <w:r w:rsidRPr="003779A4">
        <w:t xml:space="preserve">GHz son importantes para la provisión de backhaul de Servicio Fijo (FS) para servicios de banda ancha móvil. Estos rangos de frecuencia ofrecen un ancho de banda muy amplio, lo que permite capacidades del orden de 10 Gigabit por segundo o más en distancias de unos pocos kilómetros y representan una alternativa al despliegue de fibra: esta velocidad de datos no se puede lograr en otras bandas de frecuencia que tienen un ancho de banda limitado. Se espera que la demanda de backhaul de alta capacidad cree un impulso para la transición de bandas más bajas a estos rangos de frecuencia. Los enlaces de microondas punto a punto utilizados por FS son un componente clave en muchas redes móviles, así como los enlaces de microondas de servicio fijo para diversos usos, incluyendo transmisión, </w:t>
      </w:r>
      <w:proofErr w:type="gramStart"/>
      <w:r w:rsidRPr="003779A4">
        <w:t>servicios públicos y seguridad pública</w:t>
      </w:r>
      <w:proofErr w:type="gramEnd"/>
      <w:r w:rsidRPr="003779A4">
        <w:t>. Se espera que los rangos de frecuencia de 71-76</w:t>
      </w:r>
      <w:r w:rsidR="00680394">
        <w:t> </w:t>
      </w:r>
      <w:r w:rsidRPr="003779A4">
        <w:t>GHz y 81-86</w:t>
      </w:r>
      <w:r w:rsidR="00680394">
        <w:t> </w:t>
      </w:r>
      <w:r w:rsidRPr="003779A4">
        <w:t>GHz experimenten un gran crecimiento en el uso del Servicio Fijo y representen hasta el 20 por ciento de las nuevas implementaciones de backhaul anualmente para 2020</w:t>
      </w:r>
      <w:r w:rsidRPr="003779A4">
        <w:rPr>
          <w:iCs/>
          <w:vertAlign w:val="superscript"/>
        </w:rPr>
        <w:footnoteReference w:id="2"/>
      </w:r>
      <w:r w:rsidRPr="003779A4">
        <w:t>.</w:t>
      </w:r>
    </w:p>
    <w:p w14:paraId="21B9F96D" w14:textId="37489EEB" w:rsidR="0046228B" w:rsidRPr="003779A4" w:rsidRDefault="0046228B" w:rsidP="0046228B">
      <w:r w:rsidRPr="003779A4">
        <w:t>Con la finalidad de proporcionar servicios de backhaul relevantes, incluidos aquellos que admiten implementaciones IMT-2020, no se proponen cambios para los rangos de frecuencia de 71-76</w:t>
      </w:r>
      <w:r w:rsidR="00680394">
        <w:t> </w:t>
      </w:r>
      <w:r w:rsidRPr="003779A4">
        <w:t>GHz y 81-86</w:t>
      </w:r>
      <w:r w:rsidR="00680394">
        <w:t> </w:t>
      </w:r>
      <w:r w:rsidRPr="003779A4">
        <w:t>GHz.</w:t>
      </w:r>
    </w:p>
    <w:p w14:paraId="76A29227" w14:textId="0498A5D8" w:rsidR="0046228B" w:rsidRPr="003779A4" w:rsidRDefault="0046228B" w:rsidP="0046228B">
      <w:r w:rsidRPr="003779A4">
        <w:t>Adicionalmente, el no cambio en estas bandas facilitaría la compatibilidad con los servicios de banda adyacente, en particular con los radares de automóviles en la banda 76-81</w:t>
      </w:r>
      <w:r w:rsidR="00680394">
        <w:t> </w:t>
      </w:r>
      <w:r w:rsidRPr="003779A4">
        <w:t>GHz.</w:t>
      </w:r>
    </w:p>
    <w:p w14:paraId="127AE607" w14:textId="77777777" w:rsidR="00363A65" w:rsidRPr="003779A4" w:rsidRDefault="00363A65" w:rsidP="002C1A52"/>
    <w:p w14:paraId="0FD76866" w14:textId="77777777" w:rsidR="008750A8" w:rsidRPr="003779A4" w:rsidRDefault="008750A8" w:rsidP="008750A8">
      <w:pPr>
        <w:tabs>
          <w:tab w:val="clear" w:pos="1134"/>
          <w:tab w:val="clear" w:pos="1871"/>
          <w:tab w:val="clear" w:pos="2268"/>
        </w:tabs>
        <w:overflowPunct/>
        <w:autoSpaceDE/>
        <w:autoSpaceDN/>
        <w:adjustRightInd/>
        <w:spacing w:before="0"/>
        <w:textAlignment w:val="auto"/>
      </w:pPr>
      <w:r w:rsidRPr="003779A4">
        <w:br w:type="page"/>
      </w:r>
    </w:p>
    <w:p w14:paraId="55CCB9F7" w14:textId="77777777" w:rsidR="006537F1" w:rsidRPr="003779A4" w:rsidRDefault="00D0180D" w:rsidP="00BE468A">
      <w:pPr>
        <w:pStyle w:val="ArtNo"/>
        <w:spacing w:before="0"/>
      </w:pPr>
      <w:r w:rsidRPr="003779A4">
        <w:lastRenderedPageBreak/>
        <w:t xml:space="preserve">ARTÍCULO </w:t>
      </w:r>
      <w:r w:rsidRPr="003779A4">
        <w:rPr>
          <w:rStyle w:val="href"/>
        </w:rPr>
        <w:t>5</w:t>
      </w:r>
    </w:p>
    <w:p w14:paraId="2A071951" w14:textId="77777777" w:rsidR="006537F1" w:rsidRPr="003779A4" w:rsidRDefault="00D0180D" w:rsidP="006537F1">
      <w:pPr>
        <w:pStyle w:val="Arttitle"/>
      </w:pPr>
      <w:r w:rsidRPr="003779A4">
        <w:t>Atribuciones de frecuencia</w:t>
      </w:r>
    </w:p>
    <w:p w14:paraId="6D62F112" w14:textId="116B49B0" w:rsidR="006537F1" w:rsidRPr="003779A4" w:rsidRDefault="00D0180D" w:rsidP="006537F1">
      <w:pPr>
        <w:pStyle w:val="Section1"/>
      </w:pPr>
      <w:r w:rsidRPr="003779A4">
        <w:t>Sección IV – Cuadro de atribución de bandas de frecuencias</w:t>
      </w:r>
      <w:r w:rsidRPr="003779A4">
        <w:br/>
      </w:r>
      <w:r w:rsidRPr="003779A4">
        <w:rPr>
          <w:b w:val="0"/>
          <w:bCs/>
        </w:rPr>
        <w:t>(Véase el número</w:t>
      </w:r>
      <w:r w:rsidRPr="00680394">
        <w:rPr>
          <w:b w:val="0"/>
          <w:bCs/>
        </w:rPr>
        <w:t xml:space="preserve"> </w:t>
      </w:r>
      <w:r w:rsidRPr="003779A4">
        <w:rPr>
          <w:rStyle w:val="Artref"/>
        </w:rPr>
        <w:t>2.1</w:t>
      </w:r>
      <w:r w:rsidRPr="003779A4">
        <w:rPr>
          <w:b w:val="0"/>
          <w:bCs/>
        </w:rPr>
        <w:t>)</w:t>
      </w:r>
    </w:p>
    <w:p w14:paraId="07C725AC" w14:textId="77777777" w:rsidR="00A60482" w:rsidRPr="003779A4" w:rsidRDefault="00D0180D">
      <w:pPr>
        <w:pStyle w:val="Proposal"/>
      </w:pPr>
      <w:r w:rsidRPr="003779A4">
        <w:rPr>
          <w:u w:val="single"/>
        </w:rPr>
        <w:t>NOC</w:t>
      </w:r>
      <w:r w:rsidRPr="003779A4">
        <w:tab/>
        <w:t>IAP/11A13A6/1</w:t>
      </w:r>
    </w:p>
    <w:p w14:paraId="7DFCDAC6" w14:textId="77777777" w:rsidR="006537F1" w:rsidRPr="003779A4" w:rsidRDefault="00D0180D" w:rsidP="006537F1">
      <w:pPr>
        <w:pStyle w:val="Tabletitle"/>
      </w:pPr>
      <w:r w:rsidRPr="003779A4">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28"/>
        <w:gridCol w:w="3074"/>
      </w:tblGrid>
      <w:tr w:rsidR="006537F1" w:rsidRPr="003779A4" w14:paraId="0B014DCB" w14:textId="77777777" w:rsidTr="00866F19">
        <w:trPr>
          <w:cantSplit/>
        </w:trPr>
        <w:tc>
          <w:tcPr>
            <w:tcW w:w="9303" w:type="dxa"/>
            <w:gridSpan w:val="3"/>
            <w:tcBorders>
              <w:top w:val="single" w:sz="6" w:space="0" w:color="auto"/>
              <w:left w:val="single" w:sz="6" w:space="0" w:color="auto"/>
              <w:bottom w:val="single" w:sz="6" w:space="0" w:color="auto"/>
              <w:right w:val="single" w:sz="6" w:space="0" w:color="auto"/>
            </w:tcBorders>
          </w:tcPr>
          <w:p w14:paraId="6861CCF9" w14:textId="77777777" w:rsidR="006537F1" w:rsidRPr="003779A4" w:rsidRDefault="00D0180D" w:rsidP="00141CC8">
            <w:pPr>
              <w:pStyle w:val="Tablehead"/>
              <w:rPr>
                <w:color w:val="000000"/>
              </w:rPr>
            </w:pPr>
            <w:r w:rsidRPr="003779A4">
              <w:rPr>
                <w:color w:val="000000"/>
              </w:rPr>
              <w:t>Atribución a los servicios</w:t>
            </w:r>
          </w:p>
        </w:tc>
      </w:tr>
      <w:tr w:rsidR="006537F1" w:rsidRPr="003779A4" w14:paraId="45FB67A5" w14:textId="77777777" w:rsidTr="00866F19">
        <w:trPr>
          <w:cantSplit/>
        </w:trPr>
        <w:tc>
          <w:tcPr>
            <w:tcW w:w="3101" w:type="dxa"/>
            <w:tcBorders>
              <w:top w:val="single" w:sz="6" w:space="0" w:color="auto"/>
              <w:left w:val="single" w:sz="6" w:space="0" w:color="auto"/>
              <w:bottom w:val="single" w:sz="6" w:space="0" w:color="auto"/>
              <w:right w:val="single" w:sz="6" w:space="0" w:color="auto"/>
            </w:tcBorders>
          </w:tcPr>
          <w:p w14:paraId="4C121659" w14:textId="77777777" w:rsidR="006537F1" w:rsidRPr="003779A4" w:rsidRDefault="00D0180D" w:rsidP="00141CC8">
            <w:pPr>
              <w:pStyle w:val="Tablehead"/>
              <w:rPr>
                <w:color w:val="000000"/>
              </w:rPr>
            </w:pPr>
            <w:r w:rsidRPr="003779A4">
              <w:rPr>
                <w:color w:val="000000"/>
              </w:rPr>
              <w:t>Región 1</w:t>
            </w:r>
          </w:p>
        </w:tc>
        <w:tc>
          <w:tcPr>
            <w:tcW w:w="3128" w:type="dxa"/>
            <w:tcBorders>
              <w:top w:val="single" w:sz="6" w:space="0" w:color="auto"/>
              <w:left w:val="single" w:sz="6" w:space="0" w:color="auto"/>
              <w:bottom w:val="single" w:sz="6" w:space="0" w:color="auto"/>
              <w:right w:val="single" w:sz="6" w:space="0" w:color="auto"/>
            </w:tcBorders>
          </w:tcPr>
          <w:p w14:paraId="6CF0379C" w14:textId="77777777" w:rsidR="006537F1" w:rsidRPr="003779A4" w:rsidRDefault="00D0180D" w:rsidP="00141CC8">
            <w:pPr>
              <w:pStyle w:val="Tablehead"/>
              <w:rPr>
                <w:color w:val="000000"/>
              </w:rPr>
            </w:pPr>
            <w:r w:rsidRPr="003779A4">
              <w:rPr>
                <w:color w:val="000000"/>
              </w:rPr>
              <w:t>Región 2</w:t>
            </w:r>
          </w:p>
        </w:tc>
        <w:tc>
          <w:tcPr>
            <w:tcW w:w="3074" w:type="dxa"/>
            <w:tcBorders>
              <w:top w:val="single" w:sz="6" w:space="0" w:color="auto"/>
              <w:left w:val="single" w:sz="6" w:space="0" w:color="auto"/>
              <w:bottom w:val="single" w:sz="6" w:space="0" w:color="auto"/>
              <w:right w:val="single" w:sz="6" w:space="0" w:color="auto"/>
            </w:tcBorders>
          </w:tcPr>
          <w:p w14:paraId="56924F5C" w14:textId="77777777" w:rsidR="006537F1" w:rsidRPr="003779A4" w:rsidRDefault="00D0180D" w:rsidP="00141CC8">
            <w:pPr>
              <w:pStyle w:val="Tablehead"/>
              <w:rPr>
                <w:color w:val="000000"/>
              </w:rPr>
            </w:pPr>
            <w:r w:rsidRPr="003779A4">
              <w:rPr>
                <w:color w:val="000000"/>
              </w:rPr>
              <w:t>Región 3</w:t>
            </w:r>
          </w:p>
        </w:tc>
      </w:tr>
      <w:tr w:rsidR="006537F1" w:rsidRPr="003779A4" w14:paraId="59DC17CB" w14:textId="77777777" w:rsidTr="00866F19">
        <w:trPr>
          <w:cantSplit/>
        </w:trPr>
        <w:tc>
          <w:tcPr>
            <w:tcW w:w="9303" w:type="dxa"/>
            <w:gridSpan w:val="3"/>
            <w:tcBorders>
              <w:top w:val="single" w:sz="6" w:space="0" w:color="auto"/>
              <w:left w:val="single" w:sz="6" w:space="0" w:color="auto"/>
              <w:bottom w:val="single" w:sz="6" w:space="0" w:color="auto"/>
              <w:right w:val="single" w:sz="6" w:space="0" w:color="auto"/>
            </w:tcBorders>
          </w:tcPr>
          <w:p w14:paraId="3062AD9B" w14:textId="77777777" w:rsidR="006537F1" w:rsidRPr="003779A4" w:rsidRDefault="00D0180D" w:rsidP="00141CC8">
            <w:pPr>
              <w:pStyle w:val="TableTextS5"/>
              <w:rPr>
                <w:color w:val="000000"/>
              </w:rPr>
            </w:pPr>
            <w:r w:rsidRPr="003779A4">
              <w:rPr>
                <w:rStyle w:val="Tablefreq"/>
                <w:color w:val="000000"/>
              </w:rPr>
              <w:t>71-74</w:t>
            </w:r>
            <w:r w:rsidRPr="003779A4">
              <w:rPr>
                <w:color w:val="000000"/>
              </w:rPr>
              <w:tab/>
            </w:r>
            <w:r w:rsidRPr="003779A4">
              <w:rPr>
                <w:color w:val="000000"/>
              </w:rPr>
              <w:tab/>
            </w:r>
            <w:r w:rsidRPr="003779A4">
              <w:rPr>
                <w:color w:val="000000"/>
              </w:rPr>
              <w:tab/>
              <w:t>FIJO</w:t>
            </w:r>
          </w:p>
          <w:p w14:paraId="54AAD372" w14:textId="77777777" w:rsidR="006537F1" w:rsidRPr="003779A4" w:rsidRDefault="00D0180D" w:rsidP="00141CC8">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FIJO POR SATÉLITE (espacio-Tierra)</w:t>
            </w:r>
          </w:p>
          <w:p w14:paraId="387EA8D6" w14:textId="77777777" w:rsidR="006537F1" w:rsidRPr="003779A4" w:rsidRDefault="00D0180D" w:rsidP="00141CC8">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MÓVIL</w:t>
            </w:r>
          </w:p>
          <w:p w14:paraId="6E1FED36" w14:textId="77777777" w:rsidR="006537F1" w:rsidRPr="003779A4" w:rsidRDefault="00D0180D" w:rsidP="00141CC8">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MÓVIL POR SATÉLITE (espacio-Tierra)</w:t>
            </w:r>
          </w:p>
        </w:tc>
      </w:tr>
      <w:tr w:rsidR="006537F1" w:rsidRPr="003779A4" w14:paraId="239484F2" w14:textId="77777777" w:rsidTr="00866F19">
        <w:trPr>
          <w:cantSplit/>
        </w:trPr>
        <w:tc>
          <w:tcPr>
            <w:tcW w:w="9303" w:type="dxa"/>
            <w:gridSpan w:val="3"/>
            <w:tcBorders>
              <w:top w:val="single" w:sz="6" w:space="0" w:color="auto"/>
              <w:left w:val="single" w:sz="6" w:space="0" w:color="auto"/>
              <w:bottom w:val="single" w:sz="6" w:space="0" w:color="auto"/>
              <w:right w:val="single" w:sz="6" w:space="0" w:color="auto"/>
            </w:tcBorders>
          </w:tcPr>
          <w:p w14:paraId="6B89A53A" w14:textId="77777777" w:rsidR="006537F1" w:rsidRPr="003779A4" w:rsidRDefault="00D0180D" w:rsidP="00141CC8">
            <w:pPr>
              <w:pStyle w:val="TableTextS5"/>
              <w:rPr>
                <w:color w:val="000000"/>
              </w:rPr>
            </w:pPr>
            <w:r w:rsidRPr="003779A4">
              <w:rPr>
                <w:rStyle w:val="Tablefreq"/>
                <w:bCs/>
                <w:color w:val="000000"/>
              </w:rPr>
              <w:t>74-76</w:t>
            </w:r>
            <w:r w:rsidRPr="003779A4">
              <w:rPr>
                <w:color w:val="000000"/>
              </w:rPr>
              <w:tab/>
            </w:r>
            <w:r w:rsidRPr="003779A4">
              <w:rPr>
                <w:color w:val="000000"/>
              </w:rPr>
              <w:tab/>
            </w:r>
            <w:r w:rsidRPr="003779A4">
              <w:rPr>
                <w:color w:val="000000"/>
              </w:rPr>
              <w:tab/>
              <w:t>FIJO</w:t>
            </w:r>
          </w:p>
          <w:p w14:paraId="1A94A426" w14:textId="77777777" w:rsidR="006537F1" w:rsidRPr="003779A4" w:rsidRDefault="00D0180D" w:rsidP="00141CC8">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FIJO POR SATÉLITE (espacio-Tierra)</w:t>
            </w:r>
          </w:p>
          <w:p w14:paraId="536A05DE" w14:textId="77777777" w:rsidR="006537F1" w:rsidRPr="003779A4" w:rsidRDefault="00D0180D" w:rsidP="00141CC8">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MÓVIL</w:t>
            </w:r>
          </w:p>
          <w:p w14:paraId="256FFB1A" w14:textId="77777777" w:rsidR="006537F1" w:rsidRPr="003779A4" w:rsidRDefault="00D0180D" w:rsidP="00141CC8">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RADIODIFUSIÓN</w:t>
            </w:r>
          </w:p>
          <w:p w14:paraId="5400EC09" w14:textId="77777777" w:rsidR="006537F1" w:rsidRPr="003779A4" w:rsidRDefault="00D0180D" w:rsidP="00141CC8">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RADIODIFUSIÓN POR SATÉLITE</w:t>
            </w:r>
          </w:p>
          <w:p w14:paraId="426BFC12" w14:textId="77777777" w:rsidR="006537F1" w:rsidRPr="003779A4" w:rsidRDefault="00D0180D" w:rsidP="00141CC8">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 xml:space="preserve">Investigación espacial (espacio-Tierra) </w:t>
            </w:r>
          </w:p>
          <w:p w14:paraId="43B22078" w14:textId="77777777" w:rsidR="006537F1" w:rsidRPr="003779A4" w:rsidRDefault="00D0180D" w:rsidP="00141CC8">
            <w:pPr>
              <w:pStyle w:val="TableTextS5"/>
              <w:rPr>
                <w:rStyle w:val="Artref"/>
              </w:rPr>
            </w:pPr>
            <w:r w:rsidRPr="003779A4">
              <w:rPr>
                <w:color w:val="000000"/>
              </w:rPr>
              <w:tab/>
            </w:r>
            <w:r w:rsidRPr="003779A4">
              <w:rPr>
                <w:color w:val="000000"/>
              </w:rPr>
              <w:tab/>
            </w:r>
            <w:r w:rsidRPr="003779A4">
              <w:rPr>
                <w:color w:val="000000"/>
              </w:rPr>
              <w:tab/>
            </w:r>
            <w:r w:rsidRPr="003779A4">
              <w:rPr>
                <w:color w:val="000000"/>
              </w:rPr>
              <w:tab/>
            </w:r>
            <w:r w:rsidRPr="003779A4">
              <w:rPr>
                <w:rStyle w:val="Artref"/>
              </w:rPr>
              <w:t>5.561</w:t>
            </w:r>
          </w:p>
        </w:tc>
      </w:tr>
    </w:tbl>
    <w:p w14:paraId="7B15550D" w14:textId="5C7E3744" w:rsidR="00A60482" w:rsidRPr="003779A4" w:rsidRDefault="00D0180D">
      <w:pPr>
        <w:pStyle w:val="Reasons"/>
      </w:pPr>
      <w:r w:rsidRPr="003779A4">
        <w:rPr>
          <w:b/>
        </w:rPr>
        <w:t>Motivos:</w:t>
      </w:r>
      <w:r w:rsidRPr="003779A4">
        <w:tab/>
      </w:r>
      <w:r w:rsidR="00866F19" w:rsidRPr="003779A4">
        <w:t>No introducir cambios en el rango de frecuencias 71-76</w:t>
      </w:r>
      <w:r w:rsidR="00680394">
        <w:t> </w:t>
      </w:r>
      <w:r w:rsidR="00866F19" w:rsidRPr="003779A4">
        <w:t>GHz contempla el uso creciente de estas bandas para enlace de retroceso (</w:t>
      </w:r>
      <w:r w:rsidR="00866F19" w:rsidRPr="003779A4">
        <w:rPr>
          <w:iCs/>
        </w:rPr>
        <w:t>backhaul</w:t>
      </w:r>
      <w:r w:rsidR="00866F19" w:rsidRPr="003779A4">
        <w:t>) y otros usos del servicio fijo en apoyo a las</w:t>
      </w:r>
      <w:r w:rsidR="005378D4" w:rsidRPr="003779A4">
        <w:t> </w:t>
      </w:r>
      <w:r w:rsidR="00866F19" w:rsidRPr="003779A4">
        <w:t>IMT-2020. También facilita la compatibilidad con los radares de automoción en la banda adyacente</w:t>
      </w:r>
      <w:r w:rsidR="005378D4" w:rsidRPr="003779A4">
        <w:t> </w:t>
      </w:r>
      <w:r w:rsidR="00866F19" w:rsidRPr="003779A4">
        <w:t>76-81</w:t>
      </w:r>
      <w:r w:rsidR="00680394">
        <w:t> </w:t>
      </w:r>
      <w:r w:rsidR="00866F19" w:rsidRPr="003779A4">
        <w:t>GHz.</w:t>
      </w:r>
    </w:p>
    <w:p w14:paraId="7C6CBF77" w14:textId="77777777" w:rsidR="00A60482" w:rsidRPr="003779A4" w:rsidRDefault="00D0180D">
      <w:pPr>
        <w:pStyle w:val="Proposal"/>
      </w:pPr>
      <w:r w:rsidRPr="003779A4">
        <w:rPr>
          <w:u w:val="single"/>
        </w:rPr>
        <w:t>NOC</w:t>
      </w:r>
      <w:r w:rsidRPr="003779A4">
        <w:tab/>
        <w:t>IAP/11A13A6/2</w:t>
      </w:r>
    </w:p>
    <w:p w14:paraId="72FA4039" w14:textId="77777777" w:rsidR="006537F1" w:rsidRPr="003779A4" w:rsidRDefault="00D0180D" w:rsidP="006537F1">
      <w:pPr>
        <w:pStyle w:val="Tabletitle"/>
      </w:pPr>
      <w:r w:rsidRPr="003779A4">
        <w:t>81-86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6537F1" w:rsidRPr="003779A4" w14:paraId="6A63B399" w14:textId="77777777" w:rsidTr="00FF14C4">
        <w:trPr>
          <w:cantSplit/>
        </w:trPr>
        <w:tc>
          <w:tcPr>
            <w:tcW w:w="9303" w:type="dxa"/>
            <w:gridSpan w:val="3"/>
          </w:tcPr>
          <w:p w14:paraId="057EBEA0" w14:textId="77777777" w:rsidR="006537F1" w:rsidRPr="003779A4" w:rsidRDefault="00D0180D" w:rsidP="006537F1">
            <w:pPr>
              <w:pStyle w:val="Tablehead"/>
              <w:rPr>
                <w:color w:val="000000"/>
              </w:rPr>
            </w:pPr>
            <w:r w:rsidRPr="003779A4">
              <w:rPr>
                <w:color w:val="000000"/>
              </w:rPr>
              <w:t>Atribución a los servicios</w:t>
            </w:r>
          </w:p>
        </w:tc>
      </w:tr>
      <w:tr w:rsidR="006537F1" w:rsidRPr="003779A4" w14:paraId="493CE56D" w14:textId="77777777" w:rsidTr="00FF14C4">
        <w:trPr>
          <w:cantSplit/>
        </w:trPr>
        <w:tc>
          <w:tcPr>
            <w:tcW w:w="3101" w:type="dxa"/>
          </w:tcPr>
          <w:p w14:paraId="0DEDEC9F" w14:textId="77777777" w:rsidR="006537F1" w:rsidRPr="003779A4" w:rsidRDefault="00D0180D" w:rsidP="006537F1">
            <w:pPr>
              <w:pStyle w:val="Tablehead"/>
              <w:rPr>
                <w:color w:val="000000"/>
              </w:rPr>
            </w:pPr>
            <w:r w:rsidRPr="003779A4">
              <w:rPr>
                <w:color w:val="000000"/>
              </w:rPr>
              <w:t>Región 1</w:t>
            </w:r>
          </w:p>
        </w:tc>
        <w:tc>
          <w:tcPr>
            <w:tcW w:w="3101" w:type="dxa"/>
          </w:tcPr>
          <w:p w14:paraId="7B9B42C9" w14:textId="77777777" w:rsidR="006537F1" w:rsidRPr="003779A4" w:rsidRDefault="00D0180D" w:rsidP="006537F1">
            <w:pPr>
              <w:pStyle w:val="Tablehead"/>
              <w:rPr>
                <w:color w:val="000000"/>
              </w:rPr>
            </w:pPr>
            <w:r w:rsidRPr="003779A4">
              <w:rPr>
                <w:color w:val="000000"/>
              </w:rPr>
              <w:t>Región 2</w:t>
            </w:r>
          </w:p>
        </w:tc>
        <w:tc>
          <w:tcPr>
            <w:tcW w:w="3101" w:type="dxa"/>
          </w:tcPr>
          <w:p w14:paraId="0E5E0D9C" w14:textId="77777777" w:rsidR="006537F1" w:rsidRPr="003779A4" w:rsidRDefault="00D0180D" w:rsidP="006537F1">
            <w:pPr>
              <w:pStyle w:val="Tablehead"/>
              <w:rPr>
                <w:color w:val="000000"/>
              </w:rPr>
            </w:pPr>
            <w:r w:rsidRPr="003779A4">
              <w:rPr>
                <w:color w:val="000000"/>
              </w:rPr>
              <w:t>Región 3</w:t>
            </w:r>
          </w:p>
        </w:tc>
      </w:tr>
      <w:tr w:rsidR="006537F1" w:rsidRPr="003779A4" w14:paraId="0C28AFD3" w14:textId="77777777" w:rsidTr="00FF14C4">
        <w:trPr>
          <w:cantSplit/>
        </w:trPr>
        <w:tc>
          <w:tcPr>
            <w:tcW w:w="9303" w:type="dxa"/>
            <w:gridSpan w:val="3"/>
          </w:tcPr>
          <w:p w14:paraId="403A5293" w14:textId="77777777" w:rsidR="006537F1" w:rsidRPr="003779A4" w:rsidRDefault="00D0180D" w:rsidP="006537F1">
            <w:pPr>
              <w:pStyle w:val="TableTextS5"/>
              <w:rPr>
                <w:color w:val="000000"/>
              </w:rPr>
            </w:pPr>
            <w:r w:rsidRPr="003779A4">
              <w:rPr>
                <w:rStyle w:val="Tablefreq"/>
                <w:color w:val="000000"/>
              </w:rPr>
              <w:t>81-84</w:t>
            </w:r>
            <w:r w:rsidRPr="003779A4">
              <w:rPr>
                <w:color w:val="000000"/>
              </w:rPr>
              <w:tab/>
            </w:r>
            <w:r w:rsidRPr="003779A4">
              <w:rPr>
                <w:color w:val="000000"/>
              </w:rPr>
              <w:tab/>
            </w:r>
            <w:r w:rsidRPr="003779A4">
              <w:rPr>
                <w:color w:val="000000"/>
              </w:rPr>
              <w:tab/>
              <w:t xml:space="preserve">FIJO </w:t>
            </w:r>
            <w:r w:rsidRPr="003779A4">
              <w:rPr>
                <w:rStyle w:val="Artref"/>
              </w:rPr>
              <w:t>5.338A</w:t>
            </w:r>
          </w:p>
          <w:p w14:paraId="187EB24A" w14:textId="77777777" w:rsidR="006537F1" w:rsidRPr="003779A4" w:rsidRDefault="00D0180D" w:rsidP="006537F1">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FIJO POR SATÉLITE (Tierra-espacio)</w:t>
            </w:r>
          </w:p>
          <w:p w14:paraId="4F8A6F0A" w14:textId="77777777" w:rsidR="006537F1" w:rsidRPr="003779A4" w:rsidRDefault="00D0180D" w:rsidP="006537F1">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MÓVIL</w:t>
            </w:r>
          </w:p>
          <w:p w14:paraId="0CD2A848" w14:textId="77777777" w:rsidR="006537F1" w:rsidRPr="003779A4" w:rsidRDefault="00D0180D" w:rsidP="006537F1">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MÓVIL POR SATÉLITE (Tierra-espacio)</w:t>
            </w:r>
          </w:p>
          <w:p w14:paraId="088E76E0" w14:textId="77777777" w:rsidR="006537F1" w:rsidRPr="003779A4" w:rsidRDefault="00D0180D" w:rsidP="006537F1">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RADIOASTRONOMÍA</w:t>
            </w:r>
          </w:p>
          <w:p w14:paraId="5C732300" w14:textId="77777777" w:rsidR="006537F1" w:rsidRPr="003779A4" w:rsidRDefault="00D0180D" w:rsidP="006537F1">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 xml:space="preserve">Investigación espacial (espacio-Tierra) </w:t>
            </w:r>
          </w:p>
          <w:p w14:paraId="4812969C" w14:textId="77777777" w:rsidR="006537F1" w:rsidRPr="003779A4" w:rsidRDefault="00D0180D" w:rsidP="006537F1">
            <w:pPr>
              <w:pStyle w:val="TableTextS5"/>
              <w:rPr>
                <w:rStyle w:val="Artref"/>
              </w:rPr>
            </w:pPr>
            <w:r w:rsidRPr="003779A4">
              <w:rPr>
                <w:color w:val="000000"/>
              </w:rPr>
              <w:tab/>
            </w:r>
            <w:r w:rsidRPr="003779A4">
              <w:rPr>
                <w:color w:val="000000"/>
              </w:rPr>
              <w:tab/>
            </w:r>
            <w:r w:rsidRPr="003779A4">
              <w:rPr>
                <w:color w:val="000000"/>
              </w:rPr>
              <w:tab/>
            </w:r>
            <w:r w:rsidRPr="003779A4">
              <w:rPr>
                <w:color w:val="000000"/>
              </w:rPr>
              <w:tab/>
            </w:r>
            <w:proofErr w:type="gramStart"/>
            <w:r w:rsidRPr="003779A4">
              <w:rPr>
                <w:rStyle w:val="Artref"/>
              </w:rPr>
              <w:t>5.149  5</w:t>
            </w:r>
            <w:proofErr w:type="gramEnd"/>
            <w:r w:rsidRPr="003779A4">
              <w:rPr>
                <w:rStyle w:val="Artref"/>
              </w:rPr>
              <w:t>.561A</w:t>
            </w:r>
          </w:p>
        </w:tc>
      </w:tr>
      <w:tr w:rsidR="006537F1" w:rsidRPr="003779A4" w14:paraId="6C5F6B1E" w14:textId="77777777" w:rsidTr="00FF14C4">
        <w:trPr>
          <w:cantSplit/>
        </w:trPr>
        <w:tc>
          <w:tcPr>
            <w:tcW w:w="9303" w:type="dxa"/>
            <w:gridSpan w:val="3"/>
          </w:tcPr>
          <w:p w14:paraId="0FEDDA44" w14:textId="77777777" w:rsidR="006537F1" w:rsidRPr="003779A4" w:rsidRDefault="00D0180D" w:rsidP="006537F1">
            <w:pPr>
              <w:pStyle w:val="TableTextS5"/>
              <w:rPr>
                <w:color w:val="000000"/>
              </w:rPr>
            </w:pPr>
            <w:r w:rsidRPr="003779A4">
              <w:rPr>
                <w:rStyle w:val="Tablefreq"/>
                <w:color w:val="000000"/>
              </w:rPr>
              <w:t>84-86</w:t>
            </w:r>
            <w:r w:rsidRPr="003779A4">
              <w:rPr>
                <w:color w:val="000000"/>
              </w:rPr>
              <w:tab/>
            </w:r>
            <w:r w:rsidRPr="003779A4">
              <w:rPr>
                <w:color w:val="000000"/>
              </w:rPr>
              <w:tab/>
            </w:r>
            <w:r w:rsidRPr="003779A4">
              <w:rPr>
                <w:color w:val="000000"/>
              </w:rPr>
              <w:tab/>
              <w:t xml:space="preserve">FIJO </w:t>
            </w:r>
            <w:r w:rsidRPr="003779A4">
              <w:rPr>
                <w:rStyle w:val="Artref"/>
              </w:rPr>
              <w:t>5.338A</w:t>
            </w:r>
          </w:p>
          <w:p w14:paraId="32DB276A" w14:textId="77777777" w:rsidR="006537F1" w:rsidRPr="003779A4" w:rsidRDefault="00D0180D" w:rsidP="006537F1">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FIJO POR SATÉLITE (Tierra-espacio</w:t>
            </w:r>
            <w:proofErr w:type="gramStart"/>
            <w:r w:rsidRPr="003779A4">
              <w:rPr>
                <w:color w:val="000000"/>
              </w:rPr>
              <w:t xml:space="preserve">)  </w:t>
            </w:r>
            <w:r w:rsidRPr="003779A4">
              <w:rPr>
                <w:rStyle w:val="Artref"/>
              </w:rPr>
              <w:t>5.561B</w:t>
            </w:r>
            <w:proofErr w:type="gramEnd"/>
          </w:p>
          <w:p w14:paraId="1C83D6A4" w14:textId="77777777" w:rsidR="006537F1" w:rsidRPr="003779A4" w:rsidRDefault="00D0180D" w:rsidP="006537F1">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MÓVIL</w:t>
            </w:r>
          </w:p>
          <w:p w14:paraId="08CE0FD9" w14:textId="77777777" w:rsidR="006537F1" w:rsidRPr="003779A4" w:rsidRDefault="00D0180D" w:rsidP="006537F1">
            <w:pPr>
              <w:pStyle w:val="TableTextS5"/>
              <w:rPr>
                <w:color w:val="000000"/>
              </w:rPr>
            </w:pPr>
            <w:r w:rsidRPr="003779A4">
              <w:rPr>
                <w:color w:val="000000"/>
              </w:rPr>
              <w:tab/>
            </w:r>
            <w:r w:rsidRPr="003779A4">
              <w:rPr>
                <w:color w:val="000000"/>
              </w:rPr>
              <w:tab/>
            </w:r>
            <w:r w:rsidRPr="003779A4">
              <w:rPr>
                <w:color w:val="000000"/>
              </w:rPr>
              <w:tab/>
            </w:r>
            <w:r w:rsidRPr="003779A4">
              <w:rPr>
                <w:color w:val="000000"/>
              </w:rPr>
              <w:tab/>
              <w:t>RADIOASTRONOMÍA</w:t>
            </w:r>
          </w:p>
          <w:p w14:paraId="6442A922" w14:textId="77777777" w:rsidR="006537F1" w:rsidRPr="003779A4" w:rsidRDefault="00D0180D" w:rsidP="006537F1">
            <w:pPr>
              <w:pStyle w:val="TableTextS5"/>
              <w:rPr>
                <w:rStyle w:val="Artref"/>
              </w:rPr>
            </w:pPr>
            <w:r w:rsidRPr="003779A4">
              <w:rPr>
                <w:color w:val="000000"/>
              </w:rPr>
              <w:tab/>
            </w:r>
            <w:r w:rsidRPr="003779A4">
              <w:rPr>
                <w:color w:val="000000"/>
              </w:rPr>
              <w:tab/>
            </w:r>
            <w:r w:rsidRPr="003779A4">
              <w:rPr>
                <w:color w:val="000000"/>
              </w:rPr>
              <w:tab/>
            </w:r>
            <w:r w:rsidRPr="003779A4">
              <w:rPr>
                <w:color w:val="000000"/>
              </w:rPr>
              <w:tab/>
            </w:r>
            <w:r w:rsidRPr="003779A4">
              <w:rPr>
                <w:rStyle w:val="Artref"/>
              </w:rPr>
              <w:t>5.149</w:t>
            </w:r>
          </w:p>
        </w:tc>
      </w:tr>
    </w:tbl>
    <w:p w14:paraId="1F938191" w14:textId="0F884CB4" w:rsidR="008925B6" w:rsidRPr="003779A4" w:rsidRDefault="00D0180D" w:rsidP="008925B6">
      <w:pPr>
        <w:pStyle w:val="Reasons"/>
        <w:keepNext/>
        <w:keepLines/>
      </w:pPr>
      <w:r w:rsidRPr="003779A4">
        <w:rPr>
          <w:b/>
        </w:rPr>
        <w:lastRenderedPageBreak/>
        <w:t>Motivos:</w:t>
      </w:r>
      <w:r w:rsidRPr="003779A4">
        <w:tab/>
      </w:r>
      <w:r w:rsidR="00866F19" w:rsidRPr="003779A4">
        <w:t>No introducir cambios en el rango de frecuencias 81-86</w:t>
      </w:r>
      <w:r w:rsidR="007314A0">
        <w:t> </w:t>
      </w:r>
      <w:r w:rsidR="00866F19" w:rsidRPr="003779A4">
        <w:t>GHz contempla el uso creciente de estas bandas para enlace de retroceso (</w:t>
      </w:r>
      <w:r w:rsidR="00866F19" w:rsidRPr="003779A4">
        <w:rPr>
          <w:iCs/>
        </w:rPr>
        <w:t>backhaul</w:t>
      </w:r>
      <w:r w:rsidR="00866F19" w:rsidRPr="003779A4">
        <w:t>) y otros usos del servicio fijo en apoyo a las IMT-2020. También facilita la compatibilidad con los radares de automoción en la banda adyacente</w:t>
      </w:r>
      <w:r w:rsidR="008D34A5" w:rsidRPr="003779A4">
        <w:t> </w:t>
      </w:r>
      <w:r w:rsidR="00866F19" w:rsidRPr="003779A4">
        <w:t>76-81</w:t>
      </w:r>
      <w:r w:rsidR="007314A0">
        <w:t> </w:t>
      </w:r>
      <w:r w:rsidR="00866F19" w:rsidRPr="003779A4">
        <w:t>GHz.</w:t>
      </w:r>
    </w:p>
    <w:p w14:paraId="71F47BD7" w14:textId="07A772C9" w:rsidR="00866F19" w:rsidRPr="003779A4" w:rsidRDefault="008925B6" w:rsidP="008925B6">
      <w:pPr>
        <w:jc w:val="center"/>
      </w:pPr>
      <w:r w:rsidRPr="003779A4">
        <w:t>______________</w:t>
      </w:r>
    </w:p>
    <w:sectPr w:rsidR="00866F19" w:rsidRPr="003779A4" w:rsidSect="00614F12">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435CE" w14:textId="77777777" w:rsidR="00FD03C4" w:rsidRDefault="00FD03C4">
      <w:r>
        <w:separator/>
      </w:r>
    </w:p>
  </w:endnote>
  <w:endnote w:type="continuationSeparator" w:id="0">
    <w:p w14:paraId="722B9F3B"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962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FF92F5" w14:textId="5018CDC8" w:rsidR="0077084A" w:rsidRDefault="0077084A">
    <w:pPr>
      <w:ind w:right="360"/>
      <w:rPr>
        <w:lang w:val="en-US"/>
      </w:rPr>
    </w:pPr>
    <w:r>
      <w:fldChar w:fldCharType="begin"/>
    </w:r>
    <w:r>
      <w:rPr>
        <w:lang w:val="en-US"/>
      </w:rPr>
      <w:instrText xml:space="preserve"> FILENAME \p  \* MERGEFORMAT </w:instrText>
    </w:r>
    <w:r>
      <w:fldChar w:fldCharType="separate"/>
    </w:r>
    <w:r w:rsidR="009A333A">
      <w:rPr>
        <w:noProof/>
        <w:lang w:val="en-US"/>
      </w:rPr>
      <w:t>P:\ESP\ITU-R\CONF-R\CMR19\000\011ADD13ADD06S.docx</w:t>
    </w:r>
    <w:r>
      <w:fldChar w:fldCharType="end"/>
    </w:r>
    <w:r>
      <w:rPr>
        <w:lang w:val="en-US"/>
      </w:rPr>
      <w:tab/>
    </w:r>
    <w:r>
      <w:fldChar w:fldCharType="begin"/>
    </w:r>
    <w:r>
      <w:instrText xml:space="preserve"> SAVEDATE \@ DD.MM.YY </w:instrText>
    </w:r>
    <w:r>
      <w:fldChar w:fldCharType="separate"/>
    </w:r>
    <w:r w:rsidR="00390EBD">
      <w:rPr>
        <w:noProof/>
      </w:rPr>
      <w:t>25.09.19</w:t>
    </w:r>
    <w:r>
      <w:fldChar w:fldCharType="end"/>
    </w:r>
    <w:r>
      <w:rPr>
        <w:lang w:val="en-US"/>
      </w:rPr>
      <w:tab/>
    </w:r>
    <w:r>
      <w:fldChar w:fldCharType="begin"/>
    </w:r>
    <w:r>
      <w:instrText xml:space="preserve"> PRINTDATE \@ DD.MM.YY </w:instrText>
    </w:r>
    <w:r>
      <w:fldChar w:fldCharType="separate"/>
    </w:r>
    <w:r w:rsidR="009A333A">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BD9E" w14:textId="6A3D340D" w:rsidR="0077084A" w:rsidRPr="00390EBD" w:rsidRDefault="00614F12" w:rsidP="00B86034">
    <w:pPr>
      <w:pStyle w:val="Footer"/>
      <w:ind w:right="360"/>
      <w:rPr>
        <w:lang w:val="en-US"/>
      </w:rPr>
    </w:pPr>
    <w:r>
      <w:fldChar w:fldCharType="begin"/>
    </w:r>
    <w:r>
      <w:rPr>
        <w:lang w:val="en-US"/>
      </w:rPr>
      <w:instrText xml:space="preserve"> FILENAME \p  \* MERGEFORMAT </w:instrText>
    </w:r>
    <w:r>
      <w:fldChar w:fldCharType="separate"/>
    </w:r>
    <w:r w:rsidR="009A333A" w:rsidRPr="009A333A">
      <w:rPr>
        <w:lang w:val="en-GB"/>
      </w:rPr>
      <w:t>P</w:t>
    </w:r>
    <w:r w:rsidR="009A333A">
      <w:rPr>
        <w:lang w:val="en-US"/>
      </w:rPr>
      <w:t>:\ESP\ITU-R\CONF-R\CMR19\000</w:t>
    </w:r>
    <w:r w:rsidR="009A333A" w:rsidRPr="009A333A">
      <w:rPr>
        <w:lang w:val="en-GB"/>
      </w:rPr>
      <w:t>\</w:t>
    </w:r>
    <w:r w:rsidR="009A333A">
      <w:rPr>
        <w:lang w:val="en-US"/>
      </w:rPr>
      <w:t>011ADD13ADD06S.docx</w:t>
    </w:r>
    <w:r>
      <w:fldChar w:fldCharType="end"/>
    </w:r>
    <w:r w:rsidR="00390EBD" w:rsidRPr="00390EBD">
      <w:rPr>
        <w:lang w:val="en-US"/>
      </w:rPr>
      <w:t xml:space="preserve"> </w:t>
    </w:r>
    <w:r w:rsidR="00390EBD">
      <w:rPr>
        <w:lang w:val="en-US"/>
      </w:rPr>
      <w:t>(460784)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90FE8" w14:textId="4F7325E7" w:rsidR="0077084A" w:rsidRPr="00390EBD" w:rsidRDefault="0077084A" w:rsidP="00B47331">
    <w:pPr>
      <w:pStyle w:val="Footer"/>
      <w:rPr>
        <w:lang w:val="en-US"/>
      </w:rPr>
    </w:pPr>
    <w:r>
      <w:fldChar w:fldCharType="begin"/>
    </w:r>
    <w:r>
      <w:rPr>
        <w:lang w:val="en-US"/>
      </w:rPr>
      <w:instrText xml:space="preserve"> FILENAME \p  \* MERGEFORMAT </w:instrText>
    </w:r>
    <w:r>
      <w:fldChar w:fldCharType="separate"/>
    </w:r>
    <w:r w:rsidR="009A333A" w:rsidRPr="009A333A">
      <w:rPr>
        <w:lang w:val="en-GB"/>
      </w:rPr>
      <w:t>P</w:t>
    </w:r>
    <w:r w:rsidR="009A333A">
      <w:rPr>
        <w:lang w:val="en-US"/>
      </w:rPr>
      <w:t>:\ESP\ITU-R\CONF-R\CMR19\000</w:t>
    </w:r>
    <w:r w:rsidR="009A333A" w:rsidRPr="009A333A">
      <w:rPr>
        <w:lang w:val="en-GB"/>
      </w:rPr>
      <w:t>\</w:t>
    </w:r>
    <w:r w:rsidR="009A333A">
      <w:rPr>
        <w:lang w:val="en-US"/>
      </w:rPr>
      <w:t>011ADD13ADD06S.docx</w:t>
    </w:r>
    <w:r>
      <w:fldChar w:fldCharType="end"/>
    </w:r>
    <w:r w:rsidR="00390EBD" w:rsidRPr="00390EBD">
      <w:rPr>
        <w:lang w:val="en-US"/>
      </w:rPr>
      <w:t xml:space="preserve"> </w:t>
    </w:r>
    <w:r w:rsidR="00390EBD">
      <w:rPr>
        <w:lang w:val="en-US"/>
      </w:rPr>
      <w:t>(460784)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72E7C" w14:textId="77777777" w:rsidR="00FD03C4" w:rsidRDefault="00FD03C4">
      <w:r>
        <w:rPr>
          <w:b/>
        </w:rPr>
        <w:t>_______________</w:t>
      </w:r>
    </w:p>
  </w:footnote>
  <w:footnote w:type="continuationSeparator" w:id="0">
    <w:p w14:paraId="197420F9" w14:textId="77777777" w:rsidR="00FD03C4" w:rsidRDefault="00FD03C4">
      <w:r>
        <w:continuationSeparator/>
      </w:r>
    </w:p>
  </w:footnote>
  <w:footnote w:id="1">
    <w:p w14:paraId="47BD99FE" w14:textId="57DA103B" w:rsidR="00614F12" w:rsidRPr="0052473E" w:rsidRDefault="0046228B" w:rsidP="0046228B">
      <w:pPr>
        <w:pStyle w:val="FootnoteText"/>
        <w:rPr>
          <w:szCs w:val="24"/>
          <w:lang w:val="en-US"/>
        </w:rPr>
      </w:pPr>
      <w:r w:rsidRPr="00DE57FD">
        <w:rPr>
          <w:rStyle w:val="FootnoteReference"/>
          <w:szCs w:val="24"/>
        </w:rPr>
        <w:footnoteRef/>
      </w:r>
      <w:r w:rsidRPr="0052473E">
        <w:rPr>
          <w:szCs w:val="24"/>
          <w:lang w:val="en-US"/>
        </w:rPr>
        <w:t xml:space="preserve"> ICT Facts and Figures 2017, p 4 and 5. See: </w:t>
      </w:r>
      <w:hyperlink r:id="rId1" w:history="1">
        <w:r w:rsidR="00614F12" w:rsidRPr="009A6DBA">
          <w:rPr>
            <w:rStyle w:val="Hyperlink"/>
            <w:szCs w:val="24"/>
            <w:lang w:val="en-US"/>
          </w:rPr>
          <w:t>https://www.itu.int/en/ITU</w:t>
        </w:r>
        <w:r w:rsidR="00614F12" w:rsidRPr="009A6DBA">
          <w:rPr>
            <w:rStyle w:val="Hyperlink"/>
            <w:szCs w:val="24"/>
            <w:lang w:val="en-US"/>
          </w:rPr>
          <w:noBreakHyphen/>
          <w:t>D/Statistics/Documents/facts/ICTFactsFigures2017.pdf</w:t>
        </w:r>
      </w:hyperlink>
    </w:p>
  </w:footnote>
  <w:footnote w:id="2">
    <w:p w14:paraId="5B6B400D" w14:textId="5445C2FE" w:rsidR="0046228B" w:rsidRPr="0052473E" w:rsidRDefault="0046228B" w:rsidP="0046228B">
      <w:pPr>
        <w:pStyle w:val="FootnoteText"/>
        <w:rPr>
          <w:lang w:val="en-US"/>
        </w:rPr>
      </w:pPr>
      <w:r>
        <w:rPr>
          <w:rStyle w:val="FootnoteReference"/>
        </w:rPr>
        <w:footnoteRef/>
      </w:r>
      <w:r w:rsidRPr="0052473E">
        <w:rPr>
          <w:lang w:val="en-US"/>
        </w:rPr>
        <w:t xml:space="preserve"> </w:t>
      </w:r>
      <w:hyperlink r:id="rId2" w:history="1">
        <w:r w:rsidRPr="0052473E">
          <w:rPr>
            <w:rStyle w:val="Hyperlink"/>
            <w:lang w:val="en-US"/>
          </w:rPr>
          <w:t>https://docs.fcc.gov/public/attachments/FCC-17-152A1.pdf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5F8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4DB4517" w14:textId="77777777" w:rsidR="0077084A" w:rsidRDefault="008750A8" w:rsidP="00C44E9E">
    <w:pPr>
      <w:pStyle w:val="Header"/>
      <w:rPr>
        <w:lang w:val="en-US"/>
      </w:rPr>
    </w:pPr>
    <w:r>
      <w:rPr>
        <w:lang w:val="en-US"/>
      </w:rPr>
      <w:t>CMR1</w:t>
    </w:r>
    <w:r w:rsidR="00C44E9E">
      <w:rPr>
        <w:lang w:val="en-US"/>
      </w:rPr>
      <w:t>9</w:t>
    </w:r>
    <w:r>
      <w:rPr>
        <w:lang w:val="en-US"/>
      </w:rPr>
      <w:t>/</w:t>
    </w:r>
    <w:r w:rsidR="00702F3D">
      <w:t>11(Add.</w:t>
    </w:r>
    <w:proofErr w:type="gramStart"/>
    <w:r w:rsidR="00702F3D">
      <w:t>13)(</w:t>
    </w:r>
    <w:proofErr w:type="gramEnd"/>
    <w:r w:rsidR="00702F3D">
      <w:t>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310DC7"/>
    <w:rsid w:val="003248A9"/>
    <w:rsid w:val="00324FFA"/>
    <w:rsid w:val="0032680B"/>
    <w:rsid w:val="00363A65"/>
    <w:rsid w:val="003779A4"/>
    <w:rsid w:val="00390EBD"/>
    <w:rsid w:val="003B1E8C"/>
    <w:rsid w:val="003C2508"/>
    <w:rsid w:val="003D0AA3"/>
    <w:rsid w:val="003E2086"/>
    <w:rsid w:val="003F7F66"/>
    <w:rsid w:val="00440B3A"/>
    <w:rsid w:val="0044375A"/>
    <w:rsid w:val="0045384C"/>
    <w:rsid w:val="00454553"/>
    <w:rsid w:val="0046228B"/>
    <w:rsid w:val="00472A86"/>
    <w:rsid w:val="004B124A"/>
    <w:rsid w:val="004B3095"/>
    <w:rsid w:val="004D2C7C"/>
    <w:rsid w:val="005133B5"/>
    <w:rsid w:val="00524392"/>
    <w:rsid w:val="00532097"/>
    <w:rsid w:val="005378D4"/>
    <w:rsid w:val="0058350F"/>
    <w:rsid w:val="00583C7E"/>
    <w:rsid w:val="0059098E"/>
    <w:rsid w:val="005C4A6A"/>
    <w:rsid w:val="005D46FB"/>
    <w:rsid w:val="005F2605"/>
    <w:rsid w:val="005F3B0E"/>
    <w:rsid w:val="005F559C"/>
    <w:rsid w:val="00602857"/>
    <w:rsid w:val="006124AD"/>
    <w:rsid w:val="00614F12"/>
    <w:rsid w:val="00624009"/>
    <w:rsid w:val="00662BA0"/>
    <w:rsid w:val="0067344B"/>
    <w:rsid w:val="00680394"/>
    <w:rsid w:val="00684A94"/>
    <w:rsid w:val="00692AAE"/>
    <w:rsid w:val="006C0E38"/>
    <w:rsid w:val="006D6E67"/>
    <w:rsid w:val="006E1A13"/>
    <w:rsid w:val="00701C20"/>
    <w:rsid w:val="00702F3D"/>
    <w:rsid w:val="0070518E"/>
    <w:rsid w:val="00726052"/>
    <w:rsid w:val="007314A0"/>
    <w:rsid w:val="007354E9"/>
    <w:rsid w:val="0074579D"/>
    <w:rsid w:val="00765578"/>
    <w:rsid w:val="00766333"/>
    <w:rsid w:val="0077084A"/>
    <w:rsid w:val="007952C7"/>
    <w:rsid w:val="007C0B95"/>
    <w:rsid w:val="007C2317"/>
    <w:rsid w:val="007D2815"/>
    <w:rsid w:val="007D330A"/>
    <w:rsid w:val="00866AE6"/>
    <w:rsid w:val="00866F19"/>
    <w:rsid w:val="008750A8"/>
    <w:rsid w:val="008925B6"/>
    <w:rsid w:val="008D34A5"/>
    <w:rsid w:val="008E5AF2"/>
    <w:rsid w:val="0090121B"/>
    <w:rsid w:val="009144C9"/>
    <w:rsid w:val="0094091F"/>
    <w:rsid w:val="00962171"/>
    <w:rsid w:val="00973754"/>
    <w:rsid w:val="009A333A"/>
    <w:rsid w:val="009C0BED"/>
    <w:rsid w:val="009C3B6A"/>
    <w:rsid w:val="009E11EC"/>
    <w:rsid w:val="00A021CC"/>
    <w:rsid w:val="00A118DB"/>
    <w:rsid w:val="00A4450C"/>
    <w:rsid w:val="00A60482"/>
    <w:rsid w:val="00AA5E6C"/>
    <w:rsid w:val="00AE5677"/>
    <w:rsid w:val="00AE658F"/>
    <w:rsid w:val="00AF2F78"/>
    <w:rsid w:val="00B239FA"/>
    <w:rsid w:val="00B47331"/>
    <w:rsid w:val="00B52D55"/>
    <w:rsid w:val="00B537E7"/>
    <w:rsid w:val="00B8288C"/>
    <w:rsid w:val="00B86034"/>
    <w:rsid w:val="00BE2E80"/>
    <w:rsid w:val="00BE5EDD"/>
    <w:rsid w:val="00BE6A1F"/>
    <w:rsid w:val="00C126C4"/>
    <w:rsid w:val="00C44E9E"/>
    <w:rsid w:val="00C45580"/>
    <w:rsid w:val="00C63EB5"/>
    <w:rsid w:val="00C87DA7"/>
    <w:rsid w:val="00CC01E0"/>
    <w:rsid w:val="00CD5FEE"/>
    <w:rsid w:val="00CE60D2"/>
    <w:rsid w:val="00CE7431"/>
    <w:rsid w:val="00D0180D"/>
    <w:rsid w:val="00D0288A"/>
    <w:rsid w:val="00D72A5D"/>
    <w:rsid w:val="00DA71A3"/>
    <w:rsid w:val="00DC629B"/>
    <w:rsid w:val="00DE1C31"/>
    <w:rsid w:val="00E05BFF"/>
    <w:rsid w:val="00E262F1"/>
    <w:rsid w:val="00E3176A"/>
    <w:rsid w:val="00E54754"/>
    <w:rsid w:val="00E56BD3"/>
    <w:rsid w:val="00E71D14"/>
    <w:rsid w:val="00EA77F0"/>
    <w:rsid w:val="00F32316"/>
    <w:rsid w:val="00F37213"/>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DB249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aliases w:val="超级链接,CEO_Hyperlink"/>
    <w:uiPriority w:val="99"/>
    <w:qFormat/>
    <w:rsid w:val="0046228B"/>
    <w:rPr>
      <w:color w:val="0000FF"/>
      <w:u w:val="single"/>
    </w:rPr>
  </w:style>
  <w:style w:type="character" w:styleId="UnresolvedMention">
    <w:name w:val="Unresolved Mention"/>
    <w:basedOn w:val="DefaultParagraphFont"/>
    <w:uiPriority w:val="99"/>
    <w:semiHidden/>
    <w:unhideWhenUsed/>
    <w:rsid w:val="00614F12"/>
    <w:rPr>
      <w:color w:val="605E5C"/>
      <w:shd w:val="clear" w:color="auto" w:fill="E1DFDD"/>
    </w:rPr>
  </w:style>
  <w:style w:type="paragraph" w:styleId="BalloonText">
    <w:name w:val="Balloon Text"/>
    <w:basedOn w:val="Normal"/>
    <w:link w:val="BalloonTextChar"/>
    <w:semiHidden/>
    <w:unhideWhenUsed/>
    <w:rsid w:val="00D018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0180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cs.fcc.gov/public/attachments/FCC-17-152A1.pdf" TargetMode="External"/><Relationship Id="rId1" Type="http://schemas.openxmlformats.org/officeDocument/2006/relationships/hyperlink" Target="https://www.itu.int/en/ITUD/Statistics/Documents/facts/ICTFactsFigures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R16-WRC19-C-0011!A13-A6!MSW-S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0E11-EEEA-4808-B8FF-4078CCF197C0}">
  <ds:schemaRefs>
    <ds:schemaRef ds:uri="http://schemas.microsoft.com/sharepoint/v3/contenttype/forms"/>
  </ds:schemaRefs>
</ds:datastoreItem>
</file>

<file path=customXml/itemProps2.xml><?xml version="1.0" encoding="utf-8"?>
<ds:datastoreItem xmlns:ds="http://schemas.openxmlformats.org/officeDocument/2006/customXml" ds:itemID="{2C20F2CA-6127-4458-A735-7AAA3F45B9F3}">
  <ds:schemaRefs>
    <ds:schemaRef ds:uri="http://schemas.microsoft.com/sharepoint/events"/>
  </ds:schemaRefs>
</ds:datastoreItem>
</file>

<file path=customXml/itemProps3.xml><?xml version="1.0" encoding="utf-8"?>
<ds:datastoreItem xmlns:ds="http://schemas.openxmlformats.org/officeDocument/2006/customXml" ds:itemID="{29FA4987-9F3C-4EF0-9594-0081174B0009}">
  <ds:schemaRef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996b2e75-67fd-4955-a3b0-5ab9934cb50b"/>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BAEC64-96D8-4808-9867-9A84E07B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870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R16-WRC19-C-0011!A13-A6!MSW-S</vt:lpstr>
    </vt:vector>
  </TitlesOfParts>
  <Manager>Secretaría General - Pool</Manager>
  <Company>Unión Internacional de Telecomunicaciones (UIT)</Company>
  <LinksUpToDate>false</LinksUpToDate>
  <CharactersWithSpaces>5766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R16-WRC19-C-0011!A13-A6!MSW-S</dc:title>
  <dc:subject>Conferencia Mundial de Radiocomunicaciones - 2019</dc:subject>
  <dc:creator>Documents Proposals Manager (DPM)</dc:creator>
  <cp:keywords>DPM_v2019.9.20.1_prod</cp:keywords>
  <dc:description/>
  <cp:lastModifiedBy>Spanish</cp:lastModifiedBy>
  <cp:revision>17</cp:revision>
  <cp:lastPrinted>2019-09-25T13:31:00Z</cp:lastPrinted>
  <dcterms:created xsi:type="dcterms:W3CDTF">2019-09-25T09:04:00Z</dcterms:created>
  <dcterms:modified xsi:type="dcterms:W3CDTF">2019-09-25T13:49:00Z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