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142BE" w14:paraId="5FB5AA1A" w14:textId="77777777" w:rsidTr="001226EC">
        <w:trPr>
          <w:cantSplit/>
        </w:trPr>
        <w:tc>
          <w:tcPr>
            <w:tcW w:w="6771" w:type="dxa"/>
          </w:tcPr>
          <w:p w14:paraId="4AC8D5FB" w14:textId="77777777" w:rsidR="005651C9" w:rsidRPr="00E142BE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142B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E142BE">
              <w:rPr>
                <w:rFonts w:ascii="Verdana" w:hAnsi="Verdana"/>
                <w:b/>
                <w:bCs/>
                <w:szCs w:val="22"/>
              </w:rPr>
              <w:t>9</w:t>
            </w:r>
            <w:r w:rsidRPr="00E142BE">
              <w:rPr>
                <w:rFonts w:ascii="Verdana" w:hAnsi="Verdana"/>
                <w:b/>
                <w:bCs/>
                <w:szCs w:val="22"/>
              </w:rPr>
              <w:t>)</w:t>
            </w:r>
            <w:r w:rsidRPr="00E142B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E142B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E142B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E142B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E142B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15C5C8D1" w14:textId="77777777" w:rsidR="005651C9" w:rsidRPr="00E142BE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142BE">
              <w:rPr>
                <w:szCs w:val="22"/>
                <w:lang w:eastAsia="en-GB"/>
              </w:rPr>
              <w:drawing>
                <wp:inline distT="0" distB="0" distL="0" distR="0" wp14:anchorId="245EF064" wp14:editId="6938F4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142BE" w14:paraId="52F94DB0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74B9FC7" w14:textId="77777777" w:rsidR="005651C9" w:rsidRPr="00E142B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B3D8A8F" w14:textId="77777777" w:rsidR="005651C9" w:rsidRPr="00E142B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142BE" w14:paraId="2466A083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1264C8D" w14:textId="77777777" w:rsidR="005651C9" w:rsidRPr="00E142B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553A179" w14:textId="77777777" w:rsidR="005651C9" w:rsidRPr="00E142B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E142BE" w14:paraId="7CF56CF0" w14:textId="77777777" w:rsidTr="001226EC">
        <w:trPr>
          <w:cantSplit/>
        </w:trPr>
        <w:tc>
          <w:tcPr>
            <w:tcW w:w="6771" w:type="dxa"/>
          </w:tcPr>
          <w:p w14:paraId="10287751" w14:textId="77777777" w:rsidR="005651C9" w:rsidRPr="00E142B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142B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B761AF7" w14:textId="77777777" w:rsidR="005651C9" w:rsidRPr="00E142B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142B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E142B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11(Add.13)</w:t>
            </w:r>
            <w:r w:rsidR="005651C9" w:rsidRPr="00E142B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142B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142BE" w14:paraId="559BF2C5" w14:textId="77777777" w:rsidTr="001226EC">
        <w:trPr>
          <w:cantSplit/>
        </w:trPr>
        <w:tc>
          <w:tcPr>
            <w:tcW w:w="6771" w:type="dxa"/>
          </w:tcPr>
          <w:p w14:paraId="6E613316" w14:textId="77777777" w:rsidR="000F33D8" w:rsidRPr="00E142B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1F1D598" w14:textId="77777777" w:rsidR="000F33D8" w:rsidRPr="00E142BE" w:rsidRDefault="00B40CC0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142BE"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  <w:r w:rsidR="000F33D8" w:rsidRPr="00E142BE">
              <w:rPr>
                <w:rFonts w:ascii="Verdana" w:hAnsi="Verdana"/>
                <w:b/>
                <w:bCs/>
                <w:sz w:val="18"/>
                <w:szCs w:val="18"/>
              </w:rPr>
              <w:t xml:space="preserve"> сентября 2019 года</w:t>
            </w:r>
          </w:p>
        </w:tc>
      </w:tr>
      <w:tr w:rsidR="000F33D8" w:rsidRPr="00E142BE" w14:paraId="29621488" w14:textId="77777777" w:rsidTr="001226EC">
        <w:trPr>
          <w:cantSplit/>
        </w:trPr>
        <w:tc>
          <w:tcPr>
            <w:tcW w:w="6771" w:type="dxa"/>
          </w:tcPr>
          <w:p w14:paraId="5ABD6581" w14:textId="77777777" w:rsidR="000F33D8" w:rsidRPr="00E142B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EEBDBF5" w14:textId="77777777" w:rsidR="000F33D8" w:rsidRPr="00E142B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142BE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76430B" w:rsidRPr="00E142BE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E142BE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76430B" w:rsidRPr="00E142BE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76430B" w:rsidRPr="00E142BE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76430B" w:rsidRPr="00E142BE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E142BE" w14:paraId="34018FFA" w14:textId="77777777" w:rsidTr="009546EA">
        <w:trPr>
          <w:cantSplit/>
        </w:trPr>
        <w:tc>
          <w:tcPr>
            <w:tcW w:w="10031" w:type="dxa"/>
            <w:gridSpan w:val="2"/>
          </w:tcPr>
          <w:p w14:paraId="32BA66AC" w14:textId="77777777" w:rsidR="000F33D8" w:rsidRPr="00E142B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142BE" w14:paraId="22612D53" w14:textId="77777777">
        <w:trPr>
          <w:cantSplit/>
        </w:trPr>
        <w:tc>
          <w:tcPr>
            <w:tcW w:w="10031" w:type="dxa"/>
            <w:gridSpan w:val="2"/>
          </w:tcPr>
          <w:p w14:paraId="3AFD4C34" w14:textId="77777777" w:rsidR="000F33D8" w:rsidRPr="00E142BE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E142BE">
              <w:rPr>
                <w:szCs w:val="26"/>
              </w:rPr>
              <w:t>Государства – члены Межамериканской комисс</w:t>
            </w:r>
            <w:bookmarkStart w:id="4" w:name="_GoBack"/>
            <w:bookmarkEnd w:id="4"/>
            <w:r w:rsidRPr="00E142BE">
              <w:rPr>
                <w:szCs w:val="26"/>
              </w:rPr>
              <w:t>ии по электросвязи (СИТЕЛ)</w:t>
            </w:r>
          </w:p>
        </w:tc>
      </w:tr>
      <w:tr w:rsidR="000F33D8" w:rsidRPr="00E142BE" w14:paraId="02424D05" w14:textId="77777777">
        <w:trPr>
          <w:cantSplit/>
        </w:trPr>
        <w:tc>
          <w:tcPr>
            <w:tcW w:w="10031" w:type="dxa"/>
            <w:gridSpan w:val="2"/>
          </w:tcPr>
          <w:p w14:paraId="0514991B" w14:textId="77777777" w:rsidR="000F33D8" w:rsidRPr="00E142BE" w:rsidRDefault="0076430B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3"/>
            <w:r w:rsidRPr="00E142B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142BE" w14:paraId="1AEB7FCD" w14:textId="77777777">
        <w:trPr>
          <w:cantSplit/>
        </w:trPr>
        <w:tc>
          <w:tcPr>
            <w:tcW w:w="10031" w:type="dxa"/>
            <w:gridSpan w:val="2"/>
          </w:tcPr>
          <w:p w14:paraId="449172BC" w14:textId="77777777" w:rsidR="000F33D8" w:rsidRPr="00E142B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142BE" w14:paraId="2E855ACD" w14:textId="77777777">
        <w:trPr>
          <w:cantSplit/>
        </w:trPr>
        <w:tc>
          <w:tcPr>
            <w:tcW w:w="10031" w:type="dxa"/>
            <w:gridSpan w:val="2"/>
          </w:tcPr>
          <w:p w14:paraId="57929C5C" w14:textId="77777777" w:rsidR="000F33D8" w:rsidRPr="00E142B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142BE">
              <w:rPr>
                <w:lang w:val="ru-RU"/>
              </w:rPr>
              <w:t>Пункт 1.13 повестки дня</w:t>
            </w:r>
          </w:p>
        </w:tc>
      </w:tr>
    </w:tbl>
    <w:bookmarkEnd w:id="7"/>
    <w:p w14:paraId="4CF93B18" w14:textId="77777777" w:rsidR="00D51940" w:rsidRPr="00E142BE" w:rsidRDefault="00A11D74" w:rsidP="000878E6">
      <w:pPr>
        <w:rPr>
          <w:szCs w:val="22"/>
        </w:rPr>
      </w:pPr>
      <w:r w:rsidRPr="00E142BE">
        <w:t>1.13</w:t>
      </w:r>
      <w:r w:rsidRPr="00E142BE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E142BE">
        <w:rPr>
          <w:b/>
          <w:bCs/>
        </w:rPr>
        <w:t>238 (ВКР-15)</w:t>
      </w:r>
      <w:r w:rsidRPr="00E142BE">
        <w:t>;</w:t>
      </w:r>
    </w:p>
    <w:p w14:paraId="105CF2A5" w14:textId="75478581" w:rsidR="00B40CC0" w:rsidRPr="00E142BE" w:rsidRDefault="00A652FA" w:rsidP="00B40CC0">
      <w:pPr>
        <w:pStyle w:val="Title4"/>
      </w:pPr>
      <w:r w:rsidRPr="00E142BE">
        <w:t>Часть</w:t>
      </w:r>
      <w:r w:rsidR="00B40CC0" w:rsidRPr="00E142BE">
        <w:t xml:space="preserve"> 6 – </w:t>
      </w:r>
      <w:r w:rsidRPr="00E142BE">
        <w:t>Полосы частот</w:t>
      </w:r>
      <w:r w:rsidR="00B40CC0" w:rsidRPr="00E142BE">
        <w:t xml:space="preserve"> 71</w:t>
      </w:r>
      <w:r w:rsidR="005E6FB6" w:rsidRPr="00E142BE">
        <w:t>–</w:t>
      </w:r>
      <w:r w:rsidR="00B40CC0" w:rsidRPr="00E142BE">
        <w:t xml:space="preserve">76 </w:t>
      </w:r>
      <w:r w:rsidRPr="00E142BE">
        <w:t>ГГц</w:t>
      </w:r>
      <w:r w:rsidR="00B40CC0" w:rsidRPr="00E142BE">
        <w:t xml:space="preserve"> </w:t>
      </w:r>
      <w:r w:rsidRPr="00E142BE">
        <w:t>и</w:t>
      </w:r>
      <w:r w:rsidR="00B40CC0" w:rsidRPr="00E142BE">
        <w:t xml:space="preserve"> 81</w:t>
      </w:r>
      <w:r w:rsidR="005E6FB6" w:rsidRPr="00E142BE">
        <w:t>–</w:t>
      </w:r>
      <w:r w:rsidR="00B40CC0" w:rsidRPr="00E142BE">
        <w:t xml:space="preserve">86 </w:t>
      </w:r>
      <w:r w:rsidRPr="00E142BE">
        <w:t>ГГц</w:t>
      </w:r>
    </w:p>
    <w:p w14:paraId="58D55F22" w14:textId="77777777" w:rsidR="0003535B" w:rsidRPr="00E142BE" w:rsidRDefault="00A652FA" w:rsidP="00B40CC0">
      <w:pPr>
        <w:pStyle w:val="Headingb"/>
        <w:rPr>
          <w:lang w:val="ru-RU"/>
        </w:rPr>
      </w:pPr>
      <w:r w:rsidRPr="00E142BE">
        <w:rPr>
          <w:lang w:val="ru-RU"/>
        </w:rPr>
        <w:t>Базовая информация</w:t>
      </w:r>
    </w:p>
    <w:p w14:paraId="0CAF883A" w14:textId="77777777" w:rsidR="00B40CC0" w:rsidRPr="00E142BE" w:rsidRDefault="00B40CC0" w:rsidP="00B40CC0">
      <w:r w:rsidRPr="00E142BE">
        <w:t xml:space="preserve">В Резолюции </w:t>
      </w:r>
      <w:r w:rsidRPr="00E142BE">
        <w:rPr>
          <w:b/>
          <w:bCs/>
        </w:rPr>
        <w:t>238 (ВКР-15)</w:t>
      </w:r>
      <w:r w:rsidRPr="00E142BE">
        <w:t xml:space="preserve"> содержится призыв провести исследования с целью определения потребностей в спектре для наземного сегмента IMT в диапазоне частот между 24,25 ГГц и 86 ГГц, а также исследования совместного использования и совместимости, с учетом необходимости защиты служб, которым эта полоса частот распределена на первичной основе, в отношении следующих полос частот:</w:t>
      </w:r>
    </w:p>
    <w:p w14:paraId="4509C9A0" w14:textId="77777777" w:rsidR="00B40CC0" w:rsidRPr="00E142BE" w:rsidRDefault="00B40CC0" w:rsidP="00B40CC0">
      <w:pPr>
        <w:pStyle w:val="enumlev1"/>
      </w:pPr>
      <w:r w:rsidRPr="00E142BE">
        <w:t>–</w:t>
      </w:r>
      <w:r w:rsidRPr="00E142BE">
        <w:tab/>
        <w:t>24,25–27,5 ГГц, 37–40,5 ГГц, 42,5−43,5 ГГц, 45,5–47 ГГц, 47,2–50,2 ГГц, 50,4–52,6 ГГц, 66–76 ГГц и 81−86 ГГц, которые распределены подвижной службе на первичной основе; и</w:t>
      </w:r>
    </w:p>
    <w:p w14:paraId="2388CD94" w14:textId="77777777" w:rsidR="00B40CC0" w:rsidRPr="00E142BE" w:rsidRDefault="00B40CC0" w:rsidP="006B0E5A">
      <w:pPr>
        <w:ind w:left="1170" w:hanging="1170"/>
      </w:pPr>
      <w:r w:rsidRPr="00E142BE">
        <w:t>–</w:t>
      </w:r>
      <w:r w:rsidRPr="00E142BE">
        <w:tab/>
        <w:t>31,8–33,4 ГГц, 40,5–42,5 ГГц и 47–47,2 ГГц, которые могут потребовать дополнительных распределений подвижной службе на первичной основе.</w:t>
      </w:r>
    </w:p>
    <w:p w14:paraId="5243610F" w14:textId="29668AFE" w:rsidR="00B40CC0" w:rsidRPr="00E142BE" w:rsidRDefault="00A652FA" w:rsidP="00B40CC0">
      <w:bookmarkStart w:id="8" w:name="_Toc331607681"/>
      <w:bookmarkStart w:id="9" w:name="_Toc456189604"/>
      <w:r w:rsidRPr="00E142BE">
        <w:t>Полоса частот 71</w:t>
      </w:r>
      <w:r w:rsidR="005C39DB" w:rsidRPr="00E142BE">
        <w:t>–</w:t>
      </w:r>
      <w:r w:rsidRPr="00E142BE">
        <w:t xml:space="preserve">76 ГГц или ее часть распределена </w:t>
      </w:r>
      <w:r w:rsidR="005C39DB" w:rsidRPr="00E142BE">
        <w:t xml:space="preserve">в РР </w:t>
      </w:r>
      <w:r w:rsidRPr="00E142BE">
        <w:t>на первичной основе радиовещательной, радиовещательной спутниковой, фиксированной, фиксированной спутниковой (космос-Земля), подвижной и подвижной спутниковой (космос-Земля) службам и на вторичной основе – службе космических исследований</w:t>
      </w:r>
      <w:r w:rsidR="005C39DB" w:rsidRPr="00E142BE">
        <w:t xml:space="preserve"> (космос-Земля)</w:t>
      </w:r>
      <w:r w:rsidRPr="00E142BE">
        <w:t>.</w:t>
      </w:r>
    </w:p>
    <w:p w14:paraId="7DEF626C" w14:textId="3B1217B6" w:rsidR="00B40CC0" w:rsidRPr="00E142BE" w:rsidRDefault="00A652FA" w:rsidP="00B40CC0">
      <w:r w:rsidRPr="00E142BE">
        <w:t>Полоса частот 81</w:t>
      </w:r>
      <w:r w:rsidR="005C39DB" w:rsidRPr="00E142BE">
        <w:t>–</w:t>
      </w:r>
      <w:r w:rsidRPr="00E142BE">
        <w:t xml:space="preserve">86 ГГц или ее часть распределена </w:t>
      </w:r>
      <w:r w:rsidR="005C39DB" w:rsidRPr="00E142BE">
        <w:t xml:space="preserve">в РР </w:t>
      </w:r>
      <w:r w:rsidRPr="00E142BE">
        <w:t>на первичной основе фиксированной, фиксированной спутниковой (Земля-космос), подвижной, подвижной спутниковой (Земля-космос)</w:t>
      </w:r>
      <w:r w:rsidR="006B0E5A" w:rsidRPr="00E142BE">
        <w:t xml:space="preserve"> и</w:t>
      </w:r>
      <w:r w:rsidRPr="00E142BE">
        <w:t xml:space="preserve"> радиоастрономической службам и на вторичной основе − службе космических исследований (космос</w:t>
      </w:r>
      <w:r w:rsidR="00C04B6E" w:rsidRPr="00E142BE">
        <w:noBreakHyphen/>
      </w:r>
      <w:r w:rsidRPr="00E142BE">
        <w:t>Земля);</w:t>
      </w:r>
    </w:p>
    <w:p w14:paraId="639FD19A" w14:textId="49FCFF62" w:rsidR="00B40CC0" w:rsidRPr="00E142BE" w:rsidRDefault="00A652FA" w:rsidP="00B40CC0">
      <w:r w:rsidRPr="00E142BE">
        <w:t xml:space="preserve">Подвижная широкополосная связь играет все более важную роль в предоставлении доступа </w:t>
      </w:r>
      <w:r w:rsidR="006B0E5A" w:rsidRPr="00E142BE">
        <w:t xml:space="preserve">для </w:t>
      </w:r>
      <w:r w:rsidRPr="00E142BE">
        <w:t>предприяти</w:t>
      </w:r>
      <w:r w:rsidR="006B0E5A" w:rsidRPr="00E142BE">
        <w:t>й</w:t>
      </w:r>
      <w:r w:rsidRPr="00E142BE">
        <w:t xml:space="preserve"> и потребител</w:t>
      </w:r>
      <w:r w:rsidR="006B0E5A" w:rsidRPr="00E142BE">
        <w:t>ей</w:t>
      </w:r>
      <w:r w:rsidRPr="00E142BE">
        <w:t xml:space="preserve"> во всем мире. По статистическим данным Международного союза электросвязи (МСЭ), </w:t>
      </w:r>
      <w:r w:rsidR="005C39DB" w:rsidRPr="00E142BE">
        <w:t>"</w:t>
      </w:r>
      <w:r w:rsidRPr="00E142BE">
        <w:t xml:space="preserve">Число контрактов на подвижную широкополосную связь в течение последних пяти лет росло более чем на 20% в год, и ожидается, что на глобальном уровне к концу 2017 года оно </w:t>
      </w:r>
      <w:r w:rsidRPr="00E142BE">
        <w:lastRenderedPageBreak/>
        <w:t>достигнет 4,3 миллиарда</w:t>
      </w:r>
      <w:r w:rsidR="005C39DB" w:rsidRPr="00E142BE">
        <w:t>"</w:t>
      </w:r>
      <w:r w:rsidRPr="00E142BE">
        <w:t xml:space="preserve">, в то время как </w:t>
      </w:r>
      <w:r w:rsidR="005C39DB" w:rsidRPr="00E142BE">
        <w:t>"</w:t>
      </w:r>
      <w:r w:rsidRPr="00E142BE">
        <w:t>в период с 2013 по 2016 год цены на подвижную широкополосную связь в процентах от ВНД на душу населения во всем мире снизились в два раза</w:t>
      </w:r>
      <w:r w:rsidR="005C39DB" w:rsidRPr="00E142BE">
        <w:t>"</w:t>
      </w:r>
      <w:r w:rsidR="00467F80" w:rsidRPr="00E142BE">
        <w:rPr>
          <w:vertAlign w:val="superscript"/>
        </w:rPr>
        <w:footnoteReference w:id="1"/>
      </w:r>
      <w:r w:rsidRPr="00E142BE">
        <w:t>.</w:t>
      </w:r>
      <w:r w:rsidR="00B40CC0" w:rsidRPr="00E142BE">
        <w:t xml:space="preserve"> </w:t>
      </w:r>
    </w:p>
    <w:p w14:paraId="0538F144" w14:textId="4AC1DA04" w:rsidR="00B40CC0" w:rsidRPr="00E142BE" w:rsidRDefault="00A652FA" w:rsidP="00B40CC0">
      <w:r w:rsidRPr="00E142BE">
        <w:rPr>
          <w:iCs/>
        </w:rPr>
        <w:t xml:space="preserve">Рост спроса на подвижную широкополосную связь привел к </w:t>
      </w:r>
      <w:r w:rsidR="005C39DB" w:rsidRPr="00E142BE">
        <w:rPr>
          <w:iCs/>
        </w:rPr>
        <w:t>повышению</w:t>
      </w:r>
      <w:r w:rsidRPr="00E142BE">
        <w:rPr>
          <w:iCs/>
        </w:rPr>
        <w:t xml:space="preserve"> требований к </w:t>
      </w:r>
      <w:r w:rsidR="006B0E5A" w:rsidRPr="00E142BE">
        <w:rPr>
          <w:iCs/>
        </w:rPr>
        <w:t>пропускн</w:t>
      </w:r>
      <w:r w:rsidR="005C39DB" w:rsidRPr="00E142BE">
        <w:rPr>
          <w:iCs/>
        </w:rPr>
        <w:t>ой</w:t>
      </w:r>
      <w:r w:rsidR="006B0E5A" w:rsidRPr="00E142BE">
        <w:rPr>
          <w:iCs/>
        </w:rPr>
        <w:t xml:space="preserve"> способност</w:t>
      </w:r>
      <w:r w:rsidR="005C39DB" w:rsidRPr="00E142BE">
        <w:rPr>
          <w:iCs/>
        </w:rPr>
        <w:t>и</w:t>
      </w:r>
      <w:r w:rsidRPr="00E142BE">
        <w:rPr>
          <w:iCs/>
        </w:rPr>
        <w:t xml:space="preserve"> транзитной или транспортной</w:t>
      </w:r>
      <w:r w:rsidR="005C39DB" w:rsidRPr="00E142BE">
        <w:rPr>
          <w:iCs/>
        </w:rPr>
        <w:t xml:space="preserve"> сети</w:t>
      </w:r>
      <w:r w:rsidRPr="00E142BE">
        <w:rPr>
          <w:iCs/>
        </w:rPr>
        <w:t xml:space="preserve">. Полосы частот </w:t>
      </w:r>
      <w:r w:rsidRPr="00E142BE">
        <w:t>71</w:t>
      </w:r>
      <w:r w:rsidR="005C39DB" w:rsidRPr="00E142BE">
        <w:t>–</w:t>
      </w:r>
      <w:r w:rsidRPr="00E142BE">
        <w:t>76 ГГц и 81</w:t>
      </w:r>
      <w:r w:rsidR="005C39DB" w:rsidRPr="00E142BE">
        <w:t>–</w:t>
      </w:r>
      <w:r w:rsidRPr="00E142BE">
        <w:t xml:space="preserve">86 ГГц важны для обеспечения </w:t>
      </w:r>
      <w:r w:rsidR="005C39DB" w:rsidRPr="00E142BE">
        <w:t xml:space="preserve">транзитных </w:t>
      </w:r>
      <w:r w:rsidR="00071A92" w:rsidRPr="00E142BE">
        <w:t>линий</w:t>
      </w:r>
      <w:r w:rsidR="005C39DB" w:rsidRPr="00E142BE">
        <w:t xml:space="preserve"> в рамках </w:t>
      </w:r>
      <w:r w:rsidRPr="00E142BE">
        <w:t>фиксированной служб</w:t>
      </w:r>
      <w:r w:rsidR="005C39DB" w:rsidRPr="00E142BE">
        <w:t>ы</w:t>
      </w:r>
      <w:r w:rsidR="00C2569D" w:rsidRPr="00E142BE">
        <w:t xml:space="preserve"> (ФС)</w:t>
      </w:r>
      <w:r w:rsidRPr="00E142BE">
        <w:rPr>
          <w:iCs/>
        </w:rPr>
        <w:t xml:space="preserve"> </w:t>
      </w:r>
      <w:r w:rsidRPr="00E142BE">
        <w:t xml:space="preserve">для услуг подвижной широкополосной связи. </w:t>
      </w:r>
      <w:r w:rsidR="00C2569D" w:rsidRPr="00E142BE">
        <w:t xml:space="preserve">Данные полосы частот имеют </w:t>
      </w:r>
      <w:r w:rsidR="005C39DB" w:rsidRPr="00E142BE">
        <w:t>очень широкую полосу пропускания</w:t>
      </w:r>
      <w:r w:rsidR="00C2569D" w:rsidRPr="00E142BE">
        <w:t xml:space="preserve">, позволяя </w:t>
      </w:r>
      <w:r w:rsidR="006B0E5A" w:rsidRPr="00E142BE">
        <w:t>устанавливать связь с пропускной способностью</w:t>
      </w:r>
      <w:r w:rsidR="00C2569D" w:rsidRPr="00E142BE">
        <w:t xml:space="preserve"> </w:t>
      </w:r>
      <w:r w:rsidR="006B0E5A" w:rsidRPr="00E142BE">
        <w:t>порядка</w:t>
      </w:r>
      <w:r w:rsidR="00C2569D" w:rsidRPr="00E142BE">
        <w:t xml:space="preserve"> 10 Гбит в секунду или более на расстояни</w:t>
      </w:r>
      <w:r w:rsidR="00621114" w:rsidRPr="00E142BE">
        <w:t>и</w:t>
      </w:r>
      <w:r w:rsidR="00C2569D" w:rsidRPr="00E142BE">
        <w:t xml:space="preserve"> нескольких километров</w:t>
      </w:r>
      <w:r w:rsidR="006B0E5A" w:rsidRPr="00E142BE">
        <w:t>,</w:t>
      </w:r>
      <w:r w:rsidR="00C2569D" w:rsidRPr="00E142BE">
        <w:t xml:space="preserve"> и являются альтернативой прокладыванию оптоволокна</w:t>
      </w:r>
      <w:r w:rsidR="005C39DB" w:rsidRPr="00E142BE">
        <w:t>: такие скорости передачи данных</w:t>
      </w:r>
      <w:r w:rsidR="00C2569D" w:rsidRPr="00E142BE">
        <w:t xml:space="preserve"> недостижим</w:t>
      </w:r>
      <w:r w:rsidR="005C39DB" w:rsidRPr="00E142BE">
        <w:t>ы</w:t>
      </w:r>
      <w:r w:rsidR="00C2569D" w:rsidRPr="00E142BE">
        <w:t xml:space="preserve"> </w:t>
      </w:r>
      <w:r w:rsidR="005C39DB" w:rsidRPr="00E142BE">
        <w:t>в</w:t>
      </w:r>
      <w:r w:rsidR="00C2569D" w:rsidRPr="00E142BE">
        <w:t xml:space="preserve"> других полосах частот с ограниченной </w:t>
      </w:r>
      <w:r w:rsidR="00071A92" w:rsidRPr="00E142BE">
        <w:t xml:space="preserve">шириной </w:t>
      </w:r>
      <w:r w:rsidR="005C39DB" w:rsidRPr="00E142BE">
        <w:t>полос</w:t>
      </w:r>
      <w:r w:rsidR="00071A92" w:rsidRPr="00E142BE">
        <w:t>ы</w:t>
      </w:r>
      <w:r w:rsidR="00C2569D" w:rsidRPr="00E142BE">
        <w:t xml:space="preserve">. Ожидается, что спрос на транзитные линии высокой пропускной способности создаст импульс для перехода с </w:t>
      </w:r>
      <w:r w:rsidR="00071A92" w:rsidRPr="00E142BE">
        <w:t xml:space="preserve">более низких </w:t>
      </w:r>
      <w:r w:rsidR="00C2569D" w:rsidRPr="00E142BE">
        <w:t xml:space="preserve">полос частот на эти </w:t>
      </w:r>
      <w:r w:rsidR="00071A92" w:rsidRPr="00E142BE">
        <w:t>диапазоны</w:t>
      </w:r>
      <w:r w:rsidR="00C2569D" w:rsidRPr="00E142BE">
        <w:t xml:space="preserve">. Используемые в ФС </w:t>
      </w:r>
      <w:r w:rsidR="00071A92" w:rsidRPr="00E142BE">
        <w:t>средства СВЧ-</w:t>
      </w:r>
      <w:r w:rsidR="00C2569D" w:rsidRPr="00E142BE">
        <w:t>радио</w:t>
      </w:r>
      <w:r w:rsidR="00071A92" w:rsidRPr="00E142BE">
        <w:t>связи пункта с пунктом</w:t>
      </w:r>
      <w:r w:rsidR="00B86318" w:rsidRPr="00E142BE">
        <w:t xml:space="preserve"> являются ключевыми элементами многих сетей подвижной связи</w:t>
      </w:r>
      <w:r w:rsidR="00C2569D" w:rsidRPr="00E142BE">
        <w:t>, так</w:t>
      </w:r>
      <w:r w:rsidR="00B86318" w:rsidRPr="00E142BE">
        <w:t>же</w:t>
      </w:r>
      <w:r w:rsidR="00C2569D" w:rsidRPr="00E142BE">
        <w:t xml:space="preserve"> же как и СВЧ-линии связи</w:t>
      </w:r>
      <w:r w:rsidR="00B86318" w:rsidRPr="00E142BE">
        <w:t xml:space="preserve"> фиксированной службы</w:t>
      </w:r>
      <w:r w:rsidR="00C2569D" w:rsidRPr="00E142BE">
        <w:t xml:space="preserve">, </w:t>
      </w:r>
      <w:r w:rsidR="00B86318" w:rsidRPr="00E142BE">
        <w:t xml:space="preserve">применяемые </w:t>
      </w:r>
      <w:r w:rsidR="00C2569D" w:rsidRPr="00E142BE">
        <w:t xml:space="preserve">для различных целей, в том числе </w:t>
      </w:r>
      <w:r w:rsidR="001417B0" w:rsidRPr="00E142BE">
        <w:t xml:space="preserve">для </w:t>
      </w:r>
      <w:r w:rsidR="00C2569D" w:rsidRPr="00E142BE">
        <w:t>радиовещания, коммунальн</w:t>
      </w:r>
      <w:r w:rsidR="00071A92" w:rsidRPr="00E142BE">
        <w:t>ых</w:t>
      </w:r>
      <w:r w:rsidR="00C2569D" w:rsidRPr="00E142BE">
        <w:t xml:space="preserve"> </w:t>
      </w:r>
      <w:r w:rsidR="00071A92" w:rsidRPr="00E142BE">
        <w:t>служб и</w:t>
      </w:r>
      <w:r w:rsidR="00C2569D" w:rsidRPr="00E142BE">
        <w:t xml:space="preserve"> общественной безопасности. Предполагается, что произойдет значительный рост использования </w:t>
      </w:r>
      <w:r w:rsidR="00C2569D" w:rsidRPr="00E142BE">
        <w:rPr>
          <w:iCs/>
        </w:rPr>
        <w:t xml:space="preserve">полос частот </w:t>
      </w:r>
      <w:r w:rsidR="00C2569D" w:rsidRPr="00E142BE">
        <w:t>71</w:t>
      </w:r>
      <w:r w:rsidR="00B86318" w:rsidRPr="00E142BE">
        <w:t>–</w:t>
      </w:r>
      <w:r w:rsidR="00C2569D" w:rsidRPr="00E142BE">
        <w:t>76 ГГц и 81</w:t>
      </w:r>
      <w:r w:rsidR="00B86318" w:rsidRPr="00E142BE">
        <w:t>–</w:t>
      </w:r>
      <w:r w:rsidR="00C2569D" w:rsidRPr="00E142BE">
        <w:t>86 ГГц фиксированной службой, который составит до 20 процентов от развертывания новых транзитных сетей ежегодно к 2020 году</w:t>
      </w:r>
      <w:r w:rsidR="00C2569D" w:rsidRPr="00E142BE">
        <w:rPr>
          <w:iCs/>
          <w:vertAlign w:val="superscript"/>
        </w:rPr>
        <w:footnoteReference w:id="2"/>
      </w:r>
      <w:r w:rsidR="00C2569D" w:rsidRPr="00E142BE">
        <w:t>.</w:t>
      </w:r>
    </w:p>
    <w:p w14:paraId="748C7BE4" w14:textId="0EA254BC" w:rsidR="00B40CC0" w:rsidRPr="00E142BE" w:rsidRDefault="00C2569D" w:rsidP="00B40CC0">
      <w:r w:rsidRPr="00E142BE">
        <w:t>Для предоставления важных услуг транзитной связи, в том числе поддерживающих</w:t>
      </w:r>
      <w:r w:rsidR="006B0E5A" w:rsidRPr="00E142BE">
        <w:t xml:space="preserve"> развертывание</w:t>
      </w:r>
      <w:r w:rsidRPr="00E142BE">
        <w:t xml:space="preserve"> IMT-2020, </w:t>
      </w:r>
      <w:r w:rsidR="00B86318" w:rsidRPr="00E142BE">
        <w:t xml:space="preserve">предлагается не вносить </w:t>
      </w:r>
      <w:r w:rsidRPr="00E142BE">
        <w:t>изменений в отношении</w:t>
      </w:r>
      <w:r w:rsidRPr="00E142BE">
        <w:rPr>
          <w:iCs/>
        </w:rPr>
        <w:t xml:space="preserve"> полос частот </w:t>
      </w:r>
      <w:r w:rsidRPr="00E142BE">
        <w:t>71</w:t>
      </w:r>
      <w:r w:rsidR="00B86318" w:rsidRPr="00E142BE">
        <w:t>–</w:t>
      </w:r>
      <w:r w:rsidRPr="00E142BE">
        <w:t>76 ГГц и 81</w:t>
      </w:r>
      <w:r w:rsidR="00B86318" w:rsidRPr="00E142BE">
        <w:t>–</w:t>
      </w:r>
      <w:r w:rsidRPr="00E142BE">
        <w:t>86 ГГц.</w:t>
      </w:r>
    </w:p>
    <w:p w14:paraId="4C79D0E4" w14:textId="26F5F459" w:rsidR="00B40CC0" w:rsidRPr="00E142BE" w:rsidRDefault="00C2569D" w:rsidP="00B40CC0">
      <w:r w:rsidRPr="00E142BE">
        <w:t xml:space="preserve">Кроме того, </w:t>
      </w:r>
      <w:r w:rsidR="006B0E5A" w:rsidRPr="00E142BE">
        <w:t>отсутствие изменений в отношении данных полос частот упростит совместимость со службами, работающих в соседних полосах частот, в частности, с автомобильными радарами, работающими в полосе частот 76</w:t>
      </w:r>
      <w:r w:rsidR="00B86318" w:rsidRPr="00E142BE">
        <w:t>–8</w:t>
      </w:r>
      <w:r w:rsidR="006B0E5A" w:rsidRPr="00E142BE">
        <w:t>1 ГГц.</w:t>
      </w:r>
    </w:p>
    <w:p w14:paraId="6AC2A02B" w14:textId="77777777" w:rsidR="00BA016D" w:rsidRPr="00E142BE" w:rsidRDefault="00BA016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E142BE">
        <w:br w:type="page"/>
      </w:r>
    </w:p>
    <w:p w14:paraId="1DE50E5E" w14:textId="705E3FCD" w:rsidR="000C3ACF" w:rsidRPr="00E142BE" w:rsidRDefault="00A11D74" w:rsidP="00450154">
      <w:pPr>
        <w:pStyle w:val="ArtNo"/>
        <w:spacing w:before="0"/>
      </w:pPr>
      <w:r w:rsidRPr="00E142BE">
        <w:t xml:space="preserve">СТАТЬЯ </w:t>
      </w:r>
      <w:r w:rsidRPr="00E142BE">
        <w:rPr>
          <w:rStyle w:val="href"/>
        </w:rPr>
        <w:t>5</w:t>
      </w:r>
      <w:bookmarkEnd w:id="8"/>
      <w:bookmarkEnd w:id="9"/>
    </w:p>
    <w:p w14:paraId="7764EEE8" w14:textId="77777777" w:rsidR="000C3ACF" w:rsidRPr="00E142BE" w:rsidRDefault="00A11D74" w:rsidP="00450154">
      <w:pPr>
        <w:pStyle w:val="Arttitle"/>
      </w:pPr>
      <w:bookmarkStart w:id="10" w:name="_Toc331607682"/>
      <w:bookmarkStart w:id="11" w:name="_Toc456189605"/>
      <w:r w:rsidRPr="00E142BE">
        <w:t>Распределение частот</w:t>
      </w:r>
      <w:bookmarkEnd w:id="10"/>
      <w:bookmarkEnd w:id="11"/>
    </w:p>
    <w:p w14:paraId="762E3469" w14:textId="77777777" w:rsidR="000C3ACF" w:rsidRPr="00E142BE" w:rsidRDefault="00A11D74" w:rsidP="00450154">
      <w:pPr>
        <w:pStyle w:val="Section1"/>
      </w:pPr>
      <w:bookmarkStart w:id="12" w:name="_Toc331607687"/>
      <w:r w:rsidRPr="00E142BE">
        <w:t>Раздел IV  –  Таблица распределения частот</w:t>
      </w:r>
      <w:r w:rsidRPr="00E142BE">
        <w:br/>
      </w:r>
      <w:r w:rsidRPr="00E142BE">
        <w:rPr>
          <w:b w:val="0"/>
          <w:bCs/>
        </w:rPr>
        <w:t>(См. п.</w:t>
      </w:r>
      <w:r w:rsidRPr="00E142BE">
        <w:t xml:space="preserve"> 2.1</w:t>
      </w:r>
      <w:r w:rsidRPr="00E142BE">
        <w:rPr>
          <w:b w:val="0"/>
          <w:bCs/>
        </w:rPr>
        <w:t>)</w:t>
      </w:r>
      <w:bookmarkEnd w:id="12"/>
    </w:p>
    <w:p w14:paraId="659DA358" w14:textId="77777777" w:rsidR="00327965" w:rsidRPr="00E142BE" w:rsidRDefault="00A11D74">
      <w:pPr>
        <w:pStyle w:val="Proposal"/>
      </w:pPr>
      <w:r w:rsidRPr="00E142BE">
        <w:rPr>
          <w:u w:val="single"/>
        </w:rPr>
        <w:t>NOC</w:t>
      </w:r>
      <w:r w:rsidRPr="00E142BE">
        <w:tab/>
        <w:t>IAP/11A13A6/1</w:t>
      </w:r>
    </w:p>
    <w:p w14:paraId="6B9042E7" w14:textId="77777777" w:rsidR="000C3ACF" w:rsidRPr="00E142BE" w:rsidRDefault="00A11D74" w:rsidP="00450154">
      <w:pPr>
        <w:pStyle w:val="Tabletitle"/>
        <w:keepNext w:val="0"/>
        <w:keepLines w:val="0"/>
      </w:pPr>
      <w:r w:rsidRPr="00E142BE">
        <w:t>66–81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7"/>
        <w:gridCol w:w="3223"/>
        <w:gridCol w:w="3072"/>
      </w:tblGrid>
      <w:tr w:rsidR="000C3ACF" w:rsidRPr="00E142BE" w14:paraId="3F14D77D" w14:textId="77777777" w:rsidTr="002A7127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341" w14:textId="77777777" w:rsidR="000C3ACF" w:rsidRPr="00E142BE" w:rsidRDefault="00A11D74" w:rsidP="00450154">
            <w:pPr>
              <w:pStyle w:val="Tablehead"/>
              <w:rPr>
                <w:lang w:val="ru-RU"/>
              </w:rPr>
            </w:pPr>
            <w:r w:rsidRPr="00E142BE">
              <w:rPr>
                <w:lang w:val="ru-RU"/>
              </w:rPr>
              <w:t>Распределение по службам</w:t>
            </w:r>
          </w:p>
        </w:tc>
      </w:tr>
      <w:tr w:rsidR="000C3ACF" w:rsidRPr="00E142BE" w14:paraId="04A33F87" w14:textId="77777777" w:rsidTr="002A7127">
        <w:trPr>
          <w:cantSplit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D10" w14:textId="77777777" w:rsidR="000C3ACF" w:rsidRPr="00E142BE" w:rsidRDefault="00A11D74" w:rsidP="00450154">
            <w:pPr>
              <w:pStyle w:val="Tablehead"/>
              <w:rPr>
                <w:lang w:val="ru-RU"/>
              </w:rPr>
            </w:pPr>
            <w:r w:rsidRPr="00E142BE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E2CE" w14:textId="77777777" w:rsidR="000C3ACF" w:rsidRPr="00E142BE" w:rsidRDefault="00A11D74" w:rsidP="00450154">
            <w:pPr>
              <w:pStyle w:val="Tablehead"/>
              <w:rPr>
                <w:lang w:val="ru-RU"/>
              </w:rPr>
            </w:pPr>
            <w:r w:rsidRPr="00E142BE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A6D" w14:textId="77777777" w:rsidR="000C3ACF" w:rsidRPr="00E142BE" w:rsidRDefault="00A11D74" w:rsidP="00450154">
            <w:pPr>
              <w:pStyle w:val="Tablehead"/>
              <w:rPr>
                <w:lang w:val="ru-RU"/>
              </w:rPr>
            </w:pPr>
            <w:r w:rsidRPr="00E142BE">
              <w:rPr>
                <w:lang w:val="ru-RU"/>
              </w:rPr>
              <w:t>Район 3</w:t>
            </w:r>
          </w:p>
        </w:tc>
      </w:tr>
      <w:tr w:rsidR="000C3ACF" w:rsidRPr="00E142BE" w14:paraId="52C13C20" w14:textId="77777777" w:rsidTr="002A7127">
        <w:trPr>
          <w:cantSplit/>
          <w:jc w:val="center"/>
        </w:trPr>
        <w:tc>
          <w:tcPr>
            <w:tcW w:w="1656" w:type="pct"/>
            <w:tcBorders>
              <w:right w:val="nil"/>
            </w:tcBorders>
          </w:tcPr>
          <w:p w14:paraId="05C8CF20" w14:textId="77777777" w:rsidR="000C3ACF" w:rsidRPr="00E142BE" w:rsidRDefault="00A11D74" w:rsidP="00450154">
            <w:pPr>
              <w:pStyle w:val="TableTextS5"/>
              <w:rPr>
                <w:rStyle w:val="Tablefreq"/>
                <w:lang w:val="ru-RU"/>
              </w:rPr>
            </w:pPr>
            <w:r w:rsidRPr="00E142BE">
              <w:rPr>
                <w:rStyle w:val="Tablefreq"/>
                <w:lang w:val="ru-RU"/>
              </w:rPr>
              <w:t>71–74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14:paraId="03BEB121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lang w:val="ru-RU"/>
              </w:rPr>
              <w:t>ФИКСИРОВАННАЯ</w:t>
            </w:r>
          </w:p>
          <w:p w14:paraId="459E02CC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lang w:val="ru-RU"/>
              </w:rPr>
              <w:t>ФИКСИРОВАННАЯ СПУТНИКОВАЯ (космос-Земля)</w:t>
            </w:r>
          </w:p>
          <w:p w14:paraId="59DE34B5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lang w:val="ru-RU"/>
              </w:rPr>
              <w:t>ПОДВИЖНАЯ</w:t>
            </w:r>
          </w:p>
          <w:p w14:paraId="3C98F379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lang w:val="ru-RU"/>
              </w:rPr>
              <w:t>ПОДВИЖНАЯ СПУТНИКОВАЯ (космос-Земля)</w:t>
            </w:r>
          </w:p>
        </w:tc>
      </w:tr>
      <w:tr w:rsidR="000C3ACF" w:rsidRPr="00E142BE" w14:paraId="792BA8C5" w14:textId="77777777" w:rsidTr="002A7127">
        <w:trPr>
          <w:cantSplit/>
          <w:jc w:val="center"/>
        </w:trPr>
        <w:tc>
          <w:tcPr>
            <w:tcW w:w="1656" w:type="pct"/>
            <w:tcBorders>
              <w:right w:val="nil"/>
            </w:tcBorders>
          </w:tcPr>
          <w:p w14:paraId="5A2C894A" w14:textId="77777777" w:rsidR="000C3ACF" w:rsidRPr="00E142BE" w:rsidRDefault="00A11D74" w:rsidP="00450154">
            <w:pPr>
              <w:pStyle w:val="TableTextS5"/>
              <w:rPr>
                <w:rStyle w:val="Tablefreq"/>
                <w:lang w:val="ru-RU"/>
              </w:rPr>
            </w:pPr>
            <w:r w:rsidRPr="00E142BE">
              <w:rPr>
                <w:rStyle w:val="Tablefreq"/>
                <w:lang w:val="ru-RU"/>
              </w:rPr>
              <w:t>74–76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14:paraId="799BCAC6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lang w:val="ru-RU"/>
              </w:rPr>
              <w:t>ФИКСИРОВАННАЯ</w:t>
            </w:r>
          </w:p>
          <w:p w14:paraId="68BF0789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lang w:val="ru-RU"/>
              </w:rPr>
              <w:t>ФИКСИРОВАННАЯ СПУТНИКОВАЯ (космос-Земля)</w:t>
            </w:r>
          </w:p>
          <w:p w14:paraId="03910B7C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lang w:val="ru-RU"/>
              </w:rPr>
              <w:t xml:space="preserve">ПОДВИЖНАЯ </w:t>
            </w:r>
          </w:p>
          <w:p w14:paraId="6E72390F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lang w:val="ru-RU"/>
              </w:rPr>
              <w:t>РАДИОВЕЩАТЕЛЬНАЯ</w:t>
            </w:r>
          </w:p>
          <w:p w14:paraId="2F03EA50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lang w:val="ru-RU"/>
              </w:rPr>
              <w:t>РАДИОВЕЩАТЕЛЬНАЯ СПУТНИКОВАЯ</w:t>
            </w:r>
          </w:p>
          <w:p w14:paraId="4440CE43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lang w:val="ru-RU"/>
              </w:rPr>
              <w:t>Служба космических исследований (космос-Земля)</w:t>
            </w:r>
          </w:p>
          <w:p w14:paraId="0535B9F5" w14:textId="77777777" w:rsidR="000C3ACF" w:rsidRPr="00E142BE" w:rsidRDefault="00A11D74" w:rsidP="00450154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r w:rsidRPr="00E142BE">
              <w:rPr>
                <w:rStyle w:val="Artref"/>
                <w:lang w:val="ru-RU"/>
              </w:rPr>
              <w:t>5.561</w:t>
            </w:r>
          </w:p>
        </w:tc>
      </w:tr>
    </w:tbl>
    <w:p w14:paraId="1AF67352" w14:textId="08F327BE" w:rsidR="00327965" w:rsidRPr="00E142BE" w:rsidRDefault="00A11D74">
      <w:pPr>
        <w:pStyle w:val="Reasons"/>
      </w:pPr>
      <w:r w:rsidRPr="00E142BE">
        <w:rPr>
          <w:b/>
        </w:rPr>
        <w:lastRenderedPageBreak/>
        <w:t>Основани</w:t>
      </w:r>
      <w:r w:rsidR="006B0E5A" w:rsidRPr="00E142BE">
        <w:rPr>
          <w:b/>
        </w:rPr>
        <w:t>е</w:t>
      </w:r>
      <w:r w:rsidRPr="00E142BE">
        <w:rPr>
          <w:bCs/>
        </w:rPr>
        <w:t>:</w:t>
      </w:r>
      <w:r w:rsidRPr="00E142BE">
        <w:tab/>
      </w:r>
      <w:r w:rsidR="006B0E5A" w:rsidRPr="00E142BE">
        <w:t>Отсутствие изменений в отношении полосы частот 71</w:t>
      </w:r>
      <w:r w:rsidR="00B86318" w:rsidRPr="00E142BE">
        <w:t>–</w:t>
      </w:r>
      <w:r w:rsidR="006B0E5A" w:rsidRPr="00E142BE">
        <w:t>76 ГГц позволяет более активно использовать данные частоты для транзитной связи и других целей в рамках ФС в поддержку IMT-2020</w:t>
      </w:r>
      <w:r w:rsidR="00B86318" w:rsidRPr="00E142BE">
        <w:t>,</w:t>
      </w:r>
      <w:r w:rsidR="006B0E5A" w:rsidRPr="00E142BE">
        <w:t xml:space="preserve"> </w:t>
      </w:r>
      <w:r w:rsidR="00B86318" w:rsidRPr="00E142BE">
        <w:t>а т</w:t>
      </w:r>
      <w:r w:rsidR="006B0E5A" w:rsidRPr="00E142BE">
        <w:t>акже упрощает совместимость с автомобильными радарами, работающими в соседней полосе частот 76</w:t>
      </w:r>
      <w:r w:rsidR="00B86318" w:rsidRPr="00E142BE">
        <w:t>–</w:t>
      </w:r>
      <w:r w:rsidR="006B0E5A" w:rsidRPr="00E142BE">
        <w:t xml:space="preserve">81 ГГц.  </w:t>
      </w:r>
    </w:p>
    <w:p w14:paraId="7BB2DE09" w14:textId="77777777" w:rsidR="00327965" w:rsidRPr="00E142BE" w:rsidRDefault="00A11D74">
      <w:pPr>
        <w:pStyle w:val="Proposal"/>
      </w:pPr>
      <w:r w:rsidRPr="00E142BE">
        <w:rPr>
          <w:u w:val="single"/>
        </w:rPr>
        <w:t>NOC</w:t>
      </w:r>
      <w:r w:rsidRPr="00E142BE">
        <w:tab/>
        <w:t>IAP/11A13A6/2</w:t>
      </w:r>
    </w:p>
    <w:p w14:paraId="17FD09E4" w14:textId="77777777" w:rsidR="000C3ACF" w:rsidRPr="00E142BE" w:rsidRDefault="00A11D74" w:rsidP="00450154">
      <w:pPr>
        <w:pStyle w:val="Tabletitle"/>
      </w:pPr>
      <w:r w:rsidRPr="00E142BE">
        <w:t>81–86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81"/>
        <w:gridCol w:w="3208"/>
        <w:gridCol w:w="3023"/>
      </w:tblGrid>
      <w:tr w:rsidR="000C3ACF" w:rsidRPr="00E142BE" w14:paraId="4C9DB66C" w14:textId="77777777" w:rsidTr="002A71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24CD" w14:textId="77777777" w:rsidR="000C3ACF" w:rsidRPr="00E142BE" w:rsidRDefault="00A11D74" w:rsidP="00450154">
            <w:pPr>
              <w:pStyle w:val="Tablehead"/>
              <w:rPr>
                <w:lang w:val="ru-RU" w:eastAsia="ru-RU"/>
              </w:rPr>
            </w:pPr>
            <w:r w:rsidRPr="00E142BE">
              <w:rPr>
                <w:lang w:val="ru-RU" w:eastAsia="ru-RU"/>
              </w:rPr>
              <w:t>Распределение по службам</w:t>
            </w:r>
          </w:p>
        </w:tc>
      </w:tr>
      <w:tr w:rsidR="000C3ACF" w:rsidRPr="00E142BE" w14:paraId="1E082659" w14:textId="77777777" w:rsidTr="002A7127">
        <w:trPr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20EE" w14:textId="77777777" w:rsidR="000C3ACF" w:rsidRPr="00E142BE" w:rsidRDefault="00A11D74" w:rsidP="00450154">
            <w:pPr>
              <w:pStyle w:val="Tablehead"/>
              <w:rPr>
                <w:lang w:val="ru-RU" w:eastAsia="ru-RU"/>
              </w:rPr>
            </w:pPr>
            <w:r w:rsidRPr="00E142BE">
              <w:rPr>
                <w:lang w:val="ru-RU" w:eastAsia="ru-RU"/>
              </w:rPr>
              <w:t>Район 1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202E" w14:textId="77777777" w:rsidR="000C3ACF" w:rsidRPr="00E142BE" w:rsidRDefault="00A11D74" w:rsidP="00450154">
            <w:pPr>
              <w:pStyle w:val="Tablehead"/>
              <w:rPr>
                <w:lang w:val="ru-RU" w:eastAsia="ru-RU"/>
              </w:rPr>
            </w:pPr>
            <w:r w:rsidRPr="00E142BE">
              <w:rPr>
                <w:lang w:val="ru-RU" w:eastAsia="ru-RU"/>
              </w:rPr>
              <w:t>Район 2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56C3" w14:textId="77777777" w:rsidR="000C3ACF" w:rsidRPr="00E142BE" w:rsidRDefault="00A11D74" w:rsidP="00450154">
            <w:pPr>
              <w:pStyle w:val="Tablehead"/>
              <w:rPr>
                <w:lang w:val="ru-RU" w:eastAsia="ru-RU"/>
              </w:rPr>
            </w:pPr>
            <w:r w:rsidRPr="00E142BE">
              <w:rPr>
                <w:lang w:val="ru-RU" w:eastAsia="ru-RU"/>
              </w:rPr>
              <w:t>Район 3</w:t>
            </w:r>
          </w:p>
        </w:tc>
      </w:tr>
      <w:tr w:rsidR="000C3ACF" w:rsidRPr="00E142BE" w14:paraId="5DAC8D51" w14:textId="77777777" w:rsidTr="002A7127">
        <w:trPr>
          <w:jc w:val="center"/>
        </w:trPr>
        <w:tc>
          <w:tcPr>
            <w:tcW w:w="1690" w:type="pct"/>
            <w:tcBorders>
              <w:top w:val="single" w:sz="4" w:space="0" w:color="auto"/>
              <w:right w:val="nil"/>
            </w:tcBorders>
          </w:tcPr>
          <w:p w14:paraId="39B3DDF4" w14:textId="77777777" w:rsidR="000C3ACF" w:rsidRPr="00E142BE" w:rsidRDefault="00A11D74" w:rsidP="0045015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Style w:val="Tablefreq"/>
              </w:rPr>
            </w:pPr>
            <w:r w:rsidRPr="00E142BE">
              <w:rPr>
                <w:rStyle w:val="Tablefreq"/>
              </w:rPr>
              <w:t>81–84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</w:tcBorders>
          </w:tcPr>
          <w:p w14:paraId="4456A744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lang w:val="ru-RU"/>
              </w:rPr>
              <w:t xml:space="preserve">ФИКСИРОВАННАЯ  </w:t>
            </w:r>
            <w:r w:rsidRPr="00E142BE">
              <w:rPr>
                <w:rStyle w:val="Artref"/>
                <w:lang w:val="ru-RU"/>
              </w:rPr>
              <w:t>5.338A</w:t>
            </w:r>
          </w:p>
          <w:p w14:paraId="4B5BBC6F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lang w:val="ru-RU"/>
              </w:rPr>
              <w:t>ФИКСИРОВАННАЯ СПУТНИКОВАЯ (Земля-космос)</w:t>
            </w:r>
          </w:p>
          <w:p w14:paraId="1958DB46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lang w:val="ru-RU"/>
              </w:rPr>
              <w:t>ПОДВИЖНАЯ</w:t>
            </w:r>
          </w:p>
          <w:p w14:paraId="00E0C3F5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lang w:val="ru-RU"/>
              </w:rPr>
              <w:t>ПОДВИЖНАЯ СПУТНИКОВАЯ (Земля-космос)</w:t>
            </w:r>
          </w:p>
          <w:p w14:paraId="49CA31F8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lang w:val="ru-RU"/>
              </w:rPr>
              <w:t>РАДИОАСТРОНОМИЧЕСКАЯ</w:t>
            </w:r>
          </w:p>
          <w:p w14:paraId="6CEBD820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lang w:val="ru-RU"/>
              </w:rPr>
              <w:t xml:space="preserve">Служба космических исследований (космос-Земля) </w:t>
            </w:r>
          </w:p>
          <w:p w14:paraId="2ECF318C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rStyle w:val="Artref"/>
                <w:lang w:val="ru-RU"/>
              </w:rPr>
              <w:t>5.149</w:t>
            </w:r>
            <w:r w:rsidRPr="00E142BE">
              <w:rPr>
                <w:lang w:val="ru-RU"/>
              </w:rPr>
              <w:t xml:space="preserve">  </w:t>
            </w:r>
            <w:r w:rsidRPr="00E142BE">
              <w:rPr>
                <w:rStyle w:val="Artref"/>
                <w:lang w:val="ru-RU"/>
              </w:rPr>
              <w:t>5.561A</w:t>
            </w:r>
          </w:p>
        </w:tc>
      </w:tr>
      <w:tr w:rsidR="000C3ACF" w:rsidRPr="00E142BE" w14:paraId="12D7F302" w14:textId="77777777" w:rsidTr="002A7127">
        <w:trPr>
          <w:jc w:val="center"/>
        </w:trPr>
        <w:tc>
          <w:tcPr>
            <w:tcW w:w="1690" w:type="pct"/>
            <w:tcBorders>
              <w:right w:val="nil"/>
            </w:tcBorders>
          </w:tcPr>
          <w:p w14:paraId="3FB644E0" w14:textId="77777777" w:rsidR="000C3ACF" w:rsidRPr="00E142BE" w:rsidRDefault="00A11D74" w:rsidP="0045015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Style w:val="Tablefreq"/>
              </w:rPr>
            </w:pPr>
            <w:r w:rsidRPr="00E142BE">
              <w:rPr>
                <w:rStyle w:val="Tablefreq"/>
              </w:rPr>
              <w:t>84–86</w:t>
            </w:r>
          </w:p>
        </w:tc>
        <w:tc>
          <w:tcPr>
            <w:tcW w:w="3310" w:type="pct"/>
            <w:gridSpan w:val="2"/>
            <w:tcBorders>
              <w:left w:val="nil"/>
            </w:tcBorders>
          </w:tcPr>
          <w:p w14:paraId="4E7D2728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lang w:val="ru-RU"/>
              </w:rPr>
              <w:t xml:space="preserve">ФИКСИРОВАННАЯ  </w:t>
            </w:r>
            <w:r w:rsidRPr="00E142BE">
              <w:rPr>
                <w:rStyle w:val="Artref"/>
                <w:lang w:val="ru-RU"/>
              </w:rPr>
              <w:t>5.338A</w:t>
            </w:r>
          </w:p>
          <w:p w14:paraId="325404F2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lang w:val="ru-RU"/>
              </w:rPr>
              <w:t xml:space="preserve">ФИКСИРОВАННАЯ СПУТНИКОВАЯ (Земля-космос)  </w:t>
            </w:r>
            <w:r w:rsidRPr="00E142BE">
              <w:rPr>
                <w:rStyle w:val="Artref"/>
                <w:lang w:val="ru-RU"/>
              </w:rPr>
              <w:t>5.561B</w:t>
            </w:r>
          </w:p>
          <w:p w14:paraId="5C4E8277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lang w:val="ru-RU"/>
              </w:rPr>
              <w:t>ПОДВИЖНАЯ</w:t>
            </w:r>
          </w:p>
          <w:p w14:paraId="4AF0052B" w14:textId="77777777" w:rsidR="000C3ACF" w:rsidRPr="00E142BE" w:rsidRDefault="00A11D74" w:rsidP="00450154">
            <w:pPr>
              <w:pStyle w:val="TableTextS5"/>
              <w:ind w:hanging="255"/>
              <w:rPr>
                <w:lang w:val="ru-RU"/>
              </w:rPr>
            </w:pPr>
            <w:r w:rsidRPr="00E142BE">
              <w:rPr>
                <w:lang w:val="ru-RU"/>
              </w:rPr>
              <w:t>РАДИОАСТРОНОМИЧЕСКАЯ</w:t>
            </w:r>
          </w:p>
          <w:p w14:paraId="750318B6" w14:textId="77777777" w:rsidR="000C3ACF" w:rsidRPr="00E142BE" w:rsidRDefault="00A11D74" w:rsidP="00450154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r w:rsidRPr="00E142BE">
              <w:rPr>
                <w:rStyle w:val="Artref"/>
                <w:lang w:val="ru-RU"/>
              </w:rPr>
              <w:t>5.149</w:t>
            </w:r>
          </w:p>
        </w:tc>
      </w:tr>
    </w:tbl>
    <w:p w14:paraId="019254FE" w14:textId="0C4386E9" w:rsidR="00327965" w:rsidRPr="00E142BE" w:rsidRDefault="00A11D74">
      <w:pPr>
        <w:pStyle w:val="Reasons"/>
      </w:pPr>
      <w:r w:rsidRPr="00E142BE">
        <w:rPr>
          <w:b/>
        </w:rPr>
        <w:t>Основани</w:t>
      </w:r>
      <w:r w:rsidR="006B0E5A" w:rsidRPr="00E142BE">
        <w:rPr>
          <w:b/>
        </w:rPr>
        <w:t>е</w:t>
      </w:r>
      <w:r w:rsidRPr="00E142BE">
        <w:rPr>
          <w:bCs/>
        </w:rPr>
        <w:t>:</w:t>
      </w:r>
      <w:r w:rsidRPr="00E142BE">
        <w:tab/>
      </w:r>
      <w:r w:rsidR="006B0E5A" w:rsidRPr="00E142BE">
        <w:t>Отсутствие изменений в отношении полосы частот 81</w:t>
      </w:r>
      <w:r w:rsidR="00B86318" w:rsidRPr="00E142BE">
        <w:t>–</w:t>
      </w:r>
      <w:r w:rsidR="006B0E5A" w:rsidRPr="00E142BE">
        <w:t>86 ГГц позволяет более активно использовать данные частоты для транзитной связи и других целей в рамках ФС в поддержку IMT-2020</w:t>
      </w:r>
      <w:r w:rsidR="00B86318" w:rsidRPr="00E142BE">
        <w:t xml:space="preserve">, а также </w:t>
      </w:r>
      <w:r w:rsidR="006B0E5A" w:rsidRPr="00E142BE">
        <w:t>упрощает совместимость с автомобильными радарами, работающими в соседней полосе частот 76</w:t>
      </w:r>
      <w:r w:rsidR="00B86318" w:rsidRPr="00E142BE">
        <w:t>–</w:t>
      </w:r>
      <w:r w:rsidR="006B0E5A" w:rsidRPr="00E142BE">
        <w:t xml:space="preserve">81 ГГц.  </w:t>
      </w:r>
    </w:p>
    <w:p w14:paraId="76A7F495" w14:textId="77777777" w:rsidR="00A11D74" w:rsidRPr="00E142BE" w:rsidRDefault="00A11D74">
      <w:pPr>
        <w:jc w:val="center"/>
      </w:pPr>
      <w:r w:rsidRPr="00E142BE">
        <w:t>______________</w:t>
      </w:r>
    </w:p>
    <w:sectPr w:rsidR="00A11D74" w:rsidRPr="00E142BE" w:rsidSect="00EA75D2">
      <w:headerReference w:type="default" r:id="rId13"/>
      <w:footerReference w:type="even" r:id="rId14"/>
      <w:footerReference w:type="default" r:id="rId15"/>
      <w:footerReference w:type="first" r:id="rId16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3A156" w14:textId="77777777" w:rsidR="006106CF" w:rsidRDefault="006106CF">
      <w:r>
        <w:separator/>
      </w:r>
    </w:p>
  </w:endnote>
  <w:endnote w:type="continuationSeparator" w:id="0">
    <w:p w14:paraId="7C450843" w14:textId="77777777" w:rsidR="006106CF" w:rsidRDefault="0061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47F9F" w14:textId="77777777" w:rsidR="00567276" w:rsidRDefault="00EA75D2">
    <w:pPr>
      <w:framePr w:wrap="around" w:vAnchor="text" w:hAnchor="margin" w:xAlign="right" w:y="1"/>
    </w:pPr>
    <w:r>
      <w:fldChar w:fldCharType="begin"/>
    </w:r>
    <w:r w:rsidR="00567276">
      <w:instrText xml:space="preserve">PAGE  </w:instrText>
    </w:r>
    <w:r>
      <w:fldChar w:fldCharType="end"/>
    </w:r>
  </w:p>
  <w:p w14:paraId="6870FB15" w14:textId="72DCA449" w:rsidR="00567276" w:rsidRDefault="00E142BE">
    <w:pPr>
      <w:ind w:right="360"/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rPr>
        <w:noProof/>
        <w:lang w:val="fr-FR"/>
      </w:rPr>
      <w:fldChar w:fldCharType="end"/>
    </w:r>
    <w:r w:rsidR="00567276">
      <w:rPr>
        <w:lang w:val="fr-FR"/>
      </w:rPr>
      <w:tab/>
    </w:r>
    <w:r w:rsidR="00EA75D2">
      <w:fldChar w:fldCharType="begin"/>
    </w:r>
    <w:r w:rsidR="00567276">
      <w:instrText xml:space="preserve"> SAVEDATE \@ DD.MM.YY </w:instrText>
    </w:r>
    <w:r w:rsidR="00EA75D2">
      <w:fldChar w:fldCharType="separate"/>
    </w:r>
    <w:r>
      <w:rPr>
        <w:noProof/>
      </w:rPr>
      <w:t>16.10.19</w:t>
    </w:r>
    <w:r w:rsidR="00EA75D2">
      <w:fldChar w:fldCharType="end"/>
    </w:r>
    <w:r w:rsidR="00567276">
      <w:rPr>
        <w:lang w:val="fr-FR"/>
      </w:rPr>
      <w:tab/>
    </w:r>
    <w:r w:rsidR="00EA75D2">
      <w:fldChar w:fldCharType="begin"/>
    </w:r>
    <w:r w:rsidR="00567276">
      <w:instrText xml:space="preserve"> PRINTDATE \@ DD.MM.YY </w:instrText>
    </w:r>
    <w:r w:rsidR="00EA75D2">
      <w:fldChar w:fldCharType="separate"/>
    </w:r>
    <w:r w:rsidR="005651C9">
      <w:rPr>
        <w:noProof/>
      </w:rPr>
      <w:t>17.06.03</w:t>
    </w:r>
    <w:r w:rsidR="00EA75D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A4F8A" w14:textId="77777777" w:rsidR="00567276" w:rsidRPr="00A11D74" w:rsidRDefault="00E142BE" w:rsidP="00A11D7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11D74" w:rsidRPr="00A11D74">
      <w:t>P:\RUS\ITU-R\CONF-R\CMR19\000\011ADD13ADD06R.docx</w:t>
    </w:r>
    <w:r>
      <w:fldChar w:fldCharType="end"/>
    </w:r>
    <w:r w:rsidR="00A11D74">
      <w:t xml:space="preserve"> (460784)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2350D" w14:textId="77777777" w:rsidR="00567276" w:rsidRPr="00A11D74" w:rsidRDefault="00E142BE" w:rsidP="00FB67E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11D74" w:rsidRPr="00A11D74">
      <w:t>P:\RUS\ITU-R\CONF-R\CMR19\000\011ADD13ADD06R.docx</w:t>
    </w:r>
    <w:r>
      <w:fldChar w:fldCharType="end"/>
    </w:r>
    <w:r w:rsidR="00A11D74">
      <w:t xml:space="preserve"> (460784)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6B1A8" w14:textId="77777777" w:rsidR="006106CF" w:rsidRDefault="006106CF">
      <w:r>
        <w:rPr>
          <w:b/>
        </w:rPr>
        <w:t>_______________</w:t>
      </w:r>
    </w:p>
  </w:footnote>
  <w:footnote w:type="continuationSeparator" w:id="0">
    <w:p w14:paraId="32B56B22" w14:textId="77777777" w:rsidR="006106CF" w:rsidRDefault="006106CF">
      <w:r>
        <w:continuationSeparator/>
      </w:r>
    </w:p>
  </w:footnote>
  <w:footnote w:id="1">
    <w:p w14:paraId="09DE2CE5" w14:textId="22C22A1C" w:rsidR="00467F80" w:rsidRPr="00A652FA" w:rsidRDefault="00467F80" w:rsidP="00467F80">
      <w:pPr>
        <w:pStyle w:val="FootnoteText"/>
        <w:rPr>
          <w:szCs w:val="24"/>
          <w:lang w:val="ru-RU"/>
        </w:rPr>
      </w:pPr>
      <w:r w:rsidRPr="00DE57FD">
        <w:rPr>
          <w:rStyle w:val="FootnoteReference"/>
          <w:szCs w:val="24"/>
        </w:rPr>
        <w:footnoteRef/>
      </w:r>
      <w:r w:rsidRPr="00A652FA">
        <w:rPr>
          <w:szCs w:val="24"/>
          <w:lang w:val="ru-RU"/>
        </w:rPr>
        <w:tab/>
        <w:t xml:space="preserve">Отчет </w:t>
      </w:r>
      <w:r>
        <w:rPr>
          <w:szCs w:val="24"/>
          <w:lang w:val="ru-RU"/>
        </w:rPr>
        <w:t>"</w:t>
      </w:r>
      <w:r w:rsidRPr="00A652FA">
        <w:rPr>
          <w:szCs w:val="24"/>
          <w:lang w:val="ru-RU"/>
        </w:rPr>
        <w:t>Факты и цифры, касающиеся ИКТ</w:t>
      </w:r>
      <w:r>
        <w:rPr>
          <w:szCs w:val="24"/>
          <w:lang w:val="ru-RU"/>
        </w:rPr>
        <w:t>"</w:t>
      </w:r>
      <w:r w:rsidRPr="00A652FA">
        <w:rPr>
          <w:szCs w:val="24"/>
          <w:lang w:val="ru-RU"/>
        </w:rPr>
        <w:t>,</w:t>
      </w:r>
      <w:r w:rsidR="00BA016D">
        <w:rPr>
          <w:szCs w:val="24"/>
          <w:lang w:val="en-US"/>
        </w:rPr>
        <w:t xml:space="preserve"> 2017 </w:t>
      </w:r>
      <w:r w:rsidR="00BA016D">
        <w:rPr>
          <w:szCs w:val="24"/>
          <w:lang w:val="ru-RU"/>
        </w:rPr>
        <w:t>г.,</w:t>
      </w:r>
      <w:r w:rsidRPr="00A652FA">
        <w:rPr>
          <w:szCs w:val="24"/>
          <w:lang w:val="ru-RU"/>
        </w:rPr>
        <w:t xml:space="preserve"> стр. 4 и 5. См</w:t>
      </w:r>
      <w:r w:rsidR="00BA016D">
        <w:rPr>
          <w:szCs w:val="24"/>
          <w:lang w:val="ru-RU"/>
        </w:rPr>
        <w:t>.</w:t>
      </w:r>
      <w:r w:rsidRPr="00A652FA">
        <w:rPr>
          <w:szCs w:val="24"/>
          <w:lang w:val="ru-RU"/>
        </w:rPr>
        <w:t xml:space="preserve">: </w:t>
      </w:r>
      <w:hyperlink r:id="rId1" w:history="1">
        <w:r w:rsidRPr="00F30A82">
          <w:rPr>
            <w:rStyle w:val="Hyperlink"/>
            <w:szCs w:val="24"/>
          </w:rPr>
          <w:t>https</w:t>
        </w:r>
        <w:r w:rsidRPr="00A652FA">
          <w:rPr>
            <w:rStyle w:val="Hyperlink"/>
            <w:szCs w:val="24"/>
            <w:lang w:val="ru-RU"/>
          </w:rPr>
          <w:t>://</w:t>
        </w:r>
        <w:r w:rsidRPr="00F30A82">
          <w:rPr>
            <w:rStyle w:val="Hyperlink"/>
            <w:szCs w:val="24"/>
          </w:rPr>
          <w:t>www</w:t>
        </w:r>
        <w:r w:rsidRPr="00A652FA">
          <w:rPr>
            <w:rStyle w:val="Hyperlink"/>
            <w:szCs w:val="24"/>
            <w:lang w:val="ru-RU"/>
          </w:rPr>
          <w:t>.</w:t>
        </w:r>
        <w:r w:rsidRPr="00F30A82">
          <w:rPr>
            <w:rStyle w:val="Hyperlink"/>
            <w:szCs w:val="24"/>
          </w:rPr>
          <w:t>itu</w:t>
        </w:r>
        <w:r w:rsidRPr="00A652FA">
          <w:rPr>
            <w:rStyle w:val="Hyperlink"/>
            <w:szCs w:val="24"/>
            <w:lang w:val="ru-RU"/>
          </w:rPr>
          <w:t>.</w:t>
        </w:r>
        <w:r w:rsidRPr="00F30A82">
          <w:rPr>
            <w:rStyle w:val="Hyperlink"/>
            <w:szCs w:val="24"/>
          </w:rPr>
          <w:t>int</w:t>
        </w:r>
        <w:r w:rsidRPr="00A652FA">
          <w:rPr>
            <w:rStyle w:val="Hyperlink"/>
            <w:szCs w:val="24"/>
            <w:lang w:val="ru-RU"/>
          </w:rPr>
          <w:t>/</w:t>
        </w:r>
        <w:r w:rsidRPr="00F30A82">
          <w:rPr>
            <w:rStyle w:val="Hyperlink"/>
            <w:szCs w:val="24"/>
          </w:rPr>
          <w:t>en</w:t>
        </w:r>
        <w:r w:rsidRPr="00A652FA">
          <w:rPr>
            <w:rStyle w:val="Hyperlink"/>
            <w:szCs w:val="24"/>
            <w:lang w:val="ru-RU"/>
          </w:rPr>
          <w:t>/</w:t>
        </w:r>
        <w:r w:rsidRPr="00F30A82">
          <w:rPr>
            <w:rStyle w:val="Hyperlink"/>
            <w:szCs w:val="24"/>
          </w:rPr>
          <w:t>ITU</w:t>
        </w:r>
        <w:r w:rsidRPr="00A652FA">
          <w:rPr>
            <w:rStyle w:val="Hyperlink"/>
            <w:szCs w:val="24"/>
            <w:lang w:val="ru-RU"/>
          </w:rPr>
          <w:t>-</w:t>
        </w:r>
        <w:r w:rsidRPr="00F30A82">
          <w:rPr>
            <w:rStyle w:val="Hyperlink"/>
            <w:szCs w:val="24"/>
          </w:rPr>
          <w:t>D</w:t>
        </w:r>
        <w:r w:rsidRPr="00A652FA">
          <w:rPr>
            <w:rStyle w:val="Hyperlink"/>
            <w:szCs w:val="24"/>
            <w:lang w:val="ru-RU"/>
          </w:rPr>
          <w:t>/</w:t>
        </w:r>
        <w:r w:rsidRPr="00F30A82">
          <w:rPr>
            <w:rStyle w:val="Hyperlink"/>
            <w:szCs w:val="24"/>
          </w:rPr>
          <w:t>Statistics</w:t>
        </w:r>
        <w:r w:rsidRPr="00A652FA">
          <w:rPr>
            <w:rStyle w:val="Hyperlink"/>
            <w:szCs w:val="24"/>
            <w:lang w:val="ru-RU"/>
          </w:rPr>
          <w:t>/</w:t>
        </w:r>
        <w:r w:rsidRPr="00F30A82">
          <w:rPr>
            <w:rStyle w:val="Hyperlink"/>
            <w:szCs w:val="24"/>
          </w:rPr>
          <w:t>Documents</w:t>
        </w:r>
        <w:r w:rsidRPr="00A652FA">
          <w:rPr>
            <w:rStyle w:val="Hyperlink"/>
            <w:szCs w:val="24"/>
            <w:lang w:val="ru-RU"/>
          </w:rPr>
          <w:t>/</w:t>
        </w:r>
        <w:r w:rsidRPr="00F30A82">
          <w:rPr>
            <w:rStyle w:val="Hyperlink"/>
            <w:szCs w:val="24"/>
          </w:rPr>
          <w:t>facts</w:t>
        </w:r>
        <w:r w:rsidRPr="00A652FA">
          <w:rPr>
            <w:rStyle w:val="Hyperlink"/>
            <w:szCs w:val="24"/>
            <w:lang w:val="ru-RU"/>
          </w:rPr>
          <w:t>/</w:t>
        </w:r>
        <w:r w:rsidRPr="00F30A82">
          <w:rPr>
            <w:rStyle w:val="Hyperlink"/>
            <w:szCs w:val="24"/>
          </w:rPr>
          <w:t>ICTFactsFigures</w:t>
        </w:r>
        <w:r w:rsidRPr="00A652FA">
          <w:rPr>
            <w:rStyle w:val="Hyperlink"/>
            <w:szCs w:val="24"/>
            <w:lang w:val="ru-RU"/>
          </w:rPr>
          <w:t>2017.</w:t>
        </w:r>
        <w:r w:rsidRPr="00F30A82">
          <w:rPr>
            <w:rStyle w:val="Hyperlink"/>
            <w:szCs w:val="24"/>
          </w:rPr>
          <w:t>pdf</w:t>
        </w:r>
      </w:hyperlink>
    </w:p>
  </w:footnote>
  <w:footnote w:id="2">
    <w:p w14:paraId="78EE64BD" w14:textId="77777777" w:rsidR="00C2569D" w:rsidRDefault="00C2569D" w:rsidP="00C2569D">
      <w:pPr>
        <w:pStyle w:val="FootnoteText"/>
      </w:pPr>
      <w:r>
        <w:rPr>
          <w:rStyle w:val="FootnoteReference"/>
        </w:rPr>
        <w:footnoteRef/>
      </w:r>
      <w:r>
        <w:tab/>
      </w:r>
      <w:hyperlink r:id="rId2" w:history="1">
        <w:r w:rsidRPr="00F33B3E">
          <w:rPr>
            <w:rStyle w:val="Hyperlink"/>
          </w:rPr>
          <w:t>https://docs.fcc.gov/public/attachments/FCC-17-152A1.pdf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547B5" w14:textId="63A3F0D2" w:rsidR="00567276" w:rsidRPr="00434A7C" w:rsidRDefault="00EA75D2" w:rsidP="00DE2EBA">
    <w:pPr>
      <w:pStyle w:val="Header"/>
      <w:rPr>
        <w:lang w:val="en-US"/>
      </w:rPr>
    </w:pPr>
    <w:r>
      <w:fldChar w:fldCharType="begin"/>
    </w:r>
    <w:r w:rsidR="00567276">
      <w:instrText xml:space="preserve"> PAGE </w:instrText>
    </w:r>
    <w:r>
      <w:fldChar w:fldCharType="separate"/>
    </w:r>
    <w:r w:rsidR="00E142BE">
      <w:rPr>
        <w:noProof/>
      </w:rPr>
      <w:t>3</w:t>
    </w:r>
    <w:r>
      <w:fldChar w:fldCharType="end"/>
    </w:r>
  </w:p>
  <w:p w14:paraId="142CC7BE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11(Add.13)(Add.6)-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1A92"/>
    <w:rsid w:val="000978AA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17B0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27965"/>
    <w:rsid w:val="00344EB8"/>
    <w:rsid w:val="00346BEC"/>
    <w:rsid w:val="00371E4B"/>
    <w:rsid w:val="003C583C"/>
    <w:rsid w:val="003F0078"/>
    <w:rsid w:val="00434A7C"/>
    <w:rsid w:val="0045143A"/>
    <w:rsid w:val="00467F80"/>
    <w:rsid w:val="004A41ED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39DB"/>
    <w:rsid w:val="005D1879"/>
    <w:rsid w:val="005D79A3"/>
    <w:rsid w:val="005E61DD"/>
    <w:rsid w:val="005E6FB6"/>
    <w:rsid w:val="006023DF"/>
    <w:rsid w:val="006106CF"/>
    <w:rsid w:val="006115BE"/>
    <w:rsid w:val="00614771"/>
    <w:rsid w:val="00620DD7"/>
    <w:rsid w:val="00621114"/>
    <w:rsid w:val="00657DE0"/>
    <w:rsid w:val="0066267A"/>
    <w:rsid w:val="00692C06"/>
    <w:rsid w:val="006A6E9B"/>
    <w:rsid w:val="006B0E5A"/>
    <w:rsid w:val="00763F4F"/>
    <w:rsid w:val="0076430B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1D74"/>
    <w:rsid w:val="00A138D0"/>
    <w:rsid w:val="00A141AF"/>
    <w:rsid w:val="00A2044F"/>
    <w:rsid w:val="00A4600A"/>
    <w:rsid w:val="00A57C04"/>
    <w:rsid w:val="00A61057"/>
    <w:rsid w:val="00A652FA"/>
    <w:rsid w:val="00A710E7"/>
    <w:rsid w:val="00A81026"/>
    <w:rsid w:val="00A97EC0"/>
    <w:rsid w:val="00AC66E6"/>
    <w:rsid w:val="00B24E60"/>
    <w:rsid w:val="00B40CC0"/>
    <w:rsid w:val="00B468A6"/>
    <w:rsid w:val="00B75113"/>
    <w:rsid w:val="00B86318"/>
    <w:rsid w:val="00BA016D"/>
    <w:rsid w:val="00BA13A4"/>
    <w:rsid w:val="00BA1AA1"/>
    <w:rsid w:val="00BA35DC"/>
    <w:rsid w:val="00BC5313"/>
    <w:rsid w:val="00BD0D2F"/>
    <w:rsid w:val="00BD1129"/>
    <w:rsid w:val="00C04B6E"/>
    <w:rsid w:val="00C0572C"/>
    <w:rsid w:val="00C20466"/>
    <w:rsid w:val="00C2569D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142BE"/>
    <w:rsid w:val="00E2253F"/>
    <w:rsid w:val="00E43E99"/>
    <w:rsid w:val="00E5155F"/>
    <w:rsid w:val="00E65919"/>
    <w:rsid w:val="00E976C1"/>
    <w:rsid w:val="00EA0C0C"/>
    <w:rsid w:val="00EA3079"/>
    <w:rsid w:val="00EA75D2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A83BF"/>
  <w15:docId w15:val="{8769230E-3984-4279-AF92-996721E4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aliases w:val="超级链接,CEO_Hyperlink"/>
    <w:uiPriority w:val="99"/>
    <w:qFormat/>
    <w:rsid w:val="00B40CC0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40CC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0CC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A652F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652FA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cs.fcc.gov/public/attachments/FCC-17-152A1.pdf" TargetMode="External"/><Relationship Id="rId1" Type="http://schemas.openxmlformats.org/officeDocument/2006/relationships/hyperlink" Target="https://www.itu.int/en/ITU-D/Statistics/Documents/facts/ICTFactsFigures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R16-WRC19-C-0011!A13-A6!MSW-R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5640-7CD3-46E5-BD7F-83DE76875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200B7-FF0E-4792-ACA3-DB4EBC05D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8B329-307D-4EBA-A698-0C9D8F752A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F455FB-2C5B-40F1-B816-3A048C4EBB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3BC0FE-AB3F-467D-A339-8A5FEE42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754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R16-WRC19-C-0011!A13-A6!MSW-R</vt:lpstr>
      <vt:lpstr>R16-WRC19-C-0011!A13-A6!MSW-R</vt:lpstr>
    </vt:vector>
  </TitlesOfParts>
  <Manager>General Secretariat - Pool</Manager>
  <Company>International Telecommunication Union (ITU)</Company>
  <LinksUpToDate>false</LinksUpToDate>
  <CharactersWithSpaces>5621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R16-WRC19-C-0011!A13-A6!MSW-R</dc:title>
  <dc:subject>World Radiocommunication Conference - 2019</dc:subject>
  <dc:creator>Documents Proposals Manager (DPM)</dc:creator>
  <cp:keywords>DPM_v2019.9.18.2_prod</cp:keywords>
  <cp:lastModifiedBy>Berdyeva, Elena</cp:lastModifiedBy>
  <cp:revision>8</cp:revision>
  <cp:lastPrinted>2003-06-17T08:22:00Z</cp:lastPrinted>
  <dcterms:created xsi:type="dcterms:W3CDTF">2019-10-16T10:31:00Z</dcterms:created>
  <dcterms:modified xsi:type="dcterms:W3CDTF">2019-10-16T10:43:00Z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