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BB1D82" w:rsidRPr="002A6F8F" w14:paraId="6295E833" w14:textId="77777777" w:rsidTr="00764A5F">
        <w:trPr>
          <w:cantSplit/>
        </w:trPr>
        <w:tc>
          <w:tcPr>
            <w:tcW w:w="6804" w:type="dxa"/>
          </w:tcPr>
          <w:p w14:paraId="052BAE56" w14:textId="77777777" w:rsidR="00BB1D82" w:rsidRPr="00930FFD" w:rsidRDefault="00851625" w:rsidP="00764A5F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proofErr w:type="spellStart"/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Charm</w:t>
            </w:r>
            <w:proofErr w:type="spellEnd"/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227" w:type="dxa"/>
          </w:tcPr>
          <w:p w14:paraId="77CBDACD" w14:textId="77777777" w:rsidR="00BB1D82" w:rsidRPr="002A6F8F" w:rsidRDefault="000A55AE" w:rsidP="00764A5F">
            <w:pPr>
              <w:spacing w:before="0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GB" w:eastAsia="zh-CN"/>
              </w:rPr>
              <w:drawing>
                <wp:inline distT="0" distB="0" distL="0" distR="0" wp14:anchorId="0029CB6F" wp14:editId="5E6E0C42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5ABF7611" w14:textId="77777777" w:rsidTr="00764A5F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2BF9E4F0" w14:textId="77777777" w:rsidR="00BB1D82" w:rsidRPr="002A6F8F" w:rsidRDefault="00BB1D82" w:rsidP="00764A5F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2CD0A10F" w14:textId="77777777" w:rsidR="00BB1D82" w:rsidRPr="002A6F8F" w:rsidRDefault="00BB1D82" w:rsidP="00764A5F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162443EF" w14:textId="77777777" w:rsidTr="00764A5F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7E215E29" w14:textId="77777777" w:rsidR="00BB1D82" w:rsidRPr="002A6F8F" w:rsidRDefault="00BB1D82" w:rsidP="00764A5F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612651FD" w14:textId="77777777" w:rsidR="00BB1D82" w:rsidRPr="002A6F8F" w:rsidRDefault="00BB1D82" w:rsidP="00764A5F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05886343" w14:textId="77777777" w:rsidTr="00764A5F">
        <w:trPr>
          <w:cantSplit/>
        </w:trPr>
        <w:tc>
          <w:tcPr>
            <w:tcW w:w="6804" w:type="dxa"/>
          </w:tcPr>
          <w:p w14:paraId="084EE651" w14:textId="77777777" w:rsidR="00BB1D82" w:rsidRPr="00930FFD" w:rsidRDefault="006D4724" w:rsidP="00764A5F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227" w:type="dxa"/>
          </w:tcPr>
          <w:p w14:paraId="55E677A2" w14:textId="5E542B60" w:rsidR="00BB1D82" w:rsidRPr="006D3D73" w:rsidRDefault="006D4724" w:rsidP="00764A5F">
            <w:pPr>
              <w:spacing w:before="0"/>
              <w:rPr>
                <w:rFonts w:ascii="Verdana" w:hAnsi="Verdana"/>
                <w:sz w:val="20"/>
              </w:rPr>
            </w:pPr>
            <w:r w:rsidRPr="006D3D73">
              <w:rPr>
                <w:rFonts w:ascii="Verdana" w:hAnsi="Verdana"/>
                <w:b/>
                <w:sz w:val="20"/>
              </w:rPr>
              <w:t xml:space="preserve">Addendum 6 </w:t>
            </w:r>
            <w:r w:rsidR="008C252B">
              <w:rPr>
                <w:rFonts w:ascii="Verdana" w:hAnsi="Verdana"/>
                <w:b/>
                <w:sz w:val="20"/>
              </w:rPr>
              <w:t>a</w:t>
            </w:r>
            <w:r w:rsidRPr="006D3D73">
              <w:rPr>
                <w:rFonts w:ascii="Verdana" w:hAnsi="Verdana"/>
                <w:b/>
                <w:sz w:val="20"/>
              </w:rPr>
              <w:t>u</w:t>
            </w:r>
            <w:r w:rsidRPr="006D3D73">
              <w:rPr>
                <w:rFonts w:ascii="Verdana" w:hAnsi="Verdana"/>
                <w:b/>
                <w:sz w:val="20"/>
              </w:rPr>
              <w:br/>
              <w:t>Document 11(Add.13)</w:t>
            </w:r>
            <w:r w:rsidR="00BB1D82" w:rsidRPr="006D3D73">
              <w:rPr>
                <w:rFonts w:ascii="Verdana" w:hAnsi="Verdana"/>
                <w:b/>
                <w:sz w:val="20"/>
              </w:rPr>
              <w:t>-</w:t>
            </w:r>
            <w:r w:rsidRPr="006D3D73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2A6F8F" w14:paraId="2577F28A" w14:textId="77777777" w:rsidTr="00764A5F">
        <w:trPr>
          <w:cantSplit/>
        </w:trPr>
        <w:tc>
          <w:tcPr>
            <w:tcW w:w="6804" w:type="dxa"/>
          </w:tcPr>
          <w:p w14:paraId="5C54B9E9" w14:textId="77777777" w:rsidR="00690C7B" w:rsidRPr="006D3D73" w:rsidRDefault="00690C7B" w:rsidP="00764A5F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27" w:type="dxa"/>
          </w:tcPr>
          <w:p w14:paraId="396CFECE" w14:textId="22201989" w:rsidR="00690C7B" w:rsidRPr="002A6F8F" w:rsidRDefault="008C252B" w:rsidP="00764A5F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13</w:t>
            </w:r>
            <w:r w:rsidR="00690C7B" w:rsidRPr="002A6F8F"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  <w:proofErr w:type="spellStart"/>
            <w:r w:rsidR="00690C7B" w:rsidRPr="002A6F8F">
              <w:rPr>
                <w:rFonts w:ascii="Verdana" w:hAnsi="Verdana"/>
                <w:b/>
                <w:sz w:val="20"/>
                <w:lang w:val="en-US"/>
              </w:rPr>
              <w:t>septembre</w:t>
            </w:r>
            <w:proofErr w:type="spellEnd"/>
            <w:r w:rsidR="00690C7B" w:rsidRPr="002A6F8F">
              <w:rPr>
                <w:rFonts w:ascii="Verdana" w:hAnsi="Verdana"/>
                <w:b/>
                <w:sz w:val="20"/>
                <w:lang w:val="en-US"/>
              </w:rPr>
              <w:t xml:space="preserve"> 2019</w:t>
            </w:r>
          </w:p>
        </w:tc>
      </w:tr>
      <w:tr w:rsidR="00690C7B" w:rsidRPr="002A6F8F" w14:paraId="3EC89C22" w14:textId="77777777" w:rsidTr="00764A5F">
        <w:trPr>
          <w:cantSplit/>
        </w:trPr>
        <w:tc>
          <w:tcPr>
            <w:tcW w:w="6804" w:type="dxa"/>
          </w:tcPr>
          <w:p w14:paraId="05A05979" w14:textId="77777777" w:rsidR="00690C7B" w:rsidRPr="002A6F8F" w:rsidRDefault="00690C7B" w:rsidP="00764A5F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</w:tcPr>
          <w:p w14:paraId="7395396A" w14:textId="448054F7" w:rsidR="00690C7B" w:rsidRPr="002A6F8F" w:rsidRDefault="00690C7B" w:rsidP="00764A5F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anglais</w:t>
            </w:r>
            <w:proofErr w:type="spellEnd"/>
            <w:r w:rsidR="008C252B">
              <w:rPr>
                <w:rFonts w:ascii="Verdana" w:hAnsi="Verdana"/>
                <w:b/>
                <w:sz w:val="20"/>
                <w:lang w:val="en-US"/>
              </w:rPr>
              <w:t>/</w:t>
            </w:r>
            <w:proofErr w:type="spellStart"/>
            <w:r w:rsidR="008C252B">
              <w:rPr>
                <w:rFonts w:ascii="Verdana" w:hAnsi="Verdana"/>
                <w:b/>
                <w:sz w:val="20"/>
                <w:lang w:val="en-US"/>
              </w:rPr>
              <w:t>espagnol</w:t>
            </w:r>
            <w:proofErr w:type="spellEnd"/>
          </w:p>
        </w:tc>
      </w:tr>
      <w:tr w:rsidR="00690C7B" w:rsidRPr="002A6F8F" w14:paraId="625F3010" w14:textId="77777777" w:rsidTr="00C11970">
        <w:trPr>
          <w:cantSplit/>
        </w:trPr>
        <w:tc>
          <w:tcPr>
            <w:tcW w:w="10031" w:type="dxa"/>
            <w:gridSpan w:val="2"/>
          </w:tcPr>
          <w:p w14:paraId="311A8B4F" w14:textId="77777777" w:rsidR="00690C7B" w:rsidRPr="002A6F8F" w:rsidRDefault="00690C7B" w:rsidP="00764A5F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068CA777" w14:textId="77777777" w:rsidTr="0050008E">
        <w:trPr>
          <w:cantSplit/>
        </w:trPr>
        <w:tc>
          <w:tcPr>
            <w:tcW w:w="10031" w:type="dxa"/>
            <w:gridSpan w:val="2"/>
          </w:tcPr>
          <w:p w14:paraId="78C3B1E5" w14:textId="321260A3" w:rsidR="00690C7B" w:rsidRPr="006D3D73" w:rsidRDefault="00752D01" w:rsidP="00764A5F">
            <w:pPr>
              <w:pStyle w:val="Source"/>
            </w:pPr>
            <w:bookmarkStart w:id="2" w:name="dsource" w:colFirst="0" w:colLast="0"/>
            <w:r>
              <w:t>É</w:t>
            </w:r>
            <w:r w:rsidR="00690C7B" w:rsidRPr="006D3D73">
              <w:t>tats Membres de la Commission interaméricaine des télécommunications (CITEL)</w:t>
            </w:r>
          </w:p>
        </w:tc>
      </w:tr>
      <w:tr w:rsidR="00690C7B" w:rsidRPr="002A6F8F" w14:paraId="10D087F3" w14:textId="77777777" w:rsidTr="0050008E">
        <w:trPr>
          <w:cantSplit/>
        </w:trPr>
        <w:tc>
          <w:tcPr>
            <w:tcW w:w="10031" w:type="dxa"/>
            <w:gridSpan w:val="2"/>
          </w:tcPr>
          <w:p w14:paraId="5D012AB7" w14:textId="1C3F1F9A" w:rsidR="00690C7B" w:rsidRPr="006D3D73" w:rsidRDefault="00977650" w:rsidP="00764A5F">
            <w:pPr>
              <w:pStyle w:val="Title1"/>
            </w:pPr>
            <w:bookmarkStart w:id="3" w:name="dtitle1" w:colFirst="0" w:colLast="0"/>
            <w:bookmarkEnd w:id="2"/>
            <w:r w:rsidRPr="006D3D73">
              <w:t>PROPOSITI</w:t>
            </w:r>
            <w:r w:rsidR="00752D01">
              <w:t>ONS POUR LES TRAVAUX DE LA CONFÉ</w:t>
            </w:r>
            <w:r w:rsidRPr="006D3D73">
              <w:t>RENCE</w:t>
            </w:r>
          </w:p>
        </w:tc>
      </w:tr>
      <w:tr w:rsidR="00690C7B" w:rsidRPr="002A6F8F" w14:paraId="26020DCE" w14:textId="77777777" w:rsidTr="0050008E">
        <w:trPr>
          <w:cantSplit/>
        </w:trPr>
        <w:tc>
          <w:tcPr>
            <w:tcW w:w="10031" w:type="dxa"/>
            <w:gridSpan w:val="2"/>
          </w:tcPr>
          <w:p w14:paraId="2AFC241C" w14:textId="77777777" w:rsidR="00690C7B" w:rsidRPr="006D3D73" w:rsidRDefault="00690C7B" w:rsidP="00764A5F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14:paraId="038862CD" w14:textId="77777777" w:rsidTr="0050008E">
        <w:trPr>
          <w:cantSplit/>
        </w:trPr>
        <w:tc>
          <w:tcPr>
            <w:tcW w:w="10031" w:type="dxa"/>
            <w:gridSpan w:val="2"/>
          </w:tcPr>
          <w:p w14:paraId="37D86430" w14:textId="77777777" w:rsidR="00690C7B" w:rsidRDefault="00690C7B" w:rsidP="00764A5F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1.13 de l'ordre du jour</w:t>
            </w:r>
          </w:p>
        </w:tc>
      </w:tr>
    </w:tbl>
    <w:bookmarkEnd w:id="5"/>
    <w:p w14:paraId="22431263" w14:textId="77777777" w:rsidR="001C0E40" w:rsidRPr="00404314" w:rsidRDefault="00950459" w:rsidP="00764A5F">
      <w:r w:rsidRPr="009B46DD">
        <w:t>1.13</w:t>
      </w:r>
      <w:r w:rsidRPr="009B46DD">
        <w:tab/>
        <w:t>envisager l'identification de bandes de fréquen</w:t>
      </w:r>
      <w:r>
        <w:t xml:space="preserve">ces pour le développement futur des </w:t>
      </w:r>
      <w:r w:rsidRPr="009B46DD">
        <w:t xml:space="preserve">Télécommunications mobiles internationales (IMT), y compris des attributions additionnelles possibles à titre primaire au service mobile, conformément à la Résolution </w:t>
      </w:r>
      <w:r w:rsidRPr="009B46DD">
        <w:rPr>
          <w:b/>
          <w:bCs/>
        </w:rPr>
        <w:t>238 (CMR-15)</w:t>
      </w:r>
      <w:r w:rsidRPr="009B46DD">
        <w:t>;</w:t>
      </w:r>
    </w:p>
    <w:p w14:paraId="58E2AE3D" w14:textId="7AF37E46" w:rsidR="004D115D" w:rsidRPr="006D3D73" w:rsidRDefault="004D115D" w:rsidP="00764A5F">
      <w:pPr>
        <w:pStyle w:val="Title4"/>
      </w:pPr>
      <w:r w:rsidRPr="006D3D73">
        <w:t>Part</w:t>
      </w:r>
      <w:r w:rsidR="006D3D73" w:rsidRPr="006D3D73">
        <w:t>ie</w:t>
      </w:r>
      <w:r w:rsidRPr="006D3D73">
        <w:t xml:space="preserve"> 6 – </w:t>
      </w:r>
      <w:r w:rsidR="006D3D73" w:rsidRPr="006D3D73">
        <w:t>Bandes de fréquences</w:t>
      </w:r>
      <w:r w:rsidRPr="006D3D73">
        <w:t xml:space="preserve"> 71-76 GHz </w:t>
      </w:r>
      <w:r w:rsidR="006D3D73">
        <w:t>et</w:t>
      </w:r>
      <w:r w:rsidRPr="006D3D73">
        <w:t xml:space="preserve"> 81-86 GHz</w:t>
      </w:r>
    </w:p>
    <w:p w14:paraId="0B434B61" w14:textId="68541F35" w:rsidR="004D115D" w:rsidRPr="006D3D73" w:rsidRDefault="006D3D73" w:rsidP="00764A5F">
      <w:pPr>
        <w:pStyle w:val="Headingb"/>
      </w:pPr>
      <w:r>
        <w:t>G</w:t>
      </w:r>
      <w:r w:rsidR="00764A5F">
        <w:t>énéralités</w:t>
      </w:r>
    </w:p>
    <w:p w14:paraId="28AE3B0C" w14:textId="3FE11D11" w:rsidR="004D115D" w:rsidRPr="009000A8" w:rsidRDefault="004D115D" w:rsidP="00764A5F">
      <w:pPr>
        <w:rPr>
          <w:lang w:val="fr-CH"/>
        </w:rPr>
      </w:pPr>
      <w:r w:rsidRPr="009000A8">
        <w:rPr>
          <w:lang w:val="fr-CH"/>
        </w:rPr>
        <w:t xml:space="preserve">En vertu de la Résolution </w:t>
      </w:r>
      <w:r w:rsidRPr="009000A8">
        <w:rPr>
          <w:b/>
          <w:lang w:val="fr-CH"/>
        </w:rPr>
        <w:t>238 (CMR-15)</w:t>
      </w:r>
      <w:r w:rsidRPr="009000A8">
        <w:rPr>
          <w:lang w:val="fr-CH"/>
        </w:rPr>
        <w:t xml:space="preserve">, </w:t>
      </w:r>
      <w:r w:rsidR="00B92447">
        <w:rPr>
          <w:lang w:val="fr-CH"/>
        </w:rPr>
        <w:t xml:space="preserve">il a été demandé que </w:t>
      </w:r>
      <w:r w:rsidRPr="009000A8">
        <w:rPr>
          <w:lang w:val="fr-CH"/>
        </w:rPr>
        <w:t xml:space="preserve">des études </w:t>
      </w:r>
      <w:r w:rsidR="00CD425D">
        <w:rPr>
          <w:lang w:val="fr-CH"/>
        </w:rPr>
        <w:t>soient</w:t>
      </w:r>
      <w:r w:rsidRPr="009000A8">
        <w:rPr>
          <w:lang w:val="fr-CH"/>
        </w:rPr>
        <w:t xml:space="preserve"> faites en vue de déterminer les besoins de spectre de la composante de Terre des IMT dans la gamme de fréquences comprise entre 24,25 GHz et 86 GHz, et </w:t>
      </w:r>
      <w:r w:rsidR="00CD425D">
        <w:rPr>
          <w:lang w:val="fr-CH"/>
        </w:rPr>
        <w:t xml:space="preserve">que </w:t>
      </w:r>
      <w:r w:rsidRPr="009000A8">
        <w:rPr>
          <w:lang w:val="fr-CH"/>
        </w:rPr>
        <w:t xml:space="preserve">des études de partage et de compatibilité </w:t>
      </w:r>
      <w:r w:rsidR="00CD425D">
        <w:rPr>
          <w:lang w:val="fr-CH"/>
        </w:rPr>
        <w:t>soient</w:t>
      </w:r>
      <w:r w:rsidRPr="009000A8">
        <w:rPr>
          <w:lang w:val="fr-CH"/>
        </w:rPr>
        <w:t xml:space="preserve"> menées, compte tenu de la protection des services auxquels la bande de fréquences est attribuée à titre primaire, pour les bandes de fréquences:</w:t>
      </w:r>
    </w:p>
    <w:p w14:paraId="3F1BF415" w14:textId="775087F7" w:rsidR="004D115D" w:rsidRPr="009000A8" w:rsidRDefault="004D115D" w:rsidP="00764A5F">
      <w:pPr>
        <w:pStyle w:val="enumlev1"/>
        <w:rPr>
          <w:lang w:val="fr-CH"/>
        </w:rPr>
      </w:pPr>
      <w:r w:rsidRPr="009000A8">
        <w:rPr>
          <w:lang w:val="fr-CH"/>
        </w:rPr>
        <w:t>–</w:t>
      </w:r>
      <w:r w:rsidRPr="009000A8">
        <w:rPr>
          <w:lang w:val="fr-CH"/>
        </w:rPr>
        <w:tab/>
        <w:t>24,25-27,5 GHz, 37-40,5 GHz, 42,5-43,5 GHz, 45,5-47 GHz, 47,2-50,2 GHz, 50,4</w:t>
      </w:r>
      <w:r w:rsidRPr="009000A8">
        <w:rPr>
          <w:lang w:val="fr-CH"/>
        </w:rPr>
        <w:noBreakHyphen/>
        <w:t>52,6 GHz, 66-76 GHz et 81-86 GHz, qui font l'objet d'attributions au service mobile à titre primaire; et</w:t>
      </w:r>
    </w:p>
    <w:p w14:paraId="0225377C" w14:textId="786E3CF2" w:rsidR="003A583E" w:rsidRDefault="004D115D" w:rsidP="00764A5F">
      <w:pPr>
        <w:rPr>
          <w:lang w:val="fr-CH"/>
        </w:rPr>
      </w:pPr>
      <w:r w:rsidRPr="009000A8">
        <w:rPr>
          <w:lang w:val="fr-CH"/>
        </w:rPr>
        <w:t>–</w:t>
      </w:r>
      <w:r w:rsidRPr="009000A8">
        <w:rPr>
          <w:lang w:val="fr-CH"/>
        </w:rPr>
        <w:tab/>
        <w:t>31,8-33,4 GHz, 40,5-42,5 GHz et 47-47,2 GHz, qui nécessiteront peut-être des attributions additionnelles au service mobile à titre primaire.</w:t>
      </w:r>
    </w:p>
    <w:p w14:paraId="38251A29" w14:textId="723F8FA4" w:rsidR="004D115D" w:rsidRPr="006D3D73" w:rsidRDefault="00F8538B" w:rsidP="00764A5F">
      <w:pPr>
        <w:rPr>
          <w:lang w:val="fr-CH"/>
        </w:rPr>
      </w:pPr>
      <w:r>
        <w:rPr>
          <w:lang w:val="fr-CH"/>
        </w:rPr>
        <w:t>Dans le Règlement des radiocommunications, l</w:t>
      </w:r>
      <w:r w:rsidR="006D3D73" w:rsidRPr="006D3D73">
        <w:rPr>
          <w:lang w:val="fr-CH"/>
        </w:rPr>
        <w:t>a bande de fréquences 71-76 GHz</w:t>
      </w:r>
      <w:r w:rsidR="004D115D" w:rsidRPr="006D3D73">
        <w:rPr>
          <w:lang w:val="fr-CH"/>
        </w:rPr>
        <w:t xml:space="preserve">, </w:t>
      </w:r>
      <w:r w:rsidR="006D3D73" w:rsidRPr="006D3D73">
        <w:rPr>
          <w:lang w:val="fr-CH"/>
        </w:rPr>
        <w:t>ou une partie</w:t>
      </w:r>
      <w:r w:rsidR="006D3D73">
        <w:rPr>
          <w:lang w:val="fr-CH"/>
        </w:rPr>
        <w:t xml:space="preserve"> de celle-ci</w:t>
      </w:r>
      <w:r w:rsidR="004D115D" w:rsidRPr="006D3D73">
        <w:rPr>
          <w:lang w:val="fr-CH"/>
        </w:rPr>
        <w:t xml:space="preserve">, </w:t>
      </w:r>
      <w:r w:rsidR="006D3D73" w:rsidRPr="006D3D73">
        <w:rPr>
          <w:lang w:val="fr-CH"/>
        </w:rPr>
        <w:t>est attribuée au service de radiodiffusion, au service de radiodiffusion par satellite, au service fixe, au service fixe pa</w:t>
      </w:r>
      <w:r w:rsidR="006D3D73">
        <w:rPr>
          <w:lang w:val="fr-CH"/>
        </w:rPr>
        <w:t xml:space="preserve">r satellite (espace vers Terre), au service mobile et au service mobile par satellite </w:t>
      </w:r>
      <w:r w:rsidR="004D115D" w:rsidRPr="006D3D73">
        <w:rPr>
          <w:lang w:val="fr-CH"/>
        </w:rPr>
        <w:t>(</w:t>
      </w:r>
      <w:r w:rsidR="006D3D73">
        <w:rPr>
          <w:lang w:val="fr-CH"/>
        </w:rPr>
        <w:t>e</w:t>
      </w:r>
      <w:r w:rsidR="004D115D" w:rsidRPr="006D3D73">
        <w:rPr>
          <w:lang w:val="fr-CH"/>
        </w:rPr>
        <w:t>space</w:t>
      </w:r>
      <w:r w:rsidR="006D3D73">
        <w:rPr>
          <w:lang w:val="fr-CH"/>
        </w:rPr>
        <w:t xml:space="preserve"> vers Terre</w:t>
      </w:r>
      <w:r w:rsidR="004D115D" w:rsidRPr="006D3D73">
        <w:rPr>
          <w:lang w:val="fr-CH"/>
        </w:rPr>
        <w:t xml:space="preserve">) </w:t>
      </w:r>
      <w:r w:rsidR="006D3D73">
        <w:rPr>
          <w:lang w:val="fr-CH"/>
        </w:rPr>
        <w:t xml:space="preserve">à titre primaire, et </w:t>
      </w:r>
      <w:r w:rsidR="00E752DA">
        <w:rPr>
          <w:lang w:val="fr-CH"/>
        </w:rPr>
        <w:t>au service de</w:t>
      </w:r>
      <w:r w:rsidR="006D3D73">
        <w:rPr>
          <w:lang w:val="fr-CH"/>
        </w:rPr>
        <w:t xml:space="preserve"> recherche spatiale</w:t>
      </w:r>
      <w:r w:rsidR="004D115D" w:rsidRPr="006D3D73">
        <w:rPr>
          <w:lang w:val="fr-CH"/>
        </w:rPr>
        <w:t xml:space="preserve"> (</w:t>
      </w:r>
      <w:r w:rsidR="006D3D73">
        <w:rPr>
          <w:lang w:val="fr-CH"/>
        </w:rPr>
        <w:t>espace vers Terre</w:t>
      </w:r>
      <w:r w:rsidR="004D115D" w:rsidRPr="006D3D73">
        <w:rPr>
          <w:lang w:val="fr-CH"/>
        </w:rPr>
        <w:t xml:space="preserve">) </w:t>
      </w:r>
      <w:r w:rsidR="006D3D73">
        <w:rPr>
          <w:lang w:val="fr-CH"/>
        </w:rPr>
        <w:t>à titre secondaire</w:t>
      </w:r>
      <w:r w:rsidR="004D115D" w:rsidRPr="006D3D73">
        <w:rPr>
          <w:lang w:val="fr-CH"/>
        </w:rPr>
        <w:t>.</w:t>
      </w:r>
    </w:p>
    <w:p w14:paraId="4638D09B" w14:textId="03930245" w:rsidR="004D115D" w:rsidRDefault="00F8538B" w:rsidP="00764A5F">
      <w:r>
        <w:rPr>
          <w:lang w:val="fr-CH"/>
        </w:rPr>
        <w:t>Dans le Règlement des radiocommunications, l</w:t>
      </w:r>
      <w:r w:rsidR="004D115D" w:rsidRPr="004D115D">
        <w:rPr>
          <w:lang w:val="fr-CH"/>
        </w:rPr>
        <w:t xml:space="preserve">a bande de fréquences </w:t>
      </w:r>
      <w:r w:rsidR="006D3D73">
        <w:rPr>
          <w:lang w:val="fr-CH"/>
        </w:rPr>
        <w:t>81-86</w:t>
      </w:r>
      <w:r w:rsidR="004D115D" w:rsidRPr="004D115D">
        <w:rPr>
          <w:lang w:val="fr-CH"/>
        </w:rPr>
        <w:t xml:space="preserve"> GHz</w:t>
      </w:r>
      <w:r w:rsidR="006D3D73">
        <w:rPr>
          <w:lang w:val="fr-CH"/>
        </w:rPr>
        <w:t>, ou une partie de celle-ci,</w:t>
      </w:r>
      <w:r w:rsidR="004D115D" w:rsidRPr="004D115D">
        <w:rPr>
          <w:lang w:val="fr-CH"/>
        </w:rPr>
        <w:t xml:space="preserve"> est attribuée </w:t>
      </w:r>
      <w:r w:rsidR="006D3D73">
        <w:rPr>
          <w:lang w:val="fr-CH"/>
        </w:rPr>
        <w:t>au service fixe</w:t>
      </w:r>
      <w:r w:rsidR="004D115D" w:rsidRPr="004D115D">
        <w:rPr>
          <w:lang w:val="fr-CH"/>
        </w:rPr>
        <w:t xml:space="preserve">, </w:t>
      </w:r>
      <w:r w:rsidR="006D3D73">
        <w:rPr>
          <w:lang w:val="fr-CH"/>
        </w:rPr>
        <w:t>au service fixe par satellite</w:t>
      </w:r>
      <w:r w:rsidR="00E752DA">
        <w:rPr>
          <w:lang w:val="fr-CH"/>
        </w:rPr>
        <w:t xml:space="preserve"> (Terre vers espace)</w:t>
      </w:r>
      <w:r w:rsidR="006D3D73">
        <w:rPr>
          <w:lang w:val="fr-CH"/>
        </w:rPr>
        <w:t xml:space="preserve">, </w:t>
      </w:r>
      <w:r w:rsidR="004D115D" w:rsidRPr="004D115D">
        <w:rPr>
          <w:lang w:val="fr-CH"/>
        </w:rPr>
        <w:t xml:space="preserve">au service </w:t>
      </w:r>
      <w:r w:rsidR="004C534A">
        <w:rPr>
          <w:lang w:val="fr-CH"/>
        </w:rPr>
        <w:t xml:space="preserve">mobile, </w:t>
      </w:r>
      <w:r w:rsidR="004D115D" w:rsidRPr="004D115D">
        <w:rPr>
          <w:lang w:val="fr-CH"/>
        </w:rPr>
        <w:t xml:space="preserve">au service </w:t>
      </w:r>
      <w:r w:rsidR="0075300B">
        <w:rPr>
          <w:lang w:val="fr-CH"/>
        </w:rPr>
        <w:t>mobile</w:t>
      </w:r>
      <w:r w:rsidR="00E752DA">
        <w:rPr>
          <w:lang w:val="fr-CH"/>
        </w:rPr>
        <w:t xml:space="preserve"> par satellite</w:t>
      </w:r>
      <w:r w:rsidR="004D115D" w:rsidRPr="004D115D">
        <w:rPr>
          <w:lang w:val="fr-CH"/>
        </w:rPr>
        <w:t xml:space="preserve"> (Terre vers espace) </w:t>
      </w:r>
      <w:r w:rsidR="00E752DA">
        <w:rPr>
          <w:lang w:val="fr-CH"/>
        </w:rPr>
        <w:t xml:space="preserve">et au service de radioastronomie à titre primaire, </w:t>
      </w:r>
      <w:r w:rsidR="004D115D" w:rsidRPr="004D115D">
        <w:rPr>
          <w:lang w:val="fr-CH"/>
        </w:rPr>
        <w:t>et au service de reche</w:t>
      </w:r>
      <w:r w:rsidR="00E752DA">
        <w:rPr>
          <w:lang w:val="fr-CH"/>
        </w:rPr>
        <w:t xml:space="preserve">rche spatiale </w:t>
      </w:r>
      <w:r w:rsidR="004D115D" w:rsidRPr="004D115D">
        <w:rPr>
          <w:lang w:val="fr-CH"/>
        </w:rPr>
        <w:t xml:space="preserve">(espace vers Terre) </w:t>
      </w:r>
      <w:r w:rsidR="00E752DA">
        <w:rPr>
          <w:lang w:val="fr-CH"/>
        </w:rPr>
        <w:t>à titre secondaire</w:t>
      </w:r>
      <w:r w:rsidR="004D115D" w:rsidRPr="004D115D">
        <w:rPr>
          <w:lang w:val="fr-CH"/>
        </w:rPr>
        <w:t>.</w:t>
      </w:r>
    </w:p>
    <w:p w14:paraId="18DF7911" w14:textId="7EE84A56" w:rsidR="00601CFA" w:rsidRPr="001874DF" w:rsidRDefault="001874DF" w:rsidP="00764A5F">
      <w:r w:rsidRPr="001874DF">
        <w:t xml:space="preserve">Le large bande mobile joue un </w:t>
      </w:r>
      <w:r>
        <w:t>rô</w:t>
      </w:r>
      <w:r w:rsidRPr="001874DF">
        <w:t xml:space="preserve">le de plus en plus crucial en matière de </w:t>
      </w:r>
      <w:r>
        <w:t xml:space="preserve">fourniture d'accès aux entreprises et consommateurs du monde entier. </w:t>
      </w:r>
      <w:r w:rsidRPr="001874DF">
        <w:t xml:space="preserve">D'après les statistiques de l'Union internationale des </w:t>
      </w:r>
      <w:r w:rsidRPr="001874DF">
        <w:lastRenderedPageBreak/>
        <w:t xml:space="preserve">télécommunications </w:t>
      </w:r>
      <w:r w:rsidR="00601CFA" w:rsidRPr="001874DF">
        <w:t>(</w:t>
      </w:r>
      <w:r w:rsidRPr="001874DF">
        <w:t>UIT</w:t>
      </w:r>
      <w:r w:rsidR="00601CFA" w:rsidRPr="001874DF">
        <w:t>)</w:t>
      </w:r>
      <w:r>
        <w:t xml:space="preserve">, </w:t>
      </w:r>
      <w:r w:rsidR="009C7A56" w:rsidRPr="00FD251C">
        <w:t>«</w:t>
      </w:r>
      <w:r w:rsidRPr="001874DF">
        <w:t>les abonnements au large bande mobile ont augmenté de plus de 20% par an au cours de</w:t>
      </w:r>
      <w:r w:rsidR="004C534A">
        <w:t>s</w:t>
      </w:r>
      <w:r w:rsidRPr="001874DF">
        <w:t xml:space="preserve"> cinq dernières années et devraient atteindre 4,3 milliards dans le monde d'ici à fin 2017</w:t>
      </w:r>
      <w:r w:rsidR="00432818" w:rsidRPr="00FD251C">
        <w:t>»</w:t>
      </w:r>
      <w:r>
        <w:t xml:space="preserve">, alors que </w:t>
      </w:r>
      <w:r w:rsidR="009C7A56" w:rsidRPr="00FD251C">
        <w:t>«</w:t>
      </w:r>
      <w:r>
        <w:t>l</w:t>
      </w:r>
      <w:r w:rsidRPr="001874DF">
        <w:t>e prix du large bande mobile en pourcentage du RNB par habitant a diminué de moitié entre 2013 et 2016 dans le monde</w:t>
      </w:r>
      <w:r w:rsidR="00432818" w:rsidRPr="00FD251C">
        <w:t>»</w:t>
      </w:r>
      <w:r w:rsidR="008B6870">
        <w:t>.</w:t>
      </w:r>
      <w:r w:rsidR="00601CFA" w:rsidRPr="00B134EF">
        <w:rPr>
          <w:vertAlign w:val="superscript"/>
          <w:lang w:val="en-US"/>
        </w:rPr>
        <w:footnoteReference w:id="1"/>
      </w:r>
    </w:p>
    <w:p w14:paraId="50344DFA" w14:textId="109C339F" w:rsidR="00601CFA" w:rsidRPr="009D682E" w:rsidRDefault="00D64BF7" w:rsidP="00764A5F">
      <w:r w:rsidRPr="00D64BF7">
        <w:rPr>
          <w:iCs/>
        </w:rPr>
        <w:t xml:space="preserve">La demande croissante de large bande mobile a </w:t>
      </w:r>
      <w:r w:rsidR="00FF77BA">
        <w:rPr>
          <w:iCs/>
        </w:rPr>
        <w:t>conduit à</w:t>
      </w:r>
      <w:r>
        <w:rPr>
          <w:iCs/>
        </w:rPr>
        <w:t xml:space="preserve"> </w:t>
      </w:r>
      <w:r w:rsidR="00385EA5">
        <w:rPr>
          <w:iCs/>
        </w:rPr>
        <w:t>une augmentation de la capacité nécessaire</w:t>
      </w:r>
      <w:r w:rsidR="00FF77BA">
        <w:rPr>
          <w:iCs/>
        </w:rPr>
        <w:t xml:space="preserve"> des </w:t>
      </w:r>
      <w:r w:rsidR="00385EA5">
        <w:rPr>
          <w:iCs/>
        </w:rPr>
        <w:t>réseaux</w:t>
      </w:r>
      <w:r w:rsidR="00FF77BA">
        <w:rPr>
          <w:iCs/>
        </w:rPr>
        <w:t xml:space="preserve"> de raccordement ou </w:t>
      </w:r>
      <w:r w:rsidRPr="00D64BF7">
        <w:rPr>
          <w:iCs/>
        </w:rPr>
        <w:t>de transport</w:t>
      </w:r>
      <w:r>
        <w:rPr>
          <w:iCs/>
        </w:rPr>
        <w:t xml:space="preserve">. </w:t>
      </w:r>
      <w:r w:rsidRPr="00D64BF7">
        <w:rPr>
          <w:iCs/>
        </w:rPr>
        <w:t xml:space="preserve">Les </w:t>
      </w:r>
      <w:r w:rsidR="00CD425D">
        <w:rPr>
          <w:iCs/>
        </w:rPr>
        <w:t>gammes</w:t>
      </w:r>
      <w:r w:rsidRPr="00D64BF7">
        <w:rPr>
          <w:iCs/>
        </w:rPr>
        <w:t xml:space="preserve"> de fréquences </w:t>
      </w:r>
      <w:r w:rsidR="00601CFA" w:rsidRPr="00D64BF7">
        <w:rPr>
          <w:iCs/>
        </w:rPr>
        <w:t xml:space="preserve">71–76 GHz </w:t>
      </w:r>
      <w:r w:rsidRPr="00D64BF7">
        <w:rPr>
          <w:iCs/>
        </w:rPr>
        <w:t>et</w:t>
      </w:r>
      <w:r w:rsidR="00601CFA" w:rsidRPr="00D64BF7">
        <w:rPr>
          <w:iCs/>
        </w:rPr>
        <w:t xml:space="preserve"> 81–86 GHz </w:t>
      </w:r>
      <w:r w:rsidRPr="00D64BF7">
        <w:rPr>
          <w:iCs/>
        </w:rPr>
        <w:t xml:space="preserve">sont importantes pour </w:t>
      </w:r>
      <w:r w:rsidR="00C73A54">
        <w:rPr>
          <w:iCs/>
        </w:rPr>
        <w:t>la fourniture de liaisons</w:t>
      </w:r>
      <w:r>
        <w:rPr>
          <w:iCs/>
        </w:rPr>
        <w:t xml:space="preserve"> de raccordement du service fixe </w:t>
      </w:r>
      <w:r w:rsidR="0035640B">
        <w:rPr>
          <w:iCs/>
        </w:rPr>
        <w:t>pour les</w:t>
      </w:r>
      <w:r>
        <w:rPr>
          <w:iCs/>
        </w:rPr>
        <w:t xml:space="preserve"> services large bande mobiles. </w:t>
      </w:r>
      <w:r w:rsidRPr="00D64BF7">
        <w:rPr>
          <w:iCs/>
        </w:rPr>
        <w:t xml:space="preserve">Ces </w:t>
      </w:r>
      <w:r w:rsidR="00CD425D">
        <w:rPr>
          <w:iCs/>
        </w:rPr>
        <w:t>gammes</w:t>
      </w:r>
      <w:r w:rsidRPr="00D64BF7">
        <w:rPr>
          <w:iCs/>
        </w:rPr>
        <w:t xml:space="preserve"> de fréquences </w:t>
      </w:r>
      <w:r w:rsidR="005F63A7">
        <w:rPr>
          <w:iCs/>
        </w:rPr>
        <w:t>présentent</w:t>
      </w:r>
      <w:r w:rsidRPr="00D64BF7">
        <w:rPr>
          <w:iCs/>
        </w:rPr>
        <w:t xml:space="preserve"> une très grande largeur de bande</w:t>
      </w:r>
      <w:r w:rsidR="00601CFA" w:rsidRPr="00D64BF7">
        <w:rPr>
          <w:iCs/>
        </w:rPr>
        <w:t xml:space="preserve">, </w:t>
      </w:r>
      <w:r w:rsidR="005F63A7">
        <w:rPr>
          <w:iCs/>
        </w:rPr>
        <w:t>offrant des</w:t>
      </w:r>
      <w:r w:rsidR="00601CFA" w:rsidRPr="00D64BF7">
        <w:rPr>
          <w:iCs/>
        </w:rPr>
        <w:t xml:space="preserve"> </w:t>
      </w:r>
      <w:r w:rsidRPr="00D64BF7">
        <w:rPr>
          <w:iCs/>
        </w:rPr>
        <w:t xml:space="preserve">capacités </w:t>
      </w:r>
      <w:r w:rsidR="00192A5C">
        <w:rPr>
          <w:iCs/>
        </w:rPr>
        <w:t xml:space="preserve">de transmission </w:t>
      </w:r>
      <w:r w:rsidRPr="00D64BF7">
        <w:rPr>
          <w:iCs/>
        </w:rPr>
        <w:t>de l'ordre de</w:t>
      </w:r>
      <w:r w:rsidR="00601CFA" w:rsidRPr="00D64BF7">
        <w:rPr>
          <w:iCs/>
        </w:rPr>
        <w:t xml:space="preserve"> 10 </w:t>
      </w:r>
      <w:r w:rsidRPr="00D64BF7">
        <w:rPr>
          <w:iCs/>
        </w:rPr>
        <w:t>gigabits</w:t>
      </w:r>
      <w:r w:rsidR="00601CFA" w:rsidRPr="00D64BF7">
        <w:rPr>
          <w:iCs/>
        </w:rPr>
        <w:t xml:space="preserve"> </w:t>
      </w:r>
      <w:r w:rsidRPr="00D64BF7">
        <w:rPr>
          <w:iCs/>
        </w:rPr>
        <w:t>par seconde</w:t>
      </w:r>
      <w:r w:rsidR="00601CFA" w:rsidRPr="00D64BF7">
        <w:rPr>
          <w:iCs/>
        </w:rPr>
        <w:t xml:space="preserve"> </w:t>
      </w:r>
      <w:r w:rsidRPr="00D64BF7">
        <w:rPr>
          <w:iCs/>
        </w:rPr>
        <w:t>ou plus sur quelques kilomètres de distance et constituent une alternative au déploiement de la fibre</w:t>
      </w:r>
      <w:r w:rsidR="00601CFA" w:rsidRPr="00D64BF7">
        <w:rPr>
          <w:iCs/>
        </w:rPr>
        <w:t xml:space="preserve">: </w:t>
      </w:r>
      <w:r>
        <w:rPr>
          <w:iCs/>
        </w:rPr>
        <w:t xml:space="preserve">ce </w:t>
      </w:r>
      <w:r w:rsidR="00192A5C">
        <w:rPr>
          <w:iCs/>
        </w:rPr>
        <w:t>débit</w:t>
      </w:r>
      <w:r>
        <w:rPr>
          <w:iCs/>
        </w:rPr>
        <w:t xml:space="preserve"> </w:t>
      </w:r>
      <w:r w:rsidR="00192A5C">
        <w:rPr>
          <w:iCs/>
        </w:rPr>
        <w:t>est inatteignable</w:t>
      </w:r>
      <w:r>
        <w:rPr>
          <w:iCs/>
        </w:rPr>
        <w:t xml:space="preserve"> dans d'autres bandes de fréquences dont la largeur de bande est limitée. </w:t>
      </w:r>
      <w:r w:rsidR="00C049D8">
        <w:rPr>
          <w:iCs/>
        </w:rPr>
        <w:t>La</w:t>
      </w:r>
      <w:r w:rsidR="00784B8B">
        <w:rPr>
          <w:iCs/>
        </w:rPr>
        <w:t xml:space="preserve"> demande</w:t>
      </w:r>
      <w:r w:rsidR="007E4887" w:rsidRPr="007E4887">
        <w:rPr>
          <w:iCs/>
        </w:rPr>
        <w:t xml:space="preserve"> </w:t>
      </w:r>
      <w:r w:rsidR="00A43AF1">
        <w:rPr>
          <w:iCs/>
        </w:rPr>
        <w:t>de raccordement de grande capacité</w:t>
      </w:r>
      <w:r w:rsidR="007E4887" w:rsidRPr="007E4887">
        <w:rPr>
          <w:iCs/>
        </w:rPr>
        <w:t xml:space="preserve"> </w:t>
      </w:r>
      <w:r w:rsidR="00C049D8">
        <w:rPr>
          <w:iCs/>
        </w:rPr>
        <w:t>devrait créer</w:t>
      </w:r>
      <w:r w:rsidR="007E4887">
        <w:rPr>
          <w:iCs/>
        </w:rPr>
        <w:t xml:space="preserve"> une dynamique </w:t>
      </w:r>
      <w:r w:rsidR="00A43AF1">
        <w:rPr>
          <w:iCs/>
        </w:rPr>
        <w:t>favorable au</w:t>
      </w:r>
      <w:r w:rsidR="00601CFA" w:rsidRPr="007E4887">
        <w:rPr>
          <w:iCs/>
        </w:rPr>
        <w:t xml:space="preserve"> </w:t>
      </w:r>
      <w:r w:rsidR="007E4887">
        <w:rPr>
          <w:iCs/>
        </w:rPr>
        <w:t>passage de bandes inférieures</w:t>
      </w:r>
      <w:r w:rsidR="00601CFA" w:rsidRPr="007E4887">
        <w:rPr>
          <w:iCs/>
        </w:rPr>
        <w:t xml:space="preserve"> </w:t>
      </w:r>
      <w:r w:rsidR="007E4887" w:rsidRPr="007E4887">
        <w:rPr>
          <w:iCs/>
        </w:rPr>
        <w:t xml:space="preserve">à ces </w:t>
      </w:r>
      <w:r w:rsidR="00C049D8">
        <w:rPr>
          <w:iCs/>
        </w:rPr>
        <w:t>bandes</w:t>
      </w:r>
      <w:r w:rsidR="007E4887" w:rsidRPr="007E4887">
        <w:rPr>
          <w:iCs/>
        </w:rPr>
        <w:t xml:space="preserve"> de fréquences</w:t>
      </w:r>
      <w:r w:rsidR="007E4887">
        <w:rPr>
          <w:iCs/>
        </w:rPr>
        <w:t xml:space="preserve">. </w:t>
      </w:r>
      <w:r w:rsidR="007E4887" w:rsidRPr="007E4887">
        <w:rPr>
          <w:iCs/>
        </w:rPr>
        <w:t xml:space="preserve">Les </w:t>
      </w:r>
      <w:r w:rsidR="00635A37">
        <w:rPr>
          <w:iCs/>
        </w:rPr>
        <w:t>faisceaux hertziens</w:t>
      </w:r>
      <w:r w:rsidR="00885C13">
        <w:rPr>
          <w:iCs/>
        </w:rPr>
        <w:t xml:space="preserve"> point à point </w:t>
      </w:r>
      <w:r w:rsidR="007E4887" w:rsidRPr="007E4887">
        <w:rPr>
          <w:iCs/>
        </w:rPr>
        <w:t>utilisés par le service fixe</w:t>
      </w:r>
      <w:r w:rsidR="00601CFA" w:rsidRPr="007E4887">
        <w:rPr>
          <w:iCs/>
        </w:rPr>
        <w:t xml:space="preserve"> </w:t>
      </w:r>
      <w:r w:rsidR="007E4887" w:rsidRPr="007E4887">
        <w:rPr>
          <w:iCs/>
        </w:rPr>
        <w:t xml:space="preserve">sont un élément clé de nombreux réseaux mobiles, </w:t>
      </w:r>
      <w:r w:rsidR="007E4887">
        <w:rPr>
          <w:iCs/>
        </w:rPr>
        <w:t xml:space="preserve">tout comme les liaisons </w:t>
      </w:r>
      <w:r w:rsidR="00885C13">
        <w:rPr>
          <w:iCs/>
        </w:rPr>
        <w:t>hyperfréquences</w:t>
      </w:r>
      <w:r w:rsidR="007E4887">
        <w:rPr>
          <w:iCs/>
        </w:rPr>
        <w:t xml:space="preserve"> du service fixe</w:t>
      </w:r>
      <w:r w:rsidR="00601CFA" w:rsidRPr="007E4887">
        <w:rPr>
          <w:iCs/>
        </w:rPr>
        <w:t xml:space="preserve"> </w:t>
      </w:r>
      <w:r w:rsidR="00635A37">
        <w:rPr>
          <w:iCs/>
        </w:rPr>
        <w:t>utilisées notamment pour la</w:t>
      </w:r>
      <w:r w:rsidR="009D682E">
        <w:rPr>
          <w:iCs/>
        </w:rPr>
        <w:t xml:space="preserve"> radiodiffusion</w:t>
      </w:r>
      <w:r w:rsidR="007E4887">
        <w:rPr>
          <w:iCs/>
        </w:rPr>
        <w:t xml:space="preserve">, </w:t>
      </w:r>
      <w:r w:rsidR="009D682E">
        <w:rPr>
          <w:iCs/>
        </w:rPr>
        <w:t>les services publics</w:t>
      </w:r>
      <w:r w:rsidR="007E4887">
        <w:rPr>
          <w:iCs/>
        </w:rPr>
        <w:t xml:space="preserve"> </w:t>
      </w:r>
      <w:r w:rsidR="009D682E">
        <w:rPr>
          <w:iCs/>
        </w:rPr>
        <w:t>et la sécurité publique</w:t>
      </w:r>
      <w:r w:rsidR="007E4887">
        <w:rPr>
          <w:iCs/>
        </w:rPr>
        <w:t xml:space="preserve">. </w:t>
      </w:r>
      <w:r w:rsidR="007E4887" w:rsidRPr="009D682E">
        <w:rPr>
          <w:iCs/>
        </w:rPr>
        <w:t>L</w:t>
      </w:r>
      <w:r w:rsidR="00635A37">
        <w:rPr>
          <w:iCs/>
        </w:rPr>
        <w:t>'utilisation des</w:t>
      </w:r>
      <w:r w:rsidR="007E4887" w:rsidRPr="009D682E">
        <w:rPr>
          <w:iCs/>
        </w:rPr>
        <w:t xml:space="preserve"> </w:t>
      </w:r>
      <w:r w:rsidR="00CD425D">
        <w:rPr>
          <w:iCs/>
        </w:rPr>
        <w:t>gammes</w:t>
      </w:r>
      <w:r w:rsidR="007E4887" w:rsidRPr="009D682E">
        <w:rPr>
          <w:iCs/>
        </w:rPr>
        <w:t xml:space="preserve"> de fréquences </w:t>
      </w:r>
      <w:r w:rsidR="00601CFA" w:rsidRPr="009D682E">
        <w:rPr>
          <w:iCs/>
        </w:rPr>
        <w:t xml:space="preserve">71-76 GHz </w:t>
      </w:r>
      <w:r w:rsidR="007E4887" w:rsidRPr="009D682E">
        <w:rPr>
          <w:iCs/>
        </w:rPr>
        <w:t>et</w:t>
      </w:r>
      <w:r w:rsidR="00601CFA" w:rsidRPr="009D682E">
        <w:rPr>
          <w:iCs/>
        </w:rPr>
        <w:t xml:space="preserve"> 81-86 GHz </w:t>
      </w:r>
      <w:r w:rsidR="00635A37">
        <w:rPr>
          <w:iCs/>
        </w:rPr>
        <w:t>dans le service fixe devrai</w:t>
      </w:r>
      <w:r w:rsidR="007E4887" w:rsidRPr="009D682E">
        <w:rPr>
          <w:iCs/>
        </w:rPr>
        <w:t>t</w:t>
      </w:r>
      <w:r w:rsidR="00601CFA" w:rsidRPr="009D682E">
        <w:rPr>
          <w:iCs/>
        </w:rPr>
        <w:t xml:space="preserve"> </w:t>
      </w:r>
      <w:r w:rsidR="00635A37">
        <w:rPr>
          <w:iCs/>
        </w:rPr>
        <w:t>croître fortement</w:t>
      </w:r>
      <w:r w:rsidR="00601CFA" w:rsidRPr="009D682E">
        <w:rPr>
          <w:iCs/>
        </w:rPr>
        <w:t xml:space="preserve"> </w:t>
      </w:r>
      <w:r w:rsidR="009D682E" w:rsidRPr="009D682E">
        <w:rPr>
          <w:iCs/>
        </w:rPr>
        <w:t xml:space="preserve">et </w:t>
      </w:r>
      <w:r w:rsidR="001C7BD8">
        <w:rPr>
          <w:iCs/>
        </w:rPr>
        <w:t xml:space="preserve">elle devrait </w:t>
      </w:r>
      <w:r w:rsidR="009D682E" w:rsidRPr="009D682E">
        <w:rPr>
          <w:iCs/>
        </w:rPr>
        <w:t xml:space="preserve">représenter jusqu'à 20% des nouveaux déploiements </w:t>
      </w:r>
      <w:r w:rsidR="009D682E">
        <w:rPr>
          <w:iCs/>
        </w:rPr>
        <w:t xml:space="preserve">de </w:t>
      </w:r>
      <w:r w:rsidR="00986FCD">
        <w:rPr>
          <w:iCs/>
        </w:rPr>
        <w:t xml:space="preserve">liaisons de </w:t>
      </w:r>
      <w:r w:rsidR="009D682E">
        <w:rPr>
          <w:iCs/>
        </w:rPr>
        <w:t xml:space="preserve">raccordement par an d'ici à </w:t>
      </w:r>
      <w:r w:rsidR="00601CFA" w:rsidRPr="009D682E">
        <w:rPr>
          <w:iCs/>
        </w:rPr>
        <w:t>2020</w:t>
      </w:r>
      <w:r w:rsidR="00601CFA" w:rsidRPr="00B134EF">
        <w:rPr>
          <w:iCs/>
          <w:vertAlign w:val="superscript"/>
          <w:lang w:val="en-US"/>
        </w:rPr>
        <w:footnoteReference w:id="2"/>
      </w:r>
      <w:r w:rsidR="00601CFA" w:rsidRPr="009D682E">
        <w:rPr>
          <w:iCs/>
        </w:rPr>
        <w:t>.</w:t>
      </w:r>
    </w:p>
    <w:p w14:paraId="01A050A2" w14:textId="69907125" w:rsidR="00601CFA" w:rsidRPr="00716E00" w:rsidRDefault="00716E00" w:rsidP="00764A5F">
      <w:r w:rsidRPr="00716E00">
        <w:t xml:space="preserve">Afin de fournir d'importants services de raccordement, y compris </w:t>
      </w:r>
      <w:r w:rsidR="002B083B">
        <w:t>ceux qui contribuent au déploiement des</w:t>
      </w:r>
      <w:r w:rsidRPr="00716E00">
        <w:t xml:space="preserve"> IMT-2020</w:t>
      </w:r>
      <w:r w:rsidR="00601CFA" w:rsidRPr="00716E00">
        <w:t xml:space="preserve">, </w:t>
      </w:r>
      <w:r w:rsidRPr="00716E00">
        <w:t>il est proposé d</w:t>
      </w:r>
      <w:r w:rsidR="00CD425D">
        <w:t>e n'</w:t>
      </w:r>
      <w:r w:rsidRPr="00716E00">
        <w:t xml:space="preserve">apporter aucune modification </w:t>
      </w:r>
      <w:r w:rsidR="00CD425D">
        <w:t xml:space="preserve">concernant les gammes </w:t>
      </w:r>
      <w:r w:rsidRPr="00716E00">
        <w:t xml:space="preserve">de fréquences </w:t>
      </w:r>
      <w:r w:rsidR="00601CFA" w:rsidRPr="00716E00">
        <w:t xml:space="preserve">71-76 GHz </w:t>
      </w:r>
      <w:r>
        <w:t>et</w:t>
      </w:r>
      <w:r w:rsidR="00601CFA" w:rsidRPr="00716E00">
        <w:t xml:space="preserve"> 81-86 GHz.</w:t>
      </w:r>
    </w:p>
    <w:p w14:paraId="29A9FE54" w14:textId="449E3D3D" w:rsidR="004D115D" w:rsidRPr="002B083B" w:rsidRDefault="002B083B" w:rsidP="00764A5F">
      <w:r w:rsidRPr="002B083B">
        <w:t>En outre</w:t>
      </w:r>
      <w:r w:rsidR="00601CFA" w:rsidRPr="002B083B">
        <w:t xml:space="preserve">, </w:t>
      </w:r>
      <w:r w:rsidR="00EA7CDC">
        <w:t>l'absence de</w:t>
      </w:r>
      <w:r w:rsidRPr="002B083B">
        <w:t xml:space="preserve"> modification </w:t>
      </w:r>
      <w:r w:rsidR="00784B8B">
        <w:t>concernant</w:t>
      </w:r>
      <w:r w:rsidRPr="002B083B">
        <w:t xml:space="preserve"> ces bandes faciliterait la compatibilité avec des services </w:t>
      </w:r>
      <w:r>
        <w:t>fonctionnant dans les bandes adjacentes</w:t>
      </w:r>
      <w:r w:rsidR="00601CFA" w:rsidRPr="002B083B">
        <w:t xml:space="preserve">, </w:t>
      </w:r>
      <w:r>
        <w:t>en particulier avec les radars automobiles</w:t>
      </w:r>
      <w:r w:rsidR="00601CFA" w:rsidRPr="002B083B">
        <w:t xml:space="preserve"> </w:t>
      </w:r>
      <w:r>
        <w:t>dans la bande</w:t>
      </w:r>
      <w:r w:rsidR="00601CFA" w:rsidRPr="002B083B">
        <w:t xml:space="preserve"> 76-81 GHz.</w:t>
      </w:r>
    </w:p>
    <w:p w14:paraId="72EDF31E" w14:textId="77777777" w:rsidR="004D115D" w:rsidRPr="002B083B" w:rsidRDefault="004D115D" w:rsidP="00764A5F"/>
    <w:p w14:paraId="68CE4984" w14:textId="77777777" w:rsidR="0015203F" w:rsidRPr="002B083B" w:rsidRDefault="0015203F" w:rsidP="00764A5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B083B">
        <w:br w:type="page"/>
      </w:r>
    </w:p>
    <w:p w14:paraId="4CE73302" w14:textId="77777777" w:rsidR="007F3F42" w:rsidRDefault="00950459" w:rsidP="00764A5F">
      <w:pPr>
        <w:pStyle w:val="ArtNo"/>
        <w:spacing w:before="0"/>
      </w:pPr>
      <w:bookmarkStart w:id="10" w:name="_Toc455752914"/>
      <w:bookmarkStart w:id="11" w:name="_Toc455756153"/>
      <w:r>
        <w:lastRenderedPageBreak/>
        <w:t xml:space="preserve">ARTICLE </w:t>
      </w:r>
      <w:r>
        <w:rPr>
          <w:rStyle w:val="href"/>
          <w:color w:val="000000"/>
        </w:rPr>
        <w:t>5</w:t>
      </w:r>
      <w:bookmarkEnd w:id="10"/>
      <w:bookmarkEnd w:id="11"/>
    </w:p>
    <w:p w14:paraId="5C9CAD57" w14:textId="77777777" w:rsidR="007F3F42" w:rsidRDefault="00950459" w:rsidP="001D04F3">
      <w:pPr>
        <w:pStyle w:val="Arttitle"/>
        <w:spacing w:before="160"/>
        <w:rPr>
          <w:lang w:val="fr-CH"/>
        </w:rPr>
      </w:pPr>
      <w:bookmarkStart w:id="12" w:name="_Toc455752915"/>
      <w:bookmarkStart w:id="13" w:name="_Toc455756154"/>
      <w:r>
        <w:rPr>
          <w:lang w:val="fr-CH"/>
        </w:rPr>
        <w:t>Attribution des bandes de fréquences</w:t>
      </w:r>
      <w:bookmarkEnd w:id="12"/>
      <w:bookmarkEnd w:id="13"/>
    </w:p>
    <w:p w14:paraId="01B2C5BD" w14:textId="77777777" w:rsidR="00D73104" w:rsidRDefault="00950459" w:rsidP="001D04F3">
      <w:pPr>
        <w:pStyle w:val="Section1"/>
        <w:keepNext/>
        <w:spacing w:before="280"/>
        <w:rPr>
          <w:b w:val="0"/>
          <w:color w:val="000000"/>
        </w:rPr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5029A2">
        <w:rPr>
          <w:b w:val="0"/>
          <w:bCs/>
        </w:rPr>
        <w:t xml:space="preserve">(Voir le numéro </w:t>
      </w:r>
      <w:r w:rsidRPr="00260AE5">
        <w:t>2.1</w:t>
      </w:r>
      <w:r w:rsidRPr="005029A2">
        <w:rPr>
          <w:b w:val="0"/>
          <w:bCs/>
        </w:rPr>
        <w:t>)</w:t>
      </w:r>
      <w:r>
        <w:rPr>
          <w:b w:val="0"/>
          <w:color w:val="000000"/>
        </w:rPr>
        <w:br/>
      </w:r>
    </w:p>
    <w:p w14:paraId="4258A30D" w14:textId="77777777" w:rsidR="0058721B" w:rsidRDefault="00950459" w:rsidP="001D04F3">
      <w:pPr>
        <w:pStyle w:val="Proposal"/>
        <w:spacing w:before="160"/>
      </w:pPr>
      <w:r>
        <w:rPr>
          <w:u w:val="single"/>
        </w:rPr>
        <w:t>NOC</w:t>
      </w:r>
      <w:r>
        <w:tab/>
        <w:t>IAP/11A13A6/1</w:t>
      </w:r>
    </w:p>
    <w:p w14:paraId="5D73F6D3" w14:textId="77777777" w:rsidR="00EB19FF" w:rsidRDefault="00950459" w:rsidP="001D04F3">
      <w:pPr>
        <w:pStyle w:val="Tabletitle"/>
        <w:spacing w:before="80" w:after="80"/>
        <w:rPr>
          <w:color w:val="000000"/>
        </w:rPr>
      </w:pPr>
      <w:r w:rsidRPr="00381B50">
        <w:rPr>
          <w:color w:val="000000"/>
          <w:lang w:val="fr-CH"/>
        </w:rPr>
        <w:t>66-81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F3F42" w14:paraId="1DACCFD3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E9F9" w14:textId="77777777" w:rsidR="007F3F42" w:rsidRDefault="00950459" w:rsidP="00764A5F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7F3F42" w14:paraId="3FB70354" w14:textId="77777777" w:rsidTr="00381B50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D8761" w14:textId="77777777" w:rsidR="007F3F42" w:rsidRDefault="00950459" w:rsidP="00764A5F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F50C7" w14:textId="77777777" w:rsidR="007F3F42" w:rsidRDefault="00950459" w:rsidP="00764A5F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D980" w14:textId="77777777" w:rsidR="007F3F42" w:rsidRDefault="00950459" w:rsidP="00764A5F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7F3F42" w14:paraId="7136FE6A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F35B4C" w14:textId="77777777" w:rsidR="007F3F42" w:rsidRDefault="00950459" w:rsidP="00764A5F">
            <w:pPr>
              <w:pStyle w:val="TableTextS5"/>
              <w:spacing w:after="20"/>
              <w:rPr>
                <w:color w:val="000000"/>
                <w:lang w:val="fr-CH"/>
              </w:rPr>
            </w:pPr>
            <w:r w:rsidRPr="0046453D">
              <w:rPr>
                <w:rStyle w:val="Tablefreq"/>
              </w:rPr>
              <w:t>71-74</w:t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FIXE</w:t>
            </w:r>
          </w:p>
          <w:p w14:paraId="6C025117" w14:textId="77777777" w:rsidR="007F3F42" w:rsidRDefault="00950459" w:rsidP="00764A5F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FIXE PAR SATELLITE (espace vers Terre)</w:t>
            </w:r>
          </w:p>
          <w:p w14:paraId="2FEDE16F" w14:textId="77777777" w:rsidR="007F3F42" w:rsidRDefault="00950459" w:rsidP="00764A5F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MOBILE</w:t>
            </w:r>
          </w:p>
          <w:p w14:paraId="53EE1F63" w14:textId="77777777" w:rsidR="007F3F42" w:rsidRDefault="00950459" w:rsidP="00764A5F">
            <w:pPr>
              <w:pStyle w:val="TableTextS5"/>
              <w:spacing w:before="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MOBILE PAR SATELLITE (espace vers Terre)</w:t>
            </w:r>
          </w:p>
        </w:tc>
      </w:tr>
      <w:tr w:rsidR="007F3F42" w14:paraId="15692ACD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CB2676" w14:textId="77777777" w:rsidR="007F3F42" w:rsidRDefault="00950459" w:rsidP="00764A5F">
            <w:pPr>
              <w:pStyle w:val="TableTextS5"/>
              <w:spacing w:after="20"/>
              <w:rPr>
                <w:color w:val="000000"/>
                <w:lang w:val="fr-CH"/>
              </w:rPr>
            </w:pPr>
            <w:r w:rsidRPr="0017609F">
              <w:rPr>
                <w:rStyle w:val="Tablefreq"/>
              </w:rPr>
              <w:t>74-76</w:t>
            </w:r>
            <w:r w:rsidRPr="0017609F">
              <w:rPr>
                <w:rStyle w:val="Tablefreq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FIXE</w:t>
            </w:r>
          </w:p>
          <w:p w14:paraId="3D8F63BF" w14:textId="77777777" w:rsidR="007F3F42" w:rsidRDefault="00950459" w:rsidP="00764A5F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FIXE PAR SATELLITE (espace vers Terre)</w:t>
            </w:r>
          </w:p>
          <w:p w14:paraId="40F258EC" w14:textId="77777777" w:rsidR="007F3F42" w:rsidRDefault="00950459" w:rsidP="00764A5F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MOBILE</w:t>
            </w:r>
          </w:p>
          <w:p w14:paraId="2C4A3AF7" w14:textId="77777777" w:rsidR="007F3F42" w:rsidRDefault="00950459" w:rsidP="00764A5F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RADIODIFFUSION</w:t>
            </w:r>
          </w:p>
          <w:p w14:paraId="36C4D86B" w14:textId="77777777" w:rsidR="007F3F42" w:rsidRDefault="00950459" w:rsidP="00764A5F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RADIODIFFUSION PAR SATELLITE</w:t>
            </w:r>
          </w:p>
          <w:p w14:paraId="38AF4DAC" w14:textId="77777777" w:rsidR="007F3F42" w:rsidRDefault="00950459" w:rsidP="00764A5F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Recherche spatiale (espace vers Terre)</w:t>
            </w:r>
          </w:p>
          <w:p w14:paraId="3843A04B" w14:textId="77777777" w:rsidR="007F3F42" w:rsidRDefault="00950459" w:rsidP="00764A5F">
            <w:pPr>
              <w:pStyle w:val="TableTextS5"/>
              <w:spacing w:before="0"/>
              <w:rPr>
                <w:rStyle w:val="Artref"/>
                <w:color w:val="000000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</w:rPr>
              <w:t>5.561</w:t>
            </w:r>
          </w:p>
        </w:tc>
      </w:tr>
    </w:tbl>
    <w:p w14:paraId="6C8F8464" w14:textId="440241C8" w:rsidR="0058721B" w:rsidRPr="000850EE" w:rsidRDefault="00950459" w:rsidP="001D04F3">
      <w:pPr>
        <w:pStyle w:val="Reasons"/>
        <w:spacing w:before="80"/>
      </w:pPr>
      <w:r w:rsidRPr="000850EE">
        <w:rPr>
          <w:b/>
        </w:rPr>
        <w:t>Motifs:</w:t>
      </w:r>
      <w:r w:rsidRPr="000850EE">
        <w:tab/>
      </w:r>
      <w:r w:rsidR="00C97884">
        <w:t>L'absence de modification concernant</w:t>
      </w:r>
      <w:r w:rsidR="000850EE" w:rsidRPr="000850EE">
        <w:t xml:space="preserve"> la </w:t>
      </w:r>
      <w:r w:rsidR="00CD425D">
        <w:t>gamme</w:t>
      </w:r>
      <w:r w:rsidR="000850EE" w:rsidRPr="000850EE">
        <w:t xml:space="preserve"> de fréquences </w:t>
      </w:r>
      <w:r w:rsidR="00977650" w:rsidRPr="000850EE">
        <w:t xml:space="preserve">71-76 GHz </w:t>
      </w:r>
      <w:r w:rsidR="00CD425D">
        <w:t>permet</w:t>
      </w:r>
      <w:r w:rsidR="000850EE" w:rsidRPr="000850EE">
        <w:t xml:space="preserve"> une utilisation accrue de ce</w:t>
      </w:r>
      <w:r w:rsidR="008108C0">
        <w:t>s</w:t>
      </w:r>
      <w:r w:rsidR="000850EE">
        <w:t xml:space="preserve"> bande</w:t>
      </w:r>
      <w:r w:rsidR="008108C0">
        <w:t>s</w:t>
      </w:r>
      <w:r w:rsidR="000850EE" w:rsidRPr="000850EE">
        <w:t xml:space="preserve"> pour le raccordement et d'autres </w:t>
      </w:r>
      <w:r w:rsidR="004B1408">
        <w:t>applications du</w:t>
      </w:r>
      <w:r w:rsidR="00B52240">
        <w:t xml:space="preserve"> service fixe</w:t>
      </w:r>
      <w:r w:rsidR="000850EE">
        <w:t xml:space="preserve"> </w:t>
      </w:r>
      <w:r w:rsidR="00CD425D">
        <w:t>à l'appui</w:t>
      </w:r>
      <w:r w:rsidR="0066632E">
        <w:t xml:space="preserve"> des</w:t>
      </w:r>
      <w:r w:rsidR="008108C0">
        <w:t xml:space="preserve"> IMT-2020 et facilite</w:t>
      </w:r>
      <w:r w:rsidR="000850EE">
        <w:t xml:space="preserve"> la compatibilité avec les radars automobiles dans la bande adjacente </w:t>
      </w:r>
      <w:r w:rsidR="00977650" w:rsidRPr="000850EE">
        <w:t>76-81 GHz.</w:t>
      </w:r>
    </w:p>
    <w:p w14:paraId="58D6E8F6" w14:textId="77777777" w:rsidR="0058721B" w:rsidRDefault="00950459" w:rsidP="001D04F3">
      <w:pPr>
        <w:pStyle w:val="Proposal"/>
        <w:spacing w:before="160"/>
      </w:pPr>
      <w:r>
        <w:rPr>
          <w:u w:val="single"/>
        </w:rPr>
        <w:t>NOC</w:t>
      </w:r>
      <w:r>
        <w:tab/>
        <w:t>IAP/11A13A6/2</w:t>
      </w:r>
    </w:p>
    <w:p w14:paraId="47B4104A" w14:textId="77777777" w:rsidR="00EB19FF" w:rsidRDefault="00950459" w:rsidP="00764A5F">
      <w:pPr>
        <w:pStyle w:val="Tabletitle"/>
        <w:spacing w:before="120"/>
        <w:rPr>
          <w:color w:val="000000"/>
        </w:rPr>
      </w:pPr>
      <w:r w:rsidRPr="00381B50">
        <w:rPr>
          <w:color w:val="000000"/>
        </w:rPr>
        <w:t>81-86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F3F42" w:rsidRPr="00F95D3F" w14:paraId="2DD35D8F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E1C870" w14:textId="77777777" w:rsidR="007F3F42" w:rsidRPr="00F95D3F" w:rsidRDefault="00950459" w:rsidP="00764A5F">
            <w:pPr>
              <w:pStyle w:val="Tablehead"/>
              <w:rPr>
                <w:color w:val="000000"/>
              </w:rPr>
            </w:pPr>
            <w:r w:rsidRPr="00F95D3F">
              <w:rPr>
                <w:color w:val="000000"/>
              </w:rPr>
              <w:t>Attribution aux services</w:t>
            </w:r>
          </w:p>
        </w:tc>
      </w:tr>
      <w:tr w:rsidR="007F3F42" w:rsidRPr="00F95D3F" w14:paraId="5CC627C9" w14:textId="77777777" w:rsidTr="00381B50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0DDE" w14:textId="77777777" w:rsidR="007F3F42" w:rsidRPr="00F95D3F" w:rsidRDefault="00950459" w:rsidP="00764A5F">
            <w:pPr>
              <w:pStyle w:val="Tablehead"/>
              <w:rPr>
                <w:color w:val="000000"/>
              </w:rPr>
            </w:pPr>
            <w:r w:rsidRPr="00F95D3F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CC18" w14:textId="77777777" w:rsidR="007F3F42" w:rsidRPr="00F95D3F" w:rsidRDefault="00950459" w:rsidP="00764A5F">
            <w:pPr>
              <w:pStyle w:val="Tablehead"/>
              <w:rPr>
                <w:color w:val="000000"/>
              </w:rPr>
            </w:pPr>
            <w:r w:rsidRPr="00F95D3F"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BBBD" w14:textId="77777777" w:rsidR="007F3F42" w:rsidRPr="00F95D3F" w:rsidRDefault="00950459" w:rsidP="00764A5F">
            <w:pPr>
              <w:pStyle w:val="Tablehead"/>
              <w:rPr>
                <w:color w:val="000000"/>
              </w:rPr>
            </w:pPr>
            <w:r w:rsidRPr="00F95D3F">
              <w:rPr>
                <w:color w:val="000000"/>
              </w:rPr>
              <w:t>Région 3</w:t>
            </w:r>
          </w:p>
        </w:tc>
      </w:tr>
      <w:tr w:rsidR="007F3F42" w:rsidRPr="00F95D3F" w14:paraId="1C4BBF11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F139F7" w14:textId="77777777" w:rsidR="007F3F42" w:rsidRPr="00F95D3F" w:rsidRDefault="00950459" w:rsidP="00764A5F">
            <w:pPr>
              <w:pStyle w:val="TableTextS5"/>
              <w:rPr>
                <w:color w:val="000000"/>
              </w:rPr>
            </w:pPr>
            <w:r w:rsidRPr="00F95D3F">
              <w:rPr>
                <w:rStyle w:val="Tablefreq"/>
              </w:rPr>
              <w:t>81</w:t>
            </w:r>
            <w:r>
              <w:rPr>
                <w:rStyle w:val="Tablefreq"/>
              </w:rPr>
              <w:t>-</w:t>
            </w:r>
            <w:r w:rsidRPr="00F95D3F">
              <w:rPr>
                <w:rStyle w:val="Tablefreq"/>
              </w:rPr>
              <w:t>84</w:t>
            </w: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  <w:t>FIXE 5.338A</w:t>
            </w:r>
          </w:p>
          <w:p w14:paraId="19497A72" w14:textId="77777777" w:rsidR="007F3F42" w:rsidRPr="00F95D3F" w:rsidRDefault="00950459" w:rsidP="00764A5F">
            <w:pPr>
              <w:pStyle w:val="TableTextS5"/>
              <w:rPr>
                <w:color w:val="000000"/>
              </w:rPr>
            </w:pP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  <w:t>FIXE PAR SATELLITE (Terre vers espace)</w:t>
            </w:r>
          </w:p>
          <w:p w14:paraId="32EB265B" w14:textId="77777777" w:rsidR="007F3F42" w:rsidRPr="00F95D3F" w:rsidRDefault="00950459" w:rsidP="00764A5F">
            <w:pPr>
              <w:pStyle w:val="TableTextS5"/>
              <w:rPr>
                <w:color w:val="000000"/>
              </w:rPr>
            </w:pP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  <w:t>MOBILE</w:t>
            </w:r>
          </w:p>
          <w:p w14:paraId="022B3AB8" w14:textId="77777777" w:rsidR="007F3F42" w:rsidRPr="00F95D3F" w:rsidRDefault="00950459" w:rsidP="00764A5F">
            <w:pPr>
              <w:pStyle w:val="TableTextS5"/>
              <w:rPr>
                <w:color w:val="000000"/>
              </w:rPr>
            </w:pP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  <w:t>MOBILE PAR SATELLITE (Terre vers espace)</w:t>
            </w:r>
          </w:p>
          <w:p w14:paraId="4F784729" w14:textId="77777777" w:rsidR="007F3F42" w:rsidRPr="00F95D3F" w:rsidRDefault="00950459" w:rsidP="00764A5F">
            <w:pPr>
              <w:pStyle w:val="TableTextS5"/>
              <w:rPr>
                <w:color w:val="000000"/>
              </w:rPr>
            </w:pP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  <w:t>RADIOASTRONOMIE</w:t>
            </w:r>
          </w:p>
          <w:p w14:paraId="544ED114" w14:textId="77777777" w:rsidR="007F3F42" w:rsidRPr="00F95D3F" w:rsidRDefault="00950459" w:rsidP="00764A5F">
            <w:pPr>
              <w:pStyle w:val="TableTextS5"/>
              <w:rPr>
                <w:color w:val="000000"/>
              </w:rPr>
            </w:pP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  <w:t xml:space="preserve">Recherche spatiale (espace vers Terre) </w:t>
            </w:r>
          </w:p>
          <w:p w14:paraId="6EB7CD4C" w14:textId="77777777" w:rsidR="007F3F42" w:rsidRPr="00F95D3F" w:rsidRDefault="00950459" w:rsidP="00764A5F">
            <w:pPr>
              <w:pStyle w:val="TableTextS5"/>
              <w:rPr>
                <w:rStyle w:val="Artref"/>
                <w:color w:val="000000"/>
              </w:rPr>
            </w:pP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</w:r>
            <w:r w:rsidRPr="00F95D3F">
              <w:t>5.149</w:t>
            </w:r>
            <w:r w:rsidRPr="00F95D3F">
              <w:rPr>
                <w:color w:val="000000"/>
              </w:rPr>
              <w:t xml:space="preserve">  </w:t>
            </w:r>
            <w:r w:rsidRPr="00F95D3F">
              <w:t>5.561A</w:t>
            </w:r>
          </w:p>
        </w:tc>
      </w:tr>
      <w:tr w:rsidR="007F3F42" w:rsidRPr="00F95D3F" w14:paraId="3C53210E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BCBB" w14:textId="77777777" w:rsidR="007F3F42" w:rsidRPr="00F95D3F" w:rsidRDefault="00950459" w:rsidP="00764A5F">
            <w:pPr>
              <w:pStyle w:val="TableTextS5"/>
              <w:rPr>
                <w:color w:val="000000"/>
              </w:rPr>
            </w:pPr>
            <w:r w:rsidRPr="00F95D3F">
              <w:rPr>
                <w:rStyle w:val="Tablefreq"/>
              </w:rPr>
              <w:t>84</w:t>
            </w:r>
            <w:r>
              <w:rPr>
                <w:rStyle w:val="Tablefreq"/>
              </w:rPr>
              <w:t>-</w:t>
            </w:r>
            <w:r w:rsidRPr="00F95D3F">
              <w:rPr>
                <w:rStyle w:val="Tablefreq"/>
              </w:rPr>
              <w:t>86</w:t>
            </w: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  <w:t xml:space="preserve">FIXE </w:t>
            </w:r>
            <w:r>
              <w:rPr>
                <w:color w:val="000000"/>
              </w:rPr>
              <w:t>5.</w:t>
            </w:r>
            <w:r w:rsidRPr="00F95D3F">
              <w:rPr>
                <w:color w:val="000000"/>
              </w:rPr>
              <w:t>338A</w:t>
            </w:r>
          </w:p>
          <w:p w14:paraId="5B6E0555" w14:textId="77777777" w:rsidR="007F3F42" w:rsidRPr="00F95D3F" w:rsidRDefault="00950459" w:rsidP="00764A5F">
            <w:pPr>
              <w:pStyle w:val="TableTextS5"/>
              <w:rPr>
                <w:color w:val="000000"/>
              </w:rPr>
            </w:pP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  <w:t>FIXE PAR SATELLITE (Terre vers espace)  5.561B</w:t>
            </w:r>
          </w:p>
          <w:p w14:paraId="26CF7EF3" w14:textId="77777777" w:rsidR="007F3F42" w:rsidRPr="00F95D3F" w:rsidRDefault="00950459" w:rsidP="00764A5F">
            <w:pPr>
              <w:pStyle w:val="TableTextS5"/>
              <w:rPr>
                <w:color w:val="000000"/>
              </w:rPr>
            </w:pP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  <w:t>MOBILE</w:t>
            </w:r>
          </w:p>
          <w:p w14:paraId="0145E76E" w14:textId="77777777" w:rsidR="007F3F42" w:rsidRPr="00F95D3F" w:rsidRDefault="00950459" w:rsidP="00764A5F">
            <w:pPr>
              <w:pStyle w:val="TableTextS5"/>
              <w:rPr>
                <w:color w:val="000000"/>
              </w:rPr>
            </w:pP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  <w:t>RADIOASTRONOMIE</w:t>
            </w:r>
          </w:p>
          <w:p w14:paraId="71CC0E72" w14:textId="77777777" w:rsidR="007F3F42" w:rsidRPr="00F95D3F" w:rsidRDefault="00950459" w:rsidP="00764A5F">
            <w:pPr>
              <w:pStyle w:val="TableTextS5"/>
            </w:pP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</w:r>
            <w:r w:rsidRPr="00F95D3F">
              <w:rPr>
                <w:color w:val="000000"/>
              </w:rPr>
              <w:tab/>
            </w:r>
            <w:r w:rsidRPr="00F95D3F">
              <w:t>5.149</w:t>
            </w:r>
          </w:p>
        </w:tc>
      </w:tr>
    </w:tbl>
    <w:p w14:paraId="0E62E171" w14:textId="4FE6899C" w:rsidR="00B52240" w:rsidRDefault="00950459" w:rsidP="00764A5F">
      <w:pPr>
        <w:pStyle w:val="Reasons"/>
      </w:pPr>
      <w:r w:rsidRPr="00B52240">
        <w:rPr>
          <w:b/>
        </w:rPr>
        <w:t>Motifs:</w:t>
      </w:r>
      <w:r w:rsidRPr="00B52240">
        <w:tab/>
      </w:r>
      <w:r w:rsidR="00B52240">
        <w:t>L'absence de modification concernant</w:t>
      </w:r>
      <w:r w:rsidR="00B52240" w:rsidRPr="000850EE">
        <w:t xml:space="preserve"> la </w:t>
      </w:r>
      <w:r w:rsidR="0066632E">
        <w:t>gamme</w:t>
      </w:r>
      <w:r w:rsidR="00B52240" w:rsidRPr="000850EE">
        <w:t xml:space="preserve"> de fréquences </w:t>
      </w:r>
      <w:r w:rsidR="00B52240">
        <w:t>81-8</w:t>
      </w:r>
      <w:r w:rsidR="00B52240" w:rsidRPr="000850EE">
        <w:t xml:space="preserve">6 GHz </w:t>
      </w:r>
      <w:r w:rsidR="0066632E">
        <w:t>permet</w:t>
      </w:r>
      <w:r w:rsidR="00B52240" w:rsidRPr="000850EE">
        <w:t xml:space="preserve"> une utilisation accrue de ce</w:t>
      </w:r>
      <w:r w:rsidR="00B52240">
        <w:t>s bandes</w:t>
      </w:r>
      <w:r w:rsidR="00B52240" w:rsidRPr="000850EE">
        <w:t xml:space="preserve"> pour le raccordement et d'autres </w:t>
      </w:r>
      <w:r w:rsidR="004B1408">
        <w:t>applications du</w:t>
      </w:r>
      <w:r w:rsidR="00B52240">
        <w:t xml:space="preserve"> service fixe </w:t>
      </w:r>
      <w:r w:rsidR="0066632E">
        <w:t>à l'appui des</w:t>
      </w:r>
      <w:r w:rsidR="00B52240">
        <w:t xml:space="preserve"> IMT-2020 et facilite la compatibilité avec les radars automobiles dans la bande adjacente </w:t>
      </w:r>
      <w:r w:rsidR="00B52240" w:rsidRPr="000850EE">
        <w:t>76-81 GHz.</w:t>
      </w:r>
    </w:p>
    <w:p w14:paraId="73DFDCA1" w14:textId="69C0394B" w:rsidR="00950459" w:rsidRDefault="00950459" w:rsidP="00764A5F">
      <w:pPr>
        <w:jc w:val="center"/>
      </w:pPr>
      <w:r>
        <w:t>______________</w:t>
      </w:r>
    </w:p>
    <w:sectPr w:rsidR="00950459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17574" w14:textId="77777777" w:rsidR="0070076C" w:rsidRDefault="0070076C">
      <w:r>
        <w:separator/>
      </w:r>
    </w:p>
  </w:endnote>
  <w:endnote w:type="continuationSeparator" w:id="0">
    <w:p w14:paraId="28DC5426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AE856" w14:textId="5FF1BA86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125A3">
      <w:rPr>
        <w:noProof/>
        <w:lang w:val="en-US"/>
      </w:rPr>
      <w:t>P:\FRA\ITU-R\CONF-R\CMR19\000\011ADD13ADD06F.docx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125A3">
      <w:rPr>
        <w:noProof/>
      </w:rPr>
      <w:t>24.09.19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125A3">
      <w:rPr>
        <w:noProof/>
      </w:rPr>
      <w:t>24.09.19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9BDD7" w14:textId="6BCD115F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125A3">
      <w:rPr>
        <w:lang w:val="en-US"/>
      </w:rPr>
      <w:t>P:\FRA\ITU-R\CONF-R\CMR19\000\011ADD13ADD06F.docx</w:t>
    </w:r>
    <w:r>
      <w:fldChar w:fldCharType="end"/>
    </w:r>
    <w:r w:rsidR="00950459" w:rsidRPr="00F8538B">
      <w:rPr>
        <w:lang w:val="en-GB"/>
      </w:rPr>
      <w:t xml:space="preserve"> (460784)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B0923" w14:textId="36A70D43" w:rsidR="00936D25" w:rsidRPr="00950459" w:rsidRDefault="00950459" w:rsidP="00950459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125A3">
      <w:rPr>
        <w:lang w:val="en-US"/>
      </w:rPr>
      <w:t>P:\FRA\ITU-R\CONF-R\CMR19\000\011ADD13ADD06F.docx</w:t>
    </w:r>
    <w:r>
      <w:fldChar w:fldCharType="end"/>
    </w:r>
    <w:r w:rsidRPr="00F8538B">
      <w:rPr>
        <w:lang w:val="en-GB"/>
      </w:rPr>
      <w:t xml:space="preserve"> (460784)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621AF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7BE14800" w14:textId="77777777" w:rsidR="0070076C" w:rsidRDefault="0070076C">
      <w:r>
        <w:continuationSeparator/>
      </w:r>
    </w:p>
  </w:footnote>
  <w:footnote w:id="1">
    <w:p w14:paraId="44BB9F66" w14:textId="4035ADFC" w:rsidR="00601CFA" w:rsidRPr="00BA7887" w:rsidRDefault="00601CFA" w:rsidP="00BA7887">
      <w:pPr>
        <w:pStyle w:val="FootnoteText"/>
        <w:rPr>
          <w:szCs w:val="24"/>
        </w:rPr>
      </w:pPr>
      <w:r w:rsidRPr="00DE57FD">
        <w:rPr>
          <w:rStyle w:val="FootnoteReference"/>
          <w:szCs w:val="24"/>
        </w:rPr>
        <w:footnoteRef/>
      </w:r>
      <w:r w:rsidRPr="00BA7887">
        <w:rPr>
          <w:szCs w:val="24"/>
        </w:rPr>
        <w:tab/>
      </w:r>
      <w:r w:rsidR="00BA7887" w:rsidRPr="00BA7887">
        <w:rPr>
          <w:szCs w:val="24"/>
        </w:rPr>
        <w:t>Faits et chiffres sur les TIC pour</w:t>
      </w:r>
      <w:r w:rsidRPr="00BA7887">
        <w:rPr>
          <w:szCs w:val="24"/>
        </w:rPr>
        <w:t xml:space="preserve"> 2017, p</w:t>
      </w:r>
      <w:r w:rsidR="00BA7887">
        <w:rPr>
          <w:szCs w:val="24"/>
        </w:rPr>
        <w:t>ages</w:t>
      </w:r>
      <w:r w:rsidRPr="00BA7887">
        <w:rPr>
          <w:szCs w:val="24"/>
        </w:rPr>
        <w:t xml:space="preserve"> 4 </w:t>
      </w:r>
      <w:r w:rsidR="00BA7887">
        <w:rPr>
          <w:szCs w:val="24"/>
        </w:rPr>
        <w:t>et</w:t>
      </w:r>
      <w:r w:rsidRPr="00BA7887">
        <w:rPr>
          <w:szCs w:val="24"/>
        </w:rPr>
        <w:t xml:space="preserve"> 5. </w:t>
      </w:r>
      <w:r w:rsidR="00BA7887" w:rsidRPr="00BA7887">
        <w:rPr>
          <w:szCs w:val="24"/>
        </w:rPr>
        <w:t>Voir</w:t>
      </w:r>
      <w:r w:rsidRPr="00BA7887">
        <w:rPr>
          <w:szCs w:val="24"/>
        </w:rPr>
        <w:t xml:space="preserve">: </w:t>
      </w:r>
      <w:hyperlink r:id="rId1" w:history="1">
        <w:r w:rsidR="008B6870" w:rsidRPr="00B57E7D">
          <w:rPr>
            <w:rStyle w:val="Hyperlink"/>
            <w:szCs w:val="24"/>
          </w:rPr>
          <w:t>https://www.itu.int/en/ITU-D/Statistics/Documents/facts/ICTFactsFigures2017.pdf</w:t>
        </w:r>
      </w:hyperlink>
      <w:r w:rsidR="008B6870">
        <w:rPr>
          <w:szCs w:val="24"/>
        </w:rPr>
        <w:t>.</w:t>
      </w:r>
    </w:p>
  </w:footnote>
  <w:footnote w:id="2">
    <w:p w14:paraId="6CDEE24B" w14:textId="77777777" w:rsidR="00601CFA" w:rsidRPr="00CD425D" w:rsidRDefault="00601CFA" w:rsidP="00601CFA">
      <w:pPr>
        <w:pStyle w:val="FootnoteText"/>
        <w:rPr>
          <w:rPrChange w:id="6" w:author="Bontemps, Anne-Marie" w:date="2019-09-23T09:56:00Z">
            <w:rPr>
              <w:lang w:val="en-GB"/>
            </w:rPr>
          </w:rPrChange>
        </w:rPr>
      </w:pPr>
      <w:r>
        <w:rPr>
          <w:rStyle w:val="FootnoteReference"/>
        </w:rPr>
        <w:footnoteRef/>
      </w:r>
      <w:r w:rsidRPr="00CD425D">
        <w:rPr>
          <w:rPrChange w:id="7" w:author="Bontemps, Anne-Marie" w:date="2019-09-23T09:56:00Z">
            <w:rPr>
              <w:lang w:val="en-GB"/>
            </w:rPr>
          </w:rPrChange>
        </w:rPr>
        <w:tab/>
      </w:r>
      <w:r w:rsidR="003C02FD">
        <w:fldChar w:fldCharType="begin"/>
      </w:r>
      <w:r w:rsidR="003C02FD">
        <w:instrText xml:space="preserve"> HYPERLINK "https://docs.fcc.gov/public/attachments/FCC-17-152A1.pdf" </w:instrText>
      </w:r>
      <w:r w:rsidR="003C02FD">
        <w:fldChar w:fldCharType="separate"/>
      </w:r>
      <w:r w:rsidRPr="00CD425D">
        <w:rPr>
          <w:rStyle w:val="Hyperlink"/>
          <w:rPrChange w:id="8" w:author="Bontemps, Anne-Marie" w:date="2019-09-23T09:56:00Z">
            <w:rPr>
              <w:rStyle w:val="Hyperlink"/>
              <w:lang w:val="en-GB"/>
            </w:rPr>
          </w:rPrChange>
        </w:rPr>
        <w:t>https://docs.fcc.gov/public/attachments/FCC-17-152A1.pdf</w:t>
      </w:r>
      <w:r w:rsidR="003C02FD">
        <w:rPr>
          <w:rStyle w:val="Hyperlink"/>
          <w:lang w:val="en-GB"/>
        </w:rPr>
        <w:fldChar w:fldCharType="end"/>
      </w:r>
      <w:r w:rsidRPr="00CD425D">
        <w:rPr>
          <w:rPrChange w:id="9" w:author="Bontemps, Anne-Marie" w:date="2019-09-23T09:56:00Z">
            <w:rPr>
              <w:lang w:val="en-GB"/>
            </w:rPr>
          </w:rPrChange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3AAE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C252B">
      <w:rPr>
        <w:noProof/>
      </w:rPr>
      <w:t>5</w:t>
    </w:r>
    <w:r>
      <w:fldChar w:fldCharType="end"/>
    </w:r>
  </w:p>
  <w:p w14:paraId="61D5E426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11(Add.13)(Add.6)-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ntemps, Anne-Marie">
    <w15:presenceInfo w15:providerId="AD" w15:userId="S::anne-marie.bontemps@itu.int::75a1e56e-4d21-41c8-a1b5-35327ab2c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50EE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874DF"/>
    <w:rsid w:val="00192A5C"/>
    <w:rsid w:val="0019352B"/>
    <w:rsid w:val="001960D0"/>
    <w:rsid w:val="001A11F6"/>
    <w:rsid w:val="001C7BD8"/>
    <w:rsid w:val="001D04F3"/>
    <w:rsid w:val="001E295B"/>
    <w:rsid w:val="001F17E8"/>
    <w:rsid w:val="00204306"/>
    <w:rsid w:val="00232FD2"/>
    <w:rsid w:val="0026554E"/>
    <w:rsid w:val="002A4622"/>
    <w:rsid w:val="002A6F8F"/>
    <w:rsid w:val="002B083B"/>
    <w:rsid w:val="002B17E5"/>
    <w:rsid w:val="002C0EBF"/>
    <w:rsid w:val="002C28A4"/>
    <w:rsid w:val="002D7E0A"/>
    <w:rsid w:val="00315AFE"/>
    <w:rsid w:val="0035640B"/>
    <w:rsid w:val="003606A6"/>
    <w:rsid w:val="0036650C"/>
    <w:rsid w:val="003735A5"/>
    <w:rsid w:val="00385EA5"/>
    <w:rsid w:val="00393ACD"/>
    <w:rsid w:val="003A583E"/>
    <w:rsid w:val="003C02FD"/>
    <w:rsid w:val="003E112B"/>
    <w:rsid w:val="003E1D1C"/>
    <w:rsid w:val="003E7B05"/>
    <w:rsid w:val="003F3719"/>
    <w:rsid w:val="003F6F2D"/>
    <w:rsid w:val="00432818"/>
    <w:rsid w:val="00466211"/>
    <w:rsid w:val="00483196"/>
    <w:rsid w:val="004834A9"/>
    <w:rsid w:val="004B1408"/>
    <w:rsid w:val="004C534A"/>
    <w:rsid w:val="004D01FC"/>
    <w:rsid w:val="004D115D"/>
    <w:rsid w:val="004E28C3"/>
    <w:rsid w:val="004F1F8E"/>
    <w:rsid w:val="00512A32"/>
    <w:rsid w:val="005343DA"/>
    <w:rsid w:val="00560874"/>
    <w:rsid w:val="00586CF2"/>
    <w:rsid w:val="0058721B"/>
    <w:rsid w:val="005A7C75"/>
    <w:rsid w:val="005C3768"/>
    <w:rsid w:val="005C6C3F"/>
    <w:rsid w:val="005F63A7"/>
    <w:rsid w:val="00601CFA"/>
    <w:rsid w:val="006125A3"/>
    <w:rsid w:val="00613635"/>
    <w:rsid w:val="0062093D"/>
    <w:rsid w:val="00635A37"/>
    <w:rsid w:val="00637ECF"/>
    <w:rsid w:val="00647B59"/>
    <w:rsid w:val="0066632E"/>
    <w:rsid w:val="00672361"/>
    <w:rsid w:val="00690C7B"/>
    <w:rsid w:val="006A4B45"/>
    <w:rsid w:val="006D3D73"/>
    <w:rsid w:val="006D4724"/>
    <w:rsid w:val="006F5FA2"/>
    <w:rsid w:val="0070076C"/>
    <w:rsid w:val="00701BAE"/>
    <w:rsid w:val="00716E00"/>
    <w:rsid w:val="00721F04"/>
    <w:rsid w:val="00730E95"/>
    <w:rsid w:val="007426B9"/>
    <w:rsid w:val="00752D01"/>
    <w:rsid w:val="0075300B"/>
    <w:rsid w:val="00764342"/>
    <w:rsid w:val="00764A5F"/>
    <w:rsid w:val="00774362"/>
    <w:rsid w:val="00784B8B"/>
    <w:rsid w:val="00786598"/>
    <w:rsid w:val="00790C74"/>
    <w:rsid w:val="007A04E8"/>
    <w:rsid w:val="007B2C34"/>
    <w:rsid w:val="007C00A7"/>
    <w:rsid w:val="007E4887"/>
    <w:rsid w:val="008108C0"/>
    <w:rsid w:val="00830086"/>
    <w:rsid w:val="00851625"/>
    <w:rsid w:val="00863C0A"/>
    <w:rsid w:val="00885C13"/>
    <w:rsid w:val="008A3120"/>
    <w:rsid w:val="008A4B97"/>
    <w:rsid w:val="008B6870"/>
    <w:rsid w:val="008C252B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50459"/>
    <w:rsid w:val="00964700"/>
    <w:rsid w:val="00966C16"/>
    <w:rsid w:val="00977650"/>
    <w:rsid w:val="00986FCD"/>
    <w:rsid w:val="0098732F"/>
    <w:rsid w:val="009A045F"/>
    <w:rsid w:val="009A6A2B"/>
    <w:rsid w:val="009C7A56"/>
    <w:rsid w:val="009C7E7C"/>
    <w:rsid w:val="009D25AA"/>
    <w:rsid w:val="009D3CD3"/>
    <w:rsid w:val="009D682E"/>
    <w:rsid w:val="00A00473"/>
    <w:rsid w:val="00A03C9B"/>
    <w:rsid w:val="00A37105"/>
    <w:rsid w:val="00A43AF1"/>
    <w:rsid w:val="00A606C3"/>
    <w:rsid w:val="00A83B09"/>
    <w:rsid w:val="00A84541"/>
    <w:rsid w:val="00AD6862"/>
    <w:rsid w:val="00AE36A0"/>
    <w:rsid w:val="00B00294"/>
    <w:rsid w:val="00B3749C"/>
    <w:rsid w:val="00B52240"/>
    <w:rsid w:val="00B64FD0"/>
    <w:rsid w:val="00B92447"/>
    <w:rsid w:val="00BA5BD0"/>
    <w:rsid w:val="00BA7887"/>
    <w:rsid w:val="00BB1D82"/>
    <w:rsid w:val="00BB7677"/>
    <w:rsid w:val="00BD51C5"/>
    <w:rsid w:val="00BF26E7"/>
    <w:rsid w:val="00BF7C4C"/>
    <w:rsid w:val="00C049D8"/>
    <w:rsid w:val="00C53FCA"/>
    <w:rsid w:val="00C73A54"/>
    <w:rsid w:val="00C76BAF"/>
    <w:rsid w:val="00C814B9"/>
    <w:rsid w:val="00C97884"/>
    <w:rsid w:val="00CD425D"/>
    <w:rsid w:val="00CD516F"/>
    <w:rsid w:val="00D119A7"/>
    <w:rsid w:val="00D25FBA"/>
    <w:rsid w:val="00D32B28"/>
    <w:rsid w:val="00D42954"/>
    <w:rsid w:val="00D64BF7"/>
    <w:rsid w:val="00D66EAC"/>
    <w:rsid w:val="00D730DF"/>
    <w:rsid w:val="00D772F0"/>
    <w:rsid w:val="00D77BDC"/>
    <w:rsid w:val="00DC402B"/>
    <w:rsid w:val="00DE0932"/>
    <w:rsid w:val="00DF7F94"/>
    <w:rsid w:val="00E03A27"/>
    <w:rsid w:val="00E049F1"/>
    <w:rsid w:val="00E37A25"/>
    <w:rsid w:val="00E537FF"/>
    <w:rsid w:val="00E6539B"/>
    <w:rsid w:val="00E70A31"/>
    <w:rsid w:val="00E723A7"/>
    <w:rsid w:val="00E752DA"/>
    <w:rsid w:val="00EA3F38"/>
    <w:rsid w:val="00EA5AB6"/>
    <w:rsid w:val="00EA7CDC"/>
    <w:rsid w:val="00EC7615"/>
    <w:rsid w:val="00ED16AA"/>
    <w:rsid w:val="00ED6B8D"/>
    <w:rsid w:val="00EE3D7B"/>
    <w:rsid w:val="00EF662E"/>
    <w:rsid w:val="00F10064"/>
    <w:rsid w:val="00F148F1"/>
    <w:rsid w:val="00F711A7"/>
    <w:rsid w:val="00F8538B"/>
    <w:rsid w:val="00FA3BBF"/>
    <w:rsid w:val="00FC41F8"/>
    <w:rsid w:val="00FD7AA3"/>
    <w:rsid w:val="00FF1C40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6D94455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qFormat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qFormat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customStyle="1" w:styleId="enumlev1Char">
    <w:name w:val="enumlev1 Char"/>
    <w:basedOn w:val="DefaultParagraphFont"/>
    <w:link w:val="enumlev1"/>
    <w:qFormat/>
    <w:locked/>
    <w:rsid w:val="004D115D"/>
    <w:rPr>
      <w:rFonts w:ascii="Times New Roman" w:hAnsi="Times New Roman"/>
      <w:sz w:val="24"/>
      <w:lang w:val="fr-FR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qFormat/>
    <w:rsid w:val="004D115D"/>
    <w:rPr>
      <w:rFonts w:ascii="Times New Roman" w:hAnsi="Times New Roman"/>
      <w:sz w:val="24"/>
      <w:lang w:val="fr-FR" w:eastAsia="en-US"/>
    </w:rPr>
  </w:style>
  <w:style w:type="character" w:styleId="Hyperlink">
    <w:name w:val="Hyperlink"/>
    <w:aliases w:val="超级链接,CEO_Hyperlink"/>
    <w:uiPriority w:val="99"/>
    <w:qFormat/>
    <w:rsid w:val="00601C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8538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8538B"/>
    <w:rPr>
      <w:rFonts w:ascii="Segoe UI" w:hAnsi="Segoe UI" w:cs="Segoe UI"/>
      <w:sz w:val="18"/>
      <w:szCs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192A5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Statistics/Documents/facts/ICTFactsFigures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R16-WRC19-C-0011!A13-A6!MSW-F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5D322-8CA3-4BD0-9A3E-C283D15254C7}">
  <ds:schemaRefs>
    <ds:schemaRef ds:uri="32a1a8c5-2265-4ebc-b7a0-2071e2c5c9bb"/>
    <ds:schemaRef ds:uri="http://purl.org/dc/dcmitype/"/>
    <ds:schemaRef ds:uri="http://schemas.openxmlformats.org/package/2006/metadata/core-properties"/>
    <ds:schemaRef ds:uri="996b2e75-67fd-4955-a3b0-5ab9934cb50b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CDAC8AE-162F-4039-B4F0-CE2E3959B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D93854-1E46-4721-A782-502CFE3C5C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D701902-1934-4A25-9A76-69D085C0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905</Words>
  <Characters>5154</Characters>
  <Application>Microsoft Office Word</Application>
  <DocSecurity>0</DocSecurity>
  <Lines>125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R16-WRC19-C-0011!A13-A6!MSW-F</vt:lpstr>
    </vt:vector>
  </TitlesOfParts>
  <Manager>Secrétariat général - Pool</Manager>
  <Company>Union internationale des télécommunications (UIT)</Company>
  <LinksUpToDate>false</LinksUpToDate>
  <CharactersWithSpaces>5987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R16-WRC19-C-0011!A13-A6!MSW-F</dc:title>
  <dc:subject>Conférence mondiale des radiocommunications - 2019</dc:subject>
  <dc:creator>Documents Proposals Manager (DPM)</dc:creator>
  <cp:keywords>DPM_v2019.9.18.2_prod</cp:keywords>
  <dc:description/>
  <cp:lastModifiedBy>Barbier, Marie-Claire</cp:lastModifiedBy>
  <cp:revision>12</cp:revision>
  <cp:lastPrinted>2019-09-24T07:41:00Z</cp:lastPrinted>
  <dcterms:created xsi:type="dcterms:W3CDTF">2019-09-23T08:10:00Z</dcterms:created>
  <dcterms:modified xsi:type="dcterms:W3CDTF">2019-09-24T07:42:00Z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