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246AD6" w:rsidTr="00D919CC">
        <w:trPr>
          <w:cantSplit/>
        </w:trPr>
        <w:tc>
          <w:tcPr>
            <w:tcW w:w="6804" w:type="dxa"/>
          </w:tcPr>
          <w:p w:rsidR="00BB1D82" w:rsidRPr="00246AD6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246AD6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246AD6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246AD6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246AD6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246AD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227" w:type="dxa"/>
          </w:tcPr>
          <w:p w:rsidR="00BB1D82" w:rsidRPr="00246AD6" w:rsidRDefault="000A55AE" w:rsidP="002C28A4">
            <w:pPr>
              <w:spacing w:before="0" w:line="240" w:lineRule="atLeast"/>
              <w:jc w:val="right"/>
              <w:rPr>
                <w:lang w:val="fr-CH"/>
              </w:rPr>
            </w:pPr>
            <w:r w:rsidRPr="00246AD6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46AD6" w:rsidTr="00D919CC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BB1D82" w:rsidRPr="00246AD6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B1D82" w:rsidRPr="00246AD6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246AD6" w:rsidTr="00D919C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BB1D82" w:rsidRPr="00246AD6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B1D82" w:rsidRPr="00246AD6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246AD6" w:rsidTr="00D919CC">
        <w:trPr>
          <w:cantSplit/>
        </w:trPr>
        <w:tc>
          <w:tcPr>
            <w:tcW w:w="6804" w:type="dxa"/>
          </w:tcPr>
          <w:p w:rsidR="00BB1D82" w:rsidRPr="00246AD6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46AD6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27" w:type="dxa"/>
          </w:tcPr>
          <w:p w:rsidR="00BB1D82" w:rsidRPr="00246AD6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246AD6">
              <w:rPr>
                <w:rFonts w:ascii="Verdana" w:hAnsi="Verdana"/>
                <w:b/>
                <w:sz w:val="20"/>
                <w:lang w:val="fr-CH"/>
              </w:rPr>
              <w:t>Addendum 12 au</w:t>
            </w:r>
            <w:r w:rsidRPr="00246AD6">
              <w:rPr>
                <w:rFonts w:ascii="Verdana" w:hAnsi="Verdana"/>
                <w:b/>
                <w:sz w:val="20"/>
                <w:lang w:val="fr-CH"/>
              </w:rPr>
              <w:br/>
              <w:t>Document 11</w:t>
            </w:r>
            <w:r w:rsidR="00BB1D82" w:rsidRPr="00246AD6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246AD6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246AD6" w:rsidTr="00D919CC">
        <w:trPr>
          <w:cantSplit/>
        </w:trPr>
        <w:tc>
          <w:tcPr>
            <w:tcW w:w="6804" w:type="dxa"/>
          </w:tcPr>
          <w:p w:rsidR="00690C7B" w:rsidRPr="00246AD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27" w:type="dxa"/>
          </w:tcPr>
          <w:p w:rsidR="00690C7B" w:rsidRPr="00246AD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46AD6">
              <w:rPr>
                <w:rFonts w:ascii="Verdana" w:hAnsi="Verdana"/>
                <w:b/>
                <w:sz w:val="20"/>
                <w:lang w:val="fr-CH"/>
              </w:rPr>
              <w:t>24 juin 2019</w:t>
            </w:r>
          </w:p>
        </w:tc>
      </w:tr>
      <w:tr w:rsidR="00690C7B" w:rsidRPr="00246AD6" w:rsidTr="00D919CC">
        <w:trPr>
          <w:cantSplit/>
        </w:trPr>
        <w:tc>
          <w:tcPr>
            <w:tcW w:w="6804" w:type="dxa"/>
          </w:tcPr>
          <w:p w:rsidR="00690C7B" w:rsidRPr="00246AD6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</w:tcPr>
          <w:p w:rsidR="00690C7B" w:rsidRPr="00246AD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46AD6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  <w:r w:rsidR="00D919CC">
              <w:rPr>
                <w:rFonts w:ascii="Verdana" w:hAnsi="Verdana"/>
                <w:b/>
                <w:sz w:val="20"/>
                <w:lang w:val="fr-CH"/>
              </w:rPr>
              <w:t>/espagnol</w:t>
            </w:r>
          </w:p>
        </w:tc>
      </w:tr>
      <w:tr w:rsidR="00690C7B" w:rsidRPr="00246AD6" w:rsidTr="00C11970">
        <w:trPr>
          <w:cantSplit/>
        </w:trPr>
        <w:tc>
          <w:tcPr>
            <w:tcW w:w="10031" w:type="dxa"/>
            <w:gridSpan w:val="2"/>
          </w:tcPr>
          <w:p w:rsidR="00690C7B" w:rsidRPr="00246AD6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246AD6" w:rsidTr="0050008E">
        <w:trPr>
          <w:cantSplit/>
        </w:trPr>
        <w:tc>
          <w:tcPr>
            <w:tcW w:w="10031" w:type="dxa"/>
            <w:gridSpan w:val="2"/>
          </w:tcPr>
          <w:p w:rsidR="00690C7B" w:rsidRPr="00246AD6" w:rsidRDefault="00246AD6" w:rsidP="00690C7B">
            <w:pPr>
              <w:pStyle w:val="Source"/>
              <w:rPr>
                <w:lang w:val="fr-CH"/>
              </w:rPr>
            </w:pPr>
            <w:bookmarkStart w:id="1" w:name="dsource" w:colFirst="0" w:colLast="0"/>
            <w:r>
              <w:rPr>
                <w:lang w:val="fr-CH"/>
              </w:rPr>
              <w:t>É</w:t>
            </w:r>
            <w:r w:rsidR="00690C7B" w:rsidRPr="00246AD6">
              <w:rPr>
                <w:lang w:val="fr-CH"/>
              </w:rPr>
              <w:t>tats Membres de la Commission interaméricaine des télécommunications (CITEL)</w:t>
            </w:r>
          </w:p>
        </w:tc>
      </w:tr>
      <w:tr w:rsidR="00690C7B" w:rsidRPr="00246AD6" w:rsidTr="0050008E">
        <w:trPr>
          <w:cantSplit/>
        </w:trPr>
        <w:tc>
          <w:tcPr>
            <w:tcW w:w="10031" w:type="dxa"/>
            <w:gridSpan w:val="2"/>
          </w:tcPr>
          <w:p w:rsidR="00690C7B" w:rsidRPr="00246AD6" w:rsidRDefault="00AD5915" w:rsidP="00690C7B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>
              <w:rPr>
                <w:lang w:val="fr-CH"/>
              </w:rPr>
              <w:t>PROPOSITIONS POUR LES TRAVAUX DE LA CONFÉRENCE</w:t>
            </w:r>
          </w:p>
        </w:tc>
      </w:tr>
      <w:tr w:rsidR="00690C7B" w:rsidRPr="00246AD6" w:rsidTr="0050008E">
        <w:trPr>
          <w:cantSplit/>
        </w:trPr>
        <w:tc>
          <w:tcPr>
            <w:tcW w:w="10031" w:type="dxa"/>
            <w:gridSpan w:val="2"/>
          </w:tcPr>
          <w:p w:rsidR="00690C7B" w:rsidRPr="00246AD6" w:rsidRDefault="00690C7B" w:rsidP="00690C7B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246AD6" w:rsidTr="0050008E">
        <w:trPr>
          <w:cantSplit/>
        </w:trPr>
        <w:tc>
          <w:tcPr>
            <w:tcW w:w="10031" w:type="dxa"/>
            <w:gridSpan w:val="2"/>
          </w:tcPr>
          <w:p w:rsidR="00690C7B" w:rsidRPr="00246AD6" w:rsidRDefault="00690C7B" w:rsidP="00690C7B">
            <w:pPr>
              <w:pStyle w:val="Agendaitem"/>
            </w:pPr>
            <w:bookmarkStart w:id="4" w:name="dtitle3" w:colFirst="0" w:colLast="0"/>
            <w:bookmarkEnd w:id="3"/>
            <w:r w:rsidRPr="00246AD6">
              <w:t>Point 1.12 de l'ordre du jour</w:t>
            </w:r>
          </w:p>
        </w:tc>
      </w:tr>
    </w:tbl>
    <w:bookmarkEnd w:id="4"/>
    <w:p w:rsidR="001C0E40" w:rsidRPr="00246AD6" w:rsidRDefault="0086372C" w:rsidP="001E2D66">
      <w:pPr>
        <w:pStyle w:val="Normalaftertitle"/>
        <w:rPr>
          <w:lang w:val="fr-CH"/>
        </w:rPr>
      </w:pPr>
      <w:r w:rsidRPr="00246AD6">
        <w:rPr>
          <w:lang w:val="fr-CH"/>
        </w:rPr>
        <w:t>1.12</w:t>
      </w:r>
      <w:r w:rsidRPr="00246AD6">
        <w:rPr>
          <w:lang w:val="fr-CH"/>
        </w:rPr>
        <w:tab/>
        <w:t xml:space="preserve">examiner d'éventuelles bandes de fréquences harmonisées à l'échelle mondiale ou régionale, dans toute la mesure possible, pour la mise en </w:t>
      </w:r>
      <w:r w:rsidR="00246AD6" w:rsidRPr="00246AD6">
        <w:rPr>
          <w:lang w:val="fr-CH"/>
        </w:rPr>
        <w:t>œuvre</w:t>
      </w:r>
      <w:r w:rsidRPr="00246AD6">
        <w:rPr>
          <w:lang w:val="fr-CH"/>
        </w:rPr>
        <w:t xml:space="preserve"> des systèmes de transport intelligents (ITS) en évolution dans le cadre des attributions existantes au service mobile, conformément à la Résolution </w:t>
      </w:r>
      <w:r w:rsidRPr="00246AD6">
        <w:rPr>
          <w:b/>
          <w:bCs/>
          <w:lang w:val="fr-CH"/>
        </w:rPr>
        <w:t>237 (CMR-15)</w:t>
      </w:r>
      <w:r w:rsidRPr="00246AD6">
        <w:rPr>
          <w:lang w:val="fr-CH"/>
        </w:rPr>
        <w:t>;</w:t>
      </w:r>
    </w:p>
    <w:p w:rsidR="00392C55" w:rsidRPr="00246AD6" w:rsidRDefault="00392C55" w:rsidP="00392C55">
      <w:pPr>
        <w:pStyle w:val="Headingb"/>
        <w:rPr>
          <w:lang w:val="fr-CH"/>
        </w:rPr>
      </w:pPr>
      <w:r w:rsidRPr="00246AD6">
        <w:rPr>
          <w:lang w:val="fr-CH"/>
        </w:rPr>
        <w:t>Considérations générales</w:t>
      </w:r>
    </w:p>
    <w:p w:rsidR="00392C55" w:rsidRPr="00246AD6" w:rsidRDefault="00392C55" w:rsidP="00392C55">
      <w:pPr>
        <w:rPr>
          <w:lang w:val="fr-CH"/>
        </w:rPr>
      </w:pPr>
      <w:r w:rsidRPr="00246AD6">
        <w:rPr>
          <w:lang w:val="fr-CH"/>
        </w:rPr>
        <w:t>Les systèmes de transport intelligents (ITS) utilisent</w:t>
      </w:r>
      <w:r w:rsidR="001C45EF" w:rsidRPr="00246AD6">
        <w:rPr>
          <w:lang w:val="fr-CH"/>
        </w:rPr>
        <w:t xml:space="preserve"> d</w:t>
      </w:r>
      <w:r w:rsidRPr="00246AD6">
        <w:rPr>
          <w:lang w:val="fr-CH"/>
        </w:rPr>
        <w:t>es technologies des communications et de l'informatique pour améliorer les applications de transport telles que la sécurité au volant et pour accroître la productivité grâce à l'intégration de technologies des communications évoluées notamment dans l'infrastructure des tra</w:t>
      </w:r>
      <w:r w:rsidR="001C45EF" w:rsidRPr="00246AD6">
        <w:rPr>
          <w:lang w:val="fr-CH"/>
        </w:rPr>
        <w:t xml:space="preserve">nsports et dans les véhicules. </w:t>
      </w:r>
      <w:r w:rsidRPr="00246AD6">
        <w:rPr>
          <w:lang w:val="fr-CH"/>
        </w:rPr>
        <w:t>Les systèmes ITS englobent un large éventail de technologies sans fil et filaires dans les domaines de l'informatique et de l'électronique.</w:t>
      </w:r>
    </w:p>
    <w:p w:rsidR="00392C55" w:rsidRPr="00246AD6" w:rsidRDefault="00392C55" w:rsidP="001C45EF">
      <w:pPr>
        <w:rPr>
          <w:lang w:val="fr-CH"/>
        </w:rPr>
      </w:pPr>
      <w:r w:rsidRPr="00246AD6">
        <w:rPr>
          <w:lang w:val="fr-CH"/>
        </w:rPr>
        <w:t xml:space="preserve">Le point 1.12 de l'ordre du jour de la Conférence mondiale des radiocommunications de 2019 (CMR-19) et la Résolution </w:t>
      </w:r>
      <w:r w:rsidRPr="00246AD6">
        <w:rPr>
          <w:b/>
          <w:bCs/>
          <w:lang w:val="fr-CH"/>
        </w:rPr>
        <w:t>237 (CMR-15)</w:t>
      </w:r>
      <w:r w:rsidRPr="00246AD6">
        <w:rPr>
          <w:lang w:val="fr-CH"/>
        </w:rPr>
        <w:t xml:space="preserve"> associée ont été élaborés à la suite d'efforts déployés par certaines administrations </w:t>
      </w:r>
      <w:r w:rsidR="001C45EF" w:rsidRPr="00246AD6">
        <w:rPr>
          <w:lang w:val="fr-CH"/>
        </w:rPr>
        <w:t>en vue d'</w:t>
      </w:r>
      <w:r w:rsidRPr="00246AD6">
        <w:rPr>
          <w:lang w:val="fr-CH"/>
        </w:rPr>
        <w:t>harmoniser le spectre pour les systèmes de transport intelligents</w:t>
      </w:r>
      <w:r w:rsidR="001C45EF" w:rsidRPr="00246AD6">
        <w:rPr>
          <w:lang w:val="fr-CH"/>
        </w:rPr>
        <w:t xml:space="preserve"> (ITS). </w:t>
      </w:r>
      <w:r w:rsidRPr="00246AD6">
        <w:rPr>
          <w:lang w:val="fr-CH"/>
        </w:rPr>
        <w:t xml:space="preserve">Depuis que l'UIT a entrepris des études sur les systèmes ITS dans les années 1990, </w:t>
      </w:r>
      <w:r w:rsidR="001C45EF" w:rsidRPr="00246AD6">
        <w:rPr>
          <w:lang w:val="fr-CH"/>
        </w:rPr>
        <w:t xml:space="preserve">il y a eu de nombreux changements dans </w:t>
      </w:r>
      <w:r w:rsidRPr="00246AD6">
        <w:rPr>
          <w:lang w:val="fr-CH"/>
        </w:rPr>
        <w:t>l</w:t>
      </w:r>
      <w:r w:rsidR="001C45EF" w:rsidRPr="00246AD6">
        <w:rPr>
          <w:lang w:val="fr-CH"/>
        </w:rPr>
        <w:t>'environnement des systèmes ITS, et</w:t>
      </w:r>
      <w:r w:rsidRPr="00246AD6">
        <w:rPr>
          <w:lang w:val="fr-CH"/>
        </w:rPr>
        <w:t xml:space="preserve"> notamment la mise en œuvre prévue de nouvelles technologies et l'utilisation de diverses gammes de fréquences.</w:t>
      </w:r>
    </w:p>
    <w:p w:rsidR="00392C55" w:rsidRPr="00246AD6" w:rsidRDefault="00392C55" w:rsidP="001E2D66">
      <w:pPr>
        <w:pStyle w:val="Headingb"/>
        <w:rPr>
          <w:lang w:val="fr-CH"/>
        </w:rPr>
      </w:pPr>
      <w:r w:rsidRPr="00246AD6">
        <w:rPr>
          <w:lang w:val="fr-CH"/>
        </w:rPr>
        <w:t>PROPOSITIONS INTERAMÉRICAINES</w:t>
      </w:r>
    </w:p>
    <w:p w:rsidR="00D8458C" w:rsidRPr="00246AD6" w:rsidRDefault="0086372C">
      <w:pPr>
        <w:pStyle w:val="Proposal"/>
        <w:rPr>
          <w:lang w:val="fr-CH"/>
        </w:rPr>
      </w:pPr>
      <w:r w:rsidRPr="00246AD6">
        <w:rPr>
          <w:u w:val="single"/>
          <w:lang w:val="fr-CH"/>
        </w:rPr>
        <w:t>NOC</w:t>
      </w:r>
      <w:r w:rsidRPr="00246AD6">
        <w:rPr>
          <w:lang w:val="fr-CH"/>
        </w:rPr>
        <w:tab/>
        <w:t>IAP/11A12/1</w:t>
      </w:r>
    </w:p>
    <w:p w:rsidR="00DC48DB" w:rsidRPr="00246AD6" w:rsidRDefault="0086372C" w:rsidP="00F116C7">
      <w:pPr>
        <w:pStyle w:val="Volumetitle"/>
        <w:rPr>
          <w:bCs/>
        </w:rPr>
      </w:pPr>
      <w:bookmarkStart w:id="5" w:name="_Toc455752901"/>
      <w:bookmarkStart w:id="6" w:name="_Toc455756140"/>
      <w:r w:rsidRPr="00246AD6">
        <w:rPr>
          <w:bCs/>
        </w:rPr>
        <w:t>ARTICLES</w:t>
      </w:r>
      <w:bookmarkEnd w:id="5"/>
      <w:bookmarkEnd w:id="6"/>
    </w:p>
    <w:p w:rsidR="00D8458C" w:rsidRPr="00246AD6" w:rsidRDefault="0086372C">
      <w:pPr>
        <w:pStyle w:val="Reasons"/>
        <w:rPr>
          <w:lang w:val="fr-CH"/>
        </w:rPr>
      </w:pPr>
      <w:r w:rsidRPr="00246AD6">
        <w:rPr>
          <w:b/>
          <w:lang w:val="fr-CH"/>
        </w:rPr>
        <w:t>Motifs:</w:t>
      </w:r>
      <w:r w:rsidRPr="00246AD6">
        <w:rPr>
          <w:lang w:val="fr-CH"/>
        </w:rPr>
        <w:tab/>
      </w:r>
      <w:r w:rsidR="00392C55" w:rsidRPr="00246AD6">
        <w:rPr>
          <w:lang w:val="fr-CH"/>
        </w:rPr>
        <w:t>Il est inutile d'identifier des bandes de fréquences spécifiquement pour les systèmes de transport intelligents. L'harmonisation à l'échelle régionale et mondiale peut être assurée moyennant l'élaboration de Rapports et de Recommandations de l'UIT</w:t>
      </w:r>
      <w:r w:rsidR="00392C55" w:rsidRPr="00246AD6">
        <w:rPr>
          <w:lang w:val="fr-CH"/>
        </w:rPr>
        <w:noBreakHyphen/>
        <w:t xml:space="preserve">R pertinents. Par conséquent, aucune </w:t>
      </w:r>
      <w:r w:rsidR="00392C55" w:rsidRPr="00246AD6">
        <w:rPr>
          <w:lang w:val="fr-CH"/>
        </w:rPr>
        <w:lastRenderedPageBreak/>
        <w:t>modification du Règlement des radiocommunications ou mesure réglementaire n'est nécessaire au titre de ce point de l'ordre du jour.</w:t>
      </w:r>
    </w:p>
    <w:p w:rsidR="00D8458C" w:rsidRPr="00246AD6" w:rsidRDefault="0086372C">
      <w:pPr>
        <w:pStyle w:val="Proposal"/>
        <w:rPr>
          <w:lang w:val="fr-CH"/>
        </w:rPr>
      </w:pPr>
      <w:r w:rsidRPr="00246AD6">
        <w:rPr>
          <w:u w:val="single"/>
          <w:lang w:val="fr-CH"/>
        </w:rPr>
        <w:t>NOC</w:t>
      </w:r>
      <w:r w:rsidRPr="00246AD6">
        <w:rPr>
          <w:lang w:val="fr-CH"/>
        </w:rPr>
        <w:tab/>
        <w:t>IAP/11A12/2</w:t>
      </w:r>
    </w:p>
    <w:p w:rsidR="00D5115B" w:rsidRPr="00246AD6" w:rsidRDefault="0086372C" w:rsidP="00D5115B">
      <w:pPr>
        <w:pStyle w:val="Volumetitle"/>
      </w:pPr>
      <w:bookmarkStart w:id="7" w:name="_Toc327956568"/>
      <w:r w:rsidRPr="00246AD6">
        <w:t>APPENDICES</w:t>
      </w:r>
      <w:bookmarkEnd w:id="7"/>
    </w:p>
    <w:p w:rsidR="00D8458C" w:rsidRPr="00246AD6" w:rsidRDefault="0086372C">
      <w:pPr>
        <w:pStyle w:val="Reasons"/>
        <w:rPr>
          <w:lang w:val="fr-CH"/>
        </w:rPr>
      </w:pPr>
      <w:r w:rsidRPr="00246AD6">
        <w:rPr>
          <w:b/>
          <w:lang w:val="fr-CH"/>
        </w:rPr>
        <w:t>Motifs:</w:t>
      </w:r>
      <w:r w:rsidRPr="00246AD6">
        <w:rPr>
          <w:lang w:val="fr-CH"/>
        </w:rPr>
        <w:tab/>
      </w:r>
      <w:r w:rsidR="00392C55" w:rsidRPr="00246AD6">
        <w:rPr>
          <w:lang w:val="fr-CH"/>
        </w:rPr>
        <w:t>Il</w:t>
      </w:r>
      <w:bookmarkStart w:id="8" w:name="_GoBack"/>
      <w:bookmarkEnd w:id="8"/>
      <w:r w:rsidR="00392C55" w:rsidRPr="00246AD6">
        <w:rPr>
          <w:lang w:val="fr-CH"/>
        </w:rPr>
        <w:t xml:space="preserve"> est inutile d'identifier des bandes de fréquences spécifiquement pour les systèmes de transport intelligents. L'harmonisation à l'échelle régionale et mondiale peut être assurée moyennant l'élaboration de Rapports et de Recommandations de l'UIT</w:t>
      </w:r>
      <w:r w:rsidR="00392C55" w:rsidRPr="00246AD6">
        <w:rPr>
          <w:lang w:val="fr-CH"/>
        </w:rPr>
        <w:noBreakHyphen/>
        <w:t>R pertinents. Par conséquent, aucune modification du Règlement des radiocommunications ou mesure réglementaire n'est nécessaire au titre de ce point de l'ordre du jour.</w:t>
      </w:r>
    </w:p>
    <w:p w:rsidR="00D8458C" w:rsidRPr="00246AD6" w:rsidRDefault="0086372C">
      <w:pPr>
        <w:pStyle w:val="Proposal"/>
        <w:rPr>
          <w:lang w:val="fr-CH"/>
        </w:rPr>
      </w:pPr>
      <w:r w:rsidRPr="00246AD6">
        <w:rPr>
          <w:lang w:val="fr-CH"/>
        </w:rPr>
        <w:t>SUP</w:t>
      </w:r>
      <w:r w:rsidRPr="00246AD6">
        <w:rPr>
          <w:lang w:val="fr-CH"/>
        </w:rPr>
        <w:tab/>
        <w:t>IAP/11A12/3</w:t>
      </w:r>
    </w:p>
    <w:p w:rsidR="004A4B52" w:rsidRPr="00246AD6" w:rsidRDefault="0086372C" w:rsidP="004A4B52">
      <w:pPr>
        <w:pStyle w:val="ResNo"/>
        <w:rPr>
          <w:lang w:val="fr-CH"/>
        </w:rPr>
      </w:pPr>
      <w:r w:rsidRPr="00246AD6">
        <w:rPr>
          <w:caps w:val="0"/>
          <w:lang w:val="fr-CH"/>
        </w:rPr>
        <w:t xml:space="preserve">RÉSOLUTION </w:t>
      </w:r>
      <w:r w:rsidRPr="00246AD6">
        <w:rPr>
          <w:rStyle w:val="href"/>
          <w:caps w:val="0"/>
          <w:lang w:val="fr-CH"/>
        </w:rPr>
        <w:t>237</w:t>
      </w:r>
      <w:r w:rsidRPr="00246AD6">
        <w:rPr>
          <w:caps w:val="0"/>
          <w:lang w:val="fr-CH"/>
        </w:rPr>
        <w:t xml:space="preserve"> (CMR-15)</w:t>
      </w:r>
    </w:p>
    <w:p w:rsidR="004A4B52" w:rsidRPr="00246AD6" w:rsidRDefault="0086372C" w:rsidP="004A4B52">
      <w:pPr>
        <w:pStyle w:val="Restitle"/>
        <w:rPr>
          <w:lang w:val="fr-CH"/>
        </w:rPr>
      </w:pPr>
      <w:bookmarkStart w:id="9" w:name="_Toc450208665"/>
      <w:r w:rsidRPr="00246AD6">
        <w:rPr>
          <w:color w:val="000000"/>
          <w:lang w:val="fr-CH"/>
        </w:rPr>
        <w:t>Applications des systèmes de transport intelligents</w:t>
      </w:r>
      <w:bookmarkEnd w:id="9"/>
    </w:p>
    <w:p w:rsidR="00392C55" w:rsidRDefault="0086372C" w:rsidP="00411C49">
      <w:pPr>
        <w:pStyle w:val="Reasons"/>
        <w:rPr>
          <w:lang w:val="fr-CH"/>
        </w:rPr>
      </w:pPr>
      <w:r w:rsidRPr="00246AD6">
        <w:rPr>
          <w:b/>
          <w:lang w:val="fr-CH"/>
        </w:rPr>
        <w:t>Motifs:</w:t>
      </w:r>
      <w:r w:rsidRPr="00246AD6">
        <w:rPr>
          <w:lang w:val="fr-CH"/>
        </w:rPr>
        <w:tab/>
      </w:r>
      <w:r w:rsidR="00392C55" w:rsidRPr="00246AD6">
        <w:rPr>
          <w:lang w:val="fr-CH"/>
        </w:rPr>
        <w:t>Les études en vue de l'harmonisation à l'échelle régionale et mondiale peuvent être menées à bien dans le cadre de l'élaboration de Recommandations et Rapports de l'UIT-R.</w:t>
      </w:r>
    </w:p>
    <w:p w:rsidR="001E2D66" w:rsidRPr="00246AD6" w:rsidRDefault="001E2D66" w:rsidP="001E2D66">
      <w:pPr>
        <w:rPr>
          <w:lang w:val="fr-CH"/>
        </w:rPr>
      </w:pPr>
    </w:p>
    <w:p w:rsidR="00392C55" w:rsidRPr="00246AD6" w:rsidRDefault="00392C55">
      <w:pPr>
        <w:jc w:val="center"/>
        <w:rPr>
          <w:lang w:val="fr-CH"/>
        </w:rPr>
      </w:pPr>
      <w:r w:rsidRPr="00246AD6">
        <w:rPr>
          <w:lang w:val="fr-CH"/>
        </w:rPr>
        <w:t>______________</w:t>
      </w:r>
    </w:p>
    <w:sectPr w:rsidR="00392C55" w:rsidRPr="00246AD6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96" w:rsidRDefault="00483196">
      <w:r>
        <w:separator/>
      </w:r>
    </w:p>
  </w:endnote>
  <w:endnote w:type="continuationSeparator" w:id="0">
    <w:p w:rsidR="00483196" w:rsidRDefault="004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E2D66">
      <w:rPr>
        <w:noProof/>
        <w:lang w:val="en-US"/>
      </w:rPr>
      <w:t>P:\FRA\ITU-R\CONF-R\CMR19\000\011ADD12F.docx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2D66">
      <w:rPr>
        <w:noProof/>
      </w:rPr>
      <w:t>01.07.19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2D66">
      <w:rPr>
        <w:noProof/>
      </w:rPr>
      <w:t>04.07.19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55" w:rsidRDefault="00392C55" w:rsidP="00392C5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E2D66">
      <w:rPr>
        <w:lang w:val="en-US"/>
      </w:rPr>
      <w:t>P:\FRA\ITU-R\CONF-R\CMR19\000\011ADD12F.docx</w:t>
    </w:r>
    <w:r>
      <w:fldChar w:fldCharType="end"/>
    </w:r>
    <w:r>
      <w:t xml:space="preserve"> (457766)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E2D66">
      <w:rPr>
        <w:lang w:val="en-US"/>
      </w:rPr>
      <w:t>P:\FRA\ITU-R\CONF-R\CMR19\000\011ADD12F.docx</w:t>
    </w:r>
    <w:r>
      <w:fldChar w:fldCharType="end"/>
    </w:r>
    <w:r w:rsidR="00392C55">
      <w:t xml:space="preserve"> (457766)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96" w:rsidRDefault="00483196">
      <w:r>
        <w:rPr>
          <w:b/>
        </w:rPr>
        <w:t>_______________</w:t>
      </w:r>
    </w:p>
  </w:footnote>
  <w:footnote w:type="continuationSeparator" w:id="0">
    <w:p w:rsidR="00483196" w:rsidRDefault="0048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E2D66">
      <w:rPr>
        <w:noProof/>
      </w:rPr>
      <w:t>2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11(Add.12)-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C45EF"/>
    <w:rsid w:val="001E2D66"/>
    <w:rsid w:val="001F17E8"/>
    <w:rsid w:val="00204306"/>
    <w:rsid w:val="00232FD2"/>
    <w:rsid w:val="00246AD6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2C55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830086"/>
    <w:rsid w:val="00851625"/>
    <w:rsid w:val="0086372C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D5915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8458C"/>
    <w:rsid w:val="00D919CC"/>
    <w:rsid w:val="00DA5AD0"/>
    <w:rsid w:val="00DC402B"/>
    <w:rsid w:val="00DE0932"/>
    <w:rsid w:val="00DF403B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E78D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R16-WRC19-C-0011!A12!MSW-F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B138F-EB95-4AB7-852E-10B277FE21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D8F86-BC65-49A3-AD55-1B151C730F67}">
  <ds:schemaRefs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2556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R16-WRC19-C-0011!A12!MSW-F</vt:lpstr>
    </vt:vector>
  </TitlesOfParts>
  <Manager>Secrétariat général - Pool</Manager>
  <Company>Union internationale des télécommunications (UIT)</Company>
  <LinksUpToDate>false</LinksUpToDate>
  <CharactersWithSpaces>2947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R16-WRC19-C-0011!A12!MSW-F</dc:title>
  <dc:subject>Conférence mondiale des radiocommunications - 2019</dc:subject>
  <dc:creator>Documents Proposals Manager (DPM)</dc:creator>
  <cp:keywords>DPM_v2019.6.28.1_prod</cp:keywords>
  <dc:description/>
  <cp:lastModifiedBy>Royer, Veronique</cp:lastModifiedBy>
  <cp:revision>11</cp:revision>
  <cp:lastPrinted>2019-07-04T14:23:00Z</cp:lastPrinted>
  <dcterms:created xsi:type="dcterms:W3CDTF">2019-07-01T13:07:00Z</dcterms:created>
  <dcterms:modified xsi:type="dcterms:W3CDTF">2019-07-04T14:24:00Z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