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CF52F1" w:rsidTr="00ED0330">
        <w:trPr>
          <w:cantSplit/>
        </w:trPr>
        <w:tc>
          <w:tcPr>
            <w:tcW w:w="6804" w:type="dxa"/>
          </w:tcPr>
          <w:p w:rsidR="00BB1D82" w:rsidRPr="00CF52F1" w:rsidRDefault="00851625" w:rsidP="006B7864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CF52F1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CF52F1">
              <w:rPr>
                <w:rFonts w:ascii="Verdana" w:hAnsi="Verdana"/>
                <w:b/>
                <w:bCs/>
                <w:sz w:val="20"/>
              </w:rPr>
              <w:t>9</w:t>
            </w:r>
            <w:proofErr w:type="gramStart"/>
            <w:r w:rsidRPr="00CF52F1">
              <w:rPr>
                <w:rFonts w:ascii="Verdana" w:hAnsi="Verdana"/>
                <w:b/>
                <w:bCs/>
                <w:sz w:val="20"/>
              </w:rPr>
              <w:t>)</w:t>
            </w:r>
            <w:proofErr w:type="gramEnd"/>
            <w:r w:rsidRPr="00CF52F1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CF52F1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CF52F1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CF52F1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CF52F1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CF52F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F52F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CF52F1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E6167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CF52F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F52F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CF52F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CF52F1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CF52F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7" w:type="dxa"/>
          </w:tcPr>
          <w:p w:rsidR="00BB1D82" w:rsidRPr="00CF52F1" w:rsidRDefault="000A55AE" w:rsidP="006B7864">
            <w:pPr>
              <w:spacing w:before="0"/>
              <w:jc w:val="right"/>
            </w:pPr>
            <w:bookmarkStart w:id="0" w:name="ditulogo"/>
            <w:bookmarkEnd w:id="0"/>
            <w:r w:rsidRPr="00CF52F1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CF52F1" w:rsidTr="00ED033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B1D82" w:rsidRPr="00CF52F1" w:rsidRDefault="00BB1D82" w:rsidP="006B786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B1D82" w:rsidRPr="00CF52F1" w:rsidRDefault="00BB1D82" w:rsidP="006B786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CF52F1" w:rsidTr="00ED033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B1D82" w:rsidRPr="00CF52F1" w:rsidRDefault="00BB1D82" w:rsidP="006B786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B1D82" w:rsidRPr="00CF52F1" w:rsidRDefault="00BB1D82" w:rsidP="006B786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CF52F1" w:rsidTr="00ED0330">
        <w:trPr>
          <w:cantSplit/>
        </w:trPr>
        <w:tc>
          <w:tcPr>
            <w:tcW w:w="6804" w:type="dxa"/>
          </w:tcPr>
          <w:p w:rsidR="00BB1D82" w:rsidRPr="00CF52F1" w:rsidRDefault="006D4724" w:rsidP="006B786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F52F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227" w:type="dxa"/>
          </w:tcPr>
          <w:p w:rsidR="00BB1D82" w:rsidRPr="00CF52F1" w:rsidRDefault="006D4724" w:rsidP="006B7864">
            <w:pPr>
              <w:spacing w:before="0"/>
              <w:rPr>
                <w:rFonts w:ascii="Verdana" w:hAnsi="Verdana"/>
                <w:sz w:val="20"/>
              </w:rPr>
            </w:pPr>
            <w:r w:rsidRPr="00CF52F1">
              <w:rPr>
                <w:rFonts w:ascii="Verdana" w:hAnsi="Verdana"/>
                <w:b/>
                <w:sz w:val="20"/>
              </w:rPr>
              <w:t>Addendum 11 au</w:t>
            </w:r>
            <w:r w:rsidRPr="00CF52F1">
              <w:rPr>
                <w:rFonts w:ascii="Verdana" w:hAnsi="Verdana"/>
                <w:b/>
                <w:sz w:val="20"/>
              </w:rPr>
              <w:br/>
              <w:t>Document 11</w:t>
            </w:r>
            <w:r w:rsidR="00BB1D82" w:rsidRPr="00CF52F1">
              <w:rPr>
                <w:rFonts w:ascii="Verdana" w:hAnsi="Verdana"/>
                <w:b/>
                <w:sz w:val="20"/>
              </w:rPr>
              <w:t>-</w:t>
            </w:r>
            <w:r w:rsidRPr="00CF52F1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CF52F1" w:rsidTr="00ED0330">
        <w:trPr>
          <w:cantSplit/>
        </w:trPr>
        <w:tc>
          <w:tcPr>
            <w:tcW w:w="6804" w:type="dxa"/>
          </w:tcPr>
          <w:p w:rsidR="00690C7B" w:rsidRPr="00CF52F1" w:rsidRDefault="00690C7B" w:rsidP="006B786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:rsidR="00690C7B" w:rsidRPr="00CF52F1" w:rsidRDefault="00690C7B" w:rsidP="006B786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F52F1">
              <w:rPr>
                <w:rFonts w:ascii="Verdana" w:hAnsi="Verdana"/>
                <w:b/>
                <w:sz w:val="20"/>
              </w:rPr>
              <w:t>24 juin 2019</w:t>
            </w:r>
          </w:p>
        </w:tc>
      </w:tr>
      <w:tr w:rsidR="00690C7B" w:rsidRPr="00CF52F1" w:rsidTr="00ED0330">
        <w:trPr>
          <w:cantSplit/>
        </w:trPr>
        <w:tc>
          <w:tcPr>
            <w:tcW w:w="6804" w:type="dxa"/>
          </w:tcPr>
          <w:p w:rsidR="00690C7B" w:rsidRPr="00CF52F1" w:rsidRDefault="00690C7B" w:rsidP="006B786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690C7B" w:rsidRPr="00CF52F1" w:rsidRDefault="00690C7B" w:rsidP="006B786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F52F1">
              <w:rPr>
                <w:rFonts w:ascii="Verdana" w:hAnsi="Verdana"/>
                <w:b/>
                <w:sz w:val="20"/>
              </w:rPr>
              <w:t>Original: anglais</w:t>
            </w:r>
            <w:r w:rsidR="00ED0330" w:rsidRPr="00CF52F1">
              <w:rPr>
                <w:rFonts w:ascii="Verdana" w:hAnsi="Verdana"/>
                <w:b/>
                <w:sz w:val="20"/>
              </w:rPr>
              <w:t>/espagnol</w:t>
            </w:r>
          </w:p>
        </w:tc>
      </w:tr>
      <w:tr w:rsidR="00690C7B" w:rsidRPr="00CF52F1" w:rsidTr="00C11970">
        <w:trPr>
          <w:cantSplit/>
        </w:trPr>
        <w:tc>
          <w:tcPr>
            <w:tcW w:w="10031" w:type="dxa"/>
            <w:gridSpan w:val="2"/>
          </w:tcPr>
          <w:p w:rsidR="00690C7B" w:rsidRPr="00CF52F1" w:rsidRDefault="00690C7B" w:rsidP="006B786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CF52F1" w:rsidTr="0050008E">
        <w:trPr>
          <w:cantSplit/>
        </w:trPr>
        <w:tc>
          <w:tcPr>
            <w:tcW w:w="10031" w:type="dxa"/>
            <w:gridSpan w:val="2"/>
          </w:tcPr>
          <w:p w:rsidR="00690C7B" w:rsidRPr="00CF52F1" w:rsidRDefault="00ED0330" w:rsidP="006B7864">
            <w:pPr>
              <w:pStyle w:val="Source"/>
            </w:pPr>
            <w:bookmarkStart w:id="2" w:name="dsource" w:colFirst="0" w:colLast="0"/>
            <w:r w:rsidRPr="00CF52F1">
              <w:t>États</w:t>
            </w:r>
            <w:r w:rsidR="00690C7B" w:rsidRPr="00CF52F1">
              <w:t xml:space="preserve"> Membres de la Commission interaméricaine des télécommunications (CITEL)</w:t>
            </w:r>
          </w:p>
        </w:tc>
      </w:tr>
      <w:tr w:rsidR="00690C7B" w:rsidRPr="00CF52F1" w:rsidTr="0050008E">
        <w:trPr>
          <w:cantSplit/>
        </w:trPr>
        <w:tc>
          <w:tcPr>
            <w:tcW w:w="10031" w:type="dxa"/>
            <w:gridSpan w:val="2"/>
          </w:tcPr>
          <w:p w:rsidR="00690C7B" w:rsidRPr="00CF52F1" w:rsidRDefault="00642A0C" w:rsidP="006B7864">
            <w:pPr>
              <w:pStyle w:val="Title1"/>
            </w:pPr>
            <w:bookmarkStart w:id="3" w:name="dtitle1" w:colFirst="0" w:colLast="0"/>
            <w:bookmarkEnd w:id="2"/>
            <w:r w:rsidRPr="00CF52F1">
              <w:t>propositions pour les travaux de la conférence</w:t>
            </w:r>
          </w:p>
        </w:tc>
      </w:tr>
      <w:tr w:rsidR="00690C7B" w:rsidRPr="00CF52F1" w:rsidTr="0050008E">
        <w:trPr>
          <w:cantSplit/>
        </w:trPr>
        <w:tc>
          <w:tcPr>
            <w:tcW w:w="10031" w:type="dxa"/>
            <w:gridSpan w:val="2"/>
          </w:tcPr>
          <w:p w:rsidR="00690C7B" w:rsidRPr="00CF52F1" w:rsidRDefault="00690C7B" w:rsidP="006B786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CF52F1" w:rsidTr="0050008E">
        <w:trPr>
          <w:cantSplit/>
        </w:trPr>
        <w:tc>
          <w:tcPr>
            <w:tcW w:w="10031" w:type="dxa"/>
            <w:gridSpan w:val="2"/>
          </w:tcPr>
          <w:p w:rsidR="00690C7B" w:rsidRPr="00CF52F1" w:rsidRDefault="00690C7B" w:rsidP="006B7864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CF52F1">
              <w:rPr>
                <w:lang w:val="fr-FR"/>
              </w:rPr>
              <w:t>Point 1.11 de l'ordre du jour</w:t>
            </w:r>
          </w:p>
        </w:tc>
      </w:tr>
    </w:tbl>
    <w:bookmarkEnd w:id="5"/>
    <w:p w:rsidR="001C0E40" w:rsidRPr="00CF52F1" w:rsidRDefault="005A21A0" w:rsidP="00E331DF">
      <w:pPr>
        <w:pStyle w:val="Normalaftertitle"/>
      </w:pPr>
      <w:r w:rsidRPr="00CF52F1">
        <w:t>1.11</w:t>
      </w:r>
      <w:r w:rsidRPr="00CF52F1">
        <w:tab/>
        <w:t xml:space="preserve">prendre les mesures nécessaires, selon qu'il convient, pour faciliter l'identification de bandes de fréquences harmonisées à l'échelle mondiale ou régionale pour les systèmes de radiocommunication ferroviaires train/voie dans les bandes de fréquences actuellement attribuées au service mobile, conformément à la Résolution </w:t>
      </w:r>
      <w:r w:rsidRPr="00CF52F1">
        <w:rPr>
          <w:b/>
          <w:bCs/>
        </w:rPr>
        <w:t>236 (CMR-15)</w:t>
      </w:r>
      <w:r w:rsidRPr="00CF52F1">
        <w:t>;</w:t>
      </w:r>
    </w:p>
    <w:p w:rsidR="00ED0330" w:rsidRPr="00CF52F1" w:rsidRDefault="00642A0C" w:rsidP="006B7864">
      <w:pPr>
        <w:pStyle w:val="Headingb"/>
      </w:pPr>
      <w:r w:rsidRPr="00CF52F1">
        <w:t>Considérations générales</w:t>
      </w:r>
    </w:p>
    <w:p w:rsidR="00ED0330" w:rsidRPr="00CF52F1" w:rsidRDefault="00DB0134" w:rsidP="006B7864">
      <w:r w:rsidRPr="00CF52F1">
        <w:t xml:space="preserve">Les systèmes de radiocommunication ferroviaires train/voie </w:t>
      </w:r>
      <w:r w:rsidR="00ED0330" w:rsidRPr="00CF52F1">
        <w:t>(</w:t>
      </w:r>
      <w:r w:rsidRPr="00CF52F1">
        <w:t xml:space="preserve">systèmes </w:t>
      </w:r>
      <w:r w:rsidR="00ED0330" w:rsidRPr="00CF52F1">
        <w:t>RSTT</w:t>
      </w:r>
      <w:r w:rsidRPr="00CF52F1">
        <w:t xml:space="preserve"> ferroviaires</w:t>
      </w:r>
      <w:r w:rsidR="00ED0330" w:rsidRPr="00CF52F1">
        <w:t xml:space="preserve">) </w:t>
      </w:r>
      <w:r w:rsidRPr="00CF52F1">
        <w:t xml:space="preserve">acheminent des informations relatives au contrôle, à la commande et à l'exploitation des </w:t>
      </w:r>
      <w:r w:rsidR="00ED0330" w:rsidRPr="00CF52F1">
        <w:t>train</w:t>
      </w:r>
      <w:r w:rsidRPr="00CF52F1">
        <w:t>s</w:t>
      </w:r>
      <w:r w:rsidR="00ED0330" w:rsidRPr="00CF52F1">
        <w:t xml:space="preserve">, </w:t>
      </w:r>
      <w:r w:rsidRPr="00CF52F1">
        <w:t xml:space="preserve">ainsi que des données de surveillance entre les équipements </w:t>
      </w:r>
      <w:r w:rsidR="00ED0330" w:rsidRPr="00CF52F1">
        <w:t>radio</w:t>
      </w:r>
      <w:r w:rsidRPr="00CF52F1">
        <w:t xml:space="preserve">électriques </w:t>
      </w:r>
      <w:r w:rsidR="006B7864">
        <w:t xml:space="preserve">embarqués </w:t>
      </w:r>
      <w:r w:rsidRPr="00CF52F1">
        <w:t xml:space="preserve">et les </w:t>
      </w:r>
      <w:r w:rsidR="00ED0330" w:rsidRPr="00CF52F1">
        <w:t>infrastructur</w:t>
      </w:r>
      <w:r w:rsidR="00195F97" w:rsidRPr="00CF52F1">
        <w:t>e</w:t>
      </w:r>
      <w:r w:rsidRPr="00CF52F1">
        <w:t>s radioélectriques associées situées le long de la voie</w:t>
      </w:r>
      <w:r w:rsidR="00195F97" w:rsidRPr="00CF52F1">
        <w:t xml:space="preserve">. </w:t>
      </w:r>
      <w:r w:rsidR="00505612" w:rsidRPr="00CF52F1">
        <w:t>Le point 1.11 de l'ordre du jour de la Conférence mondiale des r</w:t>
      </w:r>
      <w:r w:rsidR="00ED0330" w:rsidRPr="00CF52F1">
        <w:t>adiocommunication</w:t>
      </w:r>
      <w:r w:rsidR="00505612" w:rsidRPr="00CF52F1">
        <w:t>s</w:t>
      </w:r>
      <w:r w:rsidR="00ED0330" w:rsidRPr="00CF52F1">
        <w:t xml:space="preserve"> (</w:t>
      </w:r>
      <w:r w:rsidR="00505612" w:rsidRPr="00CF52F1">
        <w:t>CMR</w:t>
      </w:r>
      <w:r w:rsidR="00ED0330" w:rsidRPr="00CF52F1">
        <w:t xml:space="preserve">) </w:t>
      </w:r>
      <w:r w:rsidR="00505612" w:rsidRPr="00CF52F1">
        <w:t xml:space="preserve">de </w:t>
      </w:r>
      <w:r w:rsidR="00ED0330" w:rsidRPr="00CF52F1">
        <w:t xml:space="preserve">2019 </w:t>
      </w:r>
      <w:r w:rsidR="00505612" w:rsidRPr="00CF52F1">
        <w:t xml:space="preserve">et la </w:t>
      </w:r>
      <w:r w:rsidR="00ED0330" w:rsidRPr="00CF52F1">
        <w:t>R</w:t>
      </w:r>
      <w:r w:rsidR="00505612" w:rsidRPr="00CF52F1">
        <w:t>é</w:t>
      </w:r>
      <w:r w:rsidR="00ED0330" w:rsidRPr="00CF52F1">
        <w:t xml:space="preserve">solution </w:t>
      </w:r>
      <w:r w:rsidR="00ED0330" w:rsidRPr="00CF52F1">
        <w:rPr>
          <w:b/>
          <w:bCs/>
        </w:rPr>
        <w:t>236 (</w:t>
      </w:r>
      <w:r w:rsidR="00505612" w:rsidRPr="00CF52F1">
        <w:rPr>
          <w:b/>
          <w:bCs/>
        </w:rPr>
        <w:t>CMR</w:t>
      </w:r>
      <w:r w:rsidR="006B7864">
        <w:rPr>
          <w:b/>
          <w:bCs/>
        </w:rPr>
        <w:noBreakHyphen/>
      </w:r>
      <w:r w:rsidR="00ED0330" w:rsidRPr="00CF52F1">
        <w:rPr>
          <w:b/>
          <w:bCs/>
        </w:rPr>
        <w:t>15)</w:t>
      </w:r>
      <w:r w:rsidR="00ED0330" w:rsidRPr="00CF52F1">
        <w:t xml:space="preserve"> </w:t>
      </w:r>
      <w:r w:rsidR="00505612" w:rsidRPr="00CF52F1">
        <w:t xml:space="preserve">associée ont été élaborés à la suite d'efforts déployés par certaines </w:t>
      </w:r>
      <w:r w:rsidR="00ED0330" w:rsidRPr="00CF52F1">
        <w:t xml:space="preserve">administrations </w:t>
      </w:r>
      <w:r w:rsidR="006B7864">
        <w:t>en vue d'</w:t>
      </w:r>
      <w:r w:rsidR="00505612" w:rsidRPr="00CF52F1">
        <w:t>harmonis</w:t>
      </w:r>
      <w:r w:rsidR="00ED0330" w:rsidRPr="00CF52F1">
        <w:t>e</w:t>
      </w:r>
      <w:r w:rsidR="00505612" w:rsidRPr="00CF52F1">
        <w:t>r</w:t>
      </w:r>
      <w:r w:rsidR="00ED0330" w:rsidRPr="00CF52F1">
        <w:t xml:space="preserve"> </w:t>
      </w:r>
      <w:r w:rsidR="00505612" w:rsidRPr="00CF52F1">
        <w:t xml:space="preserve">le spectre pour les systèmes de </w:t>
      </w:r>
      <w:r w:rsidR="006B7864">
        <w:t>radiocommunication</w:t>
      </w:r>
      <w:r w:rsidR="00ED0330" w:rsidRPr="00CF52F1">
        <w:t xml:space="preserve"> </w:t>
      </w:r>
      <w:r w:rsidR="00505612" w:rsidRPr="00CF52F1">
        <w:t xml:space="preserve">ferroviaires </w:t>
      </w:r>
      <w:r w:rsidR="00ED0330" w:rsidRPr="00CF52F1">
        <w:t>train</w:t>
      </w:r>
      <w:r w:rsidR="00505612" w:rsidRPr="00CF52F1">
        <w:t xml:space="preserve">/voie pour la </w:t>
      </w:r>
      <w:r w:rsidR="00ED0330" w:rsidRPr="00CF52F1">
        <w:t>command</w:t>
      </w:r>
      <w:r w:rsidR="00505612" w:rsidRPr="00CF52F1">
        <w:t>e</w:t>
      </w:r>
      <w:r w:rsidR="00ED0330" w:rsidRPr="00CF52F1">
        <w:t xml:space="preserve"> </w:t>
      </w:r>
      <w:r w:rsidR="00505612" w:rsidRPr="00CF52F1">
        <w:t>et le contrôle</w:t>
      </w:r>
      <w:r w:rsidR="00ED0330" w:rsidRPr="00CF52F1">
        <w:t>.</w:t>
      </w:r>
    </w:p>
    <w:p w:rsidR="0015203F" w:rsidRPr="00CF52F1" w:rsidRDefault="00DB0134" w:rsidP="006B7864">
      <w:pPr>
        <w:pStyle w:val="Headingb"/>
      </w:pPr>
      <w:r w:rsidRPr="00CF52F1">
        <w:t>PROPOSITIONS INTERAMÉRICAINES</w:t>
      </w:r>
    </w:p>
    <w:p w:rsidR="0099352B" w:rsidRPr="00CF52F1" w:rsidRDefault="005A21A0" w:rsidP="006B7864">
      <w:pPr>
        <w:pStyle w:val="Proposal"/>
      </w:pPr>
      <w:r w:rsidRPr="00CF52F1">
        <w:rPr>
          <w:u w:val="single"/>
        </w:rPr>
        <w:t>NOC</w:t>
      </w:r>
      <w:r w:rsidRPr="00CF52F1">
        <w:tab/>
        <w:t>IAP/11A11/1</w:t>
      </w:r>
    </w:p>
    <w:p w:rsidR="00DC48DB" w:rsidRPr="00CF52F1" w:rsidRDefault="005A21A0" w:rsidP="006B7864">
      <w:pPr>
        <w:pStyle w:val="Volumetitle"/>
        <w:rPr>
          <w:bCs/>
          <w:lang w:val="fr-FR"/>
        </w:rPr>
      </w:pPr>
      <w:bookmarkStart w:id="6" w:name="_Toc455752901"/>
      <w:bookmarkStart w:id="7" w:name="_Toc455756140"/>
      <w:r w:rsidRPr="00CF52F1">
        <w:rPr>
          <w:bCs/>
          <w:lang w:val="fr-FR"/>
        </w:rPr>
        <w:t>ARTICLES</w:t>
      </w:r>
      <w:bookmarkEnd w:id="6"/>
      <w:bookmarkEnd w:id="7"/>
    </w:p>
    <w:p w:rsidR="0099352B" w:rsidRPr="00CF52F1" w:rsidRDefault="005A21A0" w:rsidP="007E3929">
      <w:pPr>
        <w:pStyle w:val="Reasons"/>
      </w:pPr>
      <w:r w:rsidRPr="00CF52F1">
        <w:rPr>
          <w:b/>
        </w:rPr>
        <w:t>Motifs:</w:t>
      </w:r>
      <w:r w:rsidRPr="00CF52F1">
        <w:tab/>
      </w:r>
      <w:r w:rsidR="00505612" w:rsidRPr="00CF52F1">
        <w:t xml:space="preserve">Les </w:t>
      </w:r>
      <w:r w:rsidR="00ED0330" w:rsidRPr="00CF52F1">
        <w:t xml:space="preserve">Administrations </w:t>
      </w:r>
      <w:r w:rsidR="00505612" w:rsidRPr="00CF52F1">
        <w:t xml:space="preserve">des États Membres de la CITEL estiment qu'il </w:t>
      </w:r>
      <w:r w:rsidR="007E3929">
        <w:t xml:space="preserve">est inutile </w:t>
      </w:r>
      <w:r w:rsidR="00505612" w:rsidRPr="00CF52F1">
        <w:t xml:space="preserve">d'identifier des bandes de fréquences spécifiquement pour les systèmes de </w:t>
      </w:r>
      <w:r w:rsidR="00ED0330" w:rsidRPr="00CF52F1">
        <w:t xml:space="preserve">radiocommunication </w:t>
      </w:r>
      <w:r w:rsidR="00505612" w:rsidRPr="00CF52F1">
        <w:t>ferroviaires</w:t>
      </w:r>
      <w:r w:rsidR="00ED0330" w:rsidRPr="00CF52F1">
        <w:t xml:space="preserve">. </w:t>
      </w:r>
      <w:r w:rsidR="00505612" w:rsidRPr="00CF52F1">
        <w:t>L'harmonisation à l'échelle régionale et mondiale peut être assurée moyennant l'élaboration de Rapports et de Recommandations UIT</w:t>
      </w:r>
      <w:r w:rsidR="00505612" w:rsidRPr="00CF52F1">
        <w:noBreakHyphen/>
        <w:t>R pertinents</w:t>
      </w:r>
      <w:r w:rsidR="00ED0330" w:rsidRPr="00CF52F1">
        <w:t xml:space="preserve">. </w:t>
      </w:r>
      <w:r w:rsidR="00505612" w:rsidRPr="00CF52F1">
        <w:t>Par conséquent</w:t>
      </w:r>
      <w:r w:rsidR="00ED0330" w:rsidRPr="00CF52F1">
        <w:t xml:space="preserve">, </w:t>
      </w:r>
      <w:r w:rsidR="00505612" w:rsidRPr="00CF52F1">
        <w:t xml:space="preserve">aucune modification du Règlement des radiocommunications ou mesure réglementaire n'est nécessaire au titre </w:t>
      </w:r>
      <w:r w:rsidR="00E61675">
        <w:t>de ce point de l'ordre du jour.</w:t>
      </w:r>
    </w:p>
    <w:p w:rsidR="0099352B" w:rsidRPr="00CF52F1" w:rsidRDefault="005A21A0" w:rsidP="006B7864">
      <w:pPr>
        <w:pStyle w:val="Proposal"/>
      </w:pPr>
      <w:r w:rsidRPr="00CF52F1">
        <w:rPr>
          <w:u w:val="single"/>
        </w:rPr>
        <w:lastRenderedPageBreak/>
        <w:t>NOC</w:t>
      </w:r>
      <w:r w:rsidRPr="00CF52F1">
        <w:tab/>
        <w:t>IAP/11A11/2</w:t>
      </w:r>
    </w:p>
    <w:p w:rsidR="00D5115B" w:rsidRPr="00CF52F1" w:rsidRDefault="005A21A0" w:rsidP="006B7864">
      <w:pPr>
        <w:pStyle w:val="Volumetitle"/>
        <w:rPr>
          <w:lang w:val="fr-FR"/>
        </w:rPr>
      </w:pPr>
      <w:bookmarkStart w:id="8" w:name="_Toc327956568"/>
      <w:r w:rsidRPr="00CF52F1">
        <w:rPr>
          <w:lang w:val="fr-FR"/>
        </w:rPr>
        <w:t>APPENDICES</w:t>
      </w:r>
      <w:bookmarkEnd w:id="8"/>
    </w:p>
    <w:p w:rsidR="0099352B" w:rsidRPr="00CF52F1" w:rsidRDefault="005A21A0" w:rsidP="007E3929">
      <w:pPr>
        <w:pStyle w:val="Reasons"/>
      </w:pPr>
      <w:r w:rsidRPr="00CF52F1">
        <w:rPr>
          <w:b/>
        </w:rPr>
        <w:t>Motifs:</w:t>
      </w:r>
      <w:r w:rsidRPr="00CF52F1">
        <w:tab/>
      </w:r>
      <w:r w:rsidR="00272888" w:rsidRPr="00CF52F1">
        <w:t xml:space="preserve">Les Administrations des États Membres de la CITEL estiment qu'il </w:t>
      </w:r>
      <w:r w:rsidR="007E3929">
        <w:t xml:space="preserve">est inutile </w:t>
      </w:r>
      <w:r w:rsidR="00272888" w:rsidRPr="00CF52F1">
        <w:t>d'identifier des bandes de fréquences spécifiquement pour les systèmes de radiocommunication ferroviaires. L'harmonisation à l'échelle régionale et mondiale peut être assurée moyennant l'élaboration de Rapports et de Recommandations de l'UIT</w:t>
      </w:r>
      <w:r w:rsidR="00272888" w:rsidRPr="00CF52F1">
        <w:noBreakHyphen/>
        <w:t>R pertinents. Par conséquent, aucune modification du Règleme</w:t>
      </w:r>
      <w:bookmarkStart w:id="9" w:name="_GoBack"/>
      <w:bookmarkEnd w:id="9"/>
      <w:r w:rsidR="00272888" w:rsidRPr="00CF52F1">
        <w:t>nt des radiocommunications ou mesure réglementaire n'est nécessaire au titre de ce point de l'ordre du jour.</w:t>
      </w:r>
    </w:p>
    <w:p w:rsidR="0099352B" w:rsidRPr="00CF52F1" w:rsidRDefault="005A21A0" w:rsidP="006B7864">
      <w:pPr>
        <w:pStyle w:val="Proposal"/>
      </w:pPr>
      <w:r w:rsidRPr="00CF52F1">
        <w:t>SUP</w:t>
      </w:r>
      <w:r w:rsidRPr="00CF52F1">
        <w:tab/>
        <w:t>IAP/11A11/3</w:t>
      </w:r>
    </w:p>
    <w:p w:rsidR="004A4B52" w:rsidRPr="00CF52F1" w:rsidRDefault="005A21A0" w:rsidP="006B7864">
      <w:pPr>
        <w:pStyle w:val="ResNo"/>
      </w:pPr>
      <w:r w:rsidRPr="00CF52F1">
        <w:rPr>
          <w:caps w:val="0"/>
        </w:rPr>
        <w:t xml:space="preserve">RÉSOLUTION </w:t>
      </w:r>
      <w:r w:rsidRPr="00CF52F1">
        <w:rPr>
          <w:rStyle w:val="href"/>
          <w:caps w:val="0"/>
        </w:rPr>
        <w:t>236</w:t>
      </w:r>
      <w:r w:rsidRPr="00CF52F1">
        <w:rPr>
          <w:caps w:val="0"/>
        </w:rPr>
        <w:t xml:space="preserve"> (CMR-15)</w:t>
      </w:r>
    </w:p>
    <w:p w:rsidR="006E542F" w:rsidRPr="00CF52F1" w:rsidRDefault="005A21A0" w:rsidP="006B7864">
      <w:pPr>
        <w:pStyle w:val="Restitle"/>
        <w:rPr>
          <w:lang w:eastAsia="zh-CN"/>
        </w:rPr>
      </w:pPr>
      <w:bookmarkStart w:id="10" w:name="_Toc450208663"/>
      <w:r w:rsidRPr="00CF52F1">
        <w:rPr>
          <w:lang w:eastAsia="zh-CN"/>
        </w:rPr>
        <w:t xml:space="preserve">Systèmes de radiocommunication ferroviaires </w:t>
      </w:r>
      <w:r w:rsidRPr="00CF52F1">
        <w:rPr>
          <w:rFonts w:cs="Times New Roman Bold"/>
          <w:lang w:eastAsia="zh-CN"/>
        </w:rPr>
        <w:t>train</w:t>
      </w:r>
      <w:r w:rsidRPr="00CF52F1">
        <w:rPr>
          <w:lang w:eastAsia="zh-CN"/>
        </w:rPr>
        <w:t>/voie</w:t>
      </w:r>
      <w:bookmarkEnd w:id="10"/>
    </w:p>
    <w:p w:rsidR="0099352B" w:rsidRPr="00CF52F1" w:rsidRDefault="005A21A0" w:rsidP="006B7864">
      <w:pPr>
        <w:pStyle w:val="Reasons"/>
      </w:pPr>
      <w:r w:rsidRPr="00CF52F1">
        <w:rPr>
          <w:b/>
        </w:rPr>
        <w:t>Motifs:</w:t>
      </w:r>
      <w:r w:rsidRPr="00CF52F1">
        <w:tab/>
      </w:r>
      <w:r w:rsidR="00272888" w:rsidRPr="00CF52F1">
        <w:t>Les études en vue de l'harmonisation à l'échelle régionale et mondiale peuvent être menées à bien dans le cadre de l'élaboration de Recomman</w:t>
      </w:r>
      <w:r w:rsidR="008814BB">
        <w:t>dations et Rapports de l'UIT-R.</w:t>
      </w:r>
    </w:p>
    <w:p w:rsidR="00ED0330" w:rsidRPr="00CF52F1" w:rsidRDefault="00ED0330" w:rsidP="006B7864"/>
    <w:p w:rsidR="00ED0330" w:rsidRPr="00CF52F1" w:rsidRDefault="00ED0330" w:rsidP="006B7864">
      <w:pPr>
        <w:jc w:val="center"/>
      </w:pPr>
      <w:r w:rsidRPr="00CF52F1">
        <w:t>______________</w:t>
      </w:r>
    </w:p>
    <w:sectPr w:rsidR="00ED0330" w:rsidRPr="00CF52F1" w:rsidSect="005A21A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97" w:rsidRDefault="008A4B97">
      <w:r>
        <w:separator/>
      </w:r>
    </w:p>
  </w:endnote>
  <w:endnote w:type="continuationSeparator" w:id="0">
    <w:p w:rsidR="008A4B97" w:rsidRDefault="008A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377DD">
      <w:rPr>
        <w:noProof/>
        <w:lang w:val="en-US"/>
      </w:rPr>
      <w:t>P:\FRA\ITU-R\CONF-R\CMR19\000\011ADD11F.docx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77DD">
      <w:rPr>
        <w:noProof/>
      </w:rPr>
      <w:t>04.07.19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77DD">
      <w:rPr>
        <w:noProof/>
      </w:rPr>
      <w:t>04.07.19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ED033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377DD">
      <w:rPr>
        <w:lang w:val="en-US"/>
      </w:rPr>
      <w:t>P:\FRA\ITU-R\CONF-R\CMR19\000\011ADD11F.docx</w:t>
    </w:r>
    <w:r>
      <w:fldChar w:fldCharType="end"/>
    </w:r>
    <w:r w:rsidR="00ED0330">
      <w:t xml:space="preserve"> (457756)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5A21A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377DD">
      <w:rPr>
        <w:lang w:val="en-US"/>
      </w:rPr>
      <w:t>P:\FRA\ITU-R\CONF-R\CMR19\000\011ADD11F.docx</w:t>
    </w:r>
    <w:r>
      <w:fldChar w:fldCharType="end"/>
    </w:r>
    <w:r w:rsidR="005A21A0">
      <w:t xml:space="preserve"> (457756)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97" w:rsidRDefault="008A4B97">
      <w:r>
        <w:rPr>
          <w:b/>
        </w:rPr>
        <w:t>_______________</w:t>
      </w:r>
    </w:p>
  </w:footnote>
  <w:footnote w:type="continuationSeparator" w:id="0">
    <w:p w:rsidR="008A4B97" w:rsidRDefault="008A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377DD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92702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5F97"/>
    <w:rsid w:val="001960D0"/>
    <w:rsid w:val="001F17E8"/>
    <w:rsid w:val="00204306"/>
    <w:rsid w:val="00232FD2"/>
    <w:rsid w:val="0026554E"/>
    <w:rsid w:val="00272888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6F2D"/>
    <w:rsid w:val="00466211"/>
    <w:rsid w:val="004834A9"/>
    <w:rsid w:val="004D01FC"/>
    <w:rsid w:val="004E28C3"/>
    <w:rsid w:val="004F1F8E"/>
    <w:rsid w:val="00505612"/>
    <w:rsid w:val="00512A32"/>
    <w:rsid w:val="005343DA"/>
    <w:rsid w:val="00560874"/>
    <w:rsid w:val="00586CF2"/>
    <w:rsid w:val="005A21A0"/>
    <w:rsid w:val="005A7C75"/>
    <w:rsid w:val="005C3768"/>
    <w:rsid w:val="005C6C3F"/>
    <w:rsid w:val="00613635"/>
    <w:rsid w:val="0062093D"/>
    <w:rsid w:val="00637ECF"/>
    <w:rsid w:val="00642A0C"/>
    <w:rsid w:val="00647B59"/>
    <w:rsid w:val="00690C7B"/>
    <w:rsid w:val="006A4B45"/>
    <w:rsid w:val="006B7864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E3929"/>
    <w:rsid w:val="00830086"/>
    <w:rsid w:val="00851625"/>
    <w:rsid w:val="00863C0A"/>
    <w:rsid w:val="008814BB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9352B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E36EC"/>
    <w:rsid w:val="00BF26E7"/>
    <w:rsid w:val="00C53FCA"/>
    <w:rsid w:val="00C76BAF"/>
    <w:rsid w:val="00C814B9"/>
    <w:rsid w:val="00CD516F"/>
    <w:rsid w:val="00CF52F1"/>
    <w:rsid w:val="00D119A7"/>
    <w:rsid w:val="00D25FBA"/>
    <w:rsid w:val="00D32B28"/>
    <w:rsid w:val="00D42954"/>
    <w:rsid w:val="00D66EAC"/>
    <w:rsid w:val="00D730DF"/>
    <w:rsid w:val="00D772F0"/>
    <w:rsid w:val="00D77BDC"/>
    <w:rsid w:val="00DB0134"/>
    <w:rsid w:val="00DC402B"/>
    <w:rsid w:val="00DD7FD8"/>
    <w:rsid w:val="00DE0932"/>
    <w:rsid w:val="00E03A27"/>
    <w:rsid w:val="00E049F1"/>
    <w:rsid w:val="00E331DF"/>
    <w:rsid w:val="00E37A25"/>
    <w:rsid w:val="00E537FF"/>
    <w:rsid w:val="00E61675"/>
    <w:rsid w:val="00E6539B"/>
    <w:rsid w:val="00E70A31"/>
    <w:rsid w:val="00E723A7"/>
    <w:rsid w:val="00EA3F38"/>
    <w:rsid w:val="00EA5AB6"/>
    <w:rsid w:val="00EC7615"/>
    <w:rsid w:val="00ED0330"/>
    <w:rsid w:val="00ED16AA"/>
    <w:rsid w:val="00ED6B8D"/>
    <w:rsid w:val="00EE3D7B"/>
    <w:rsid w:val="00EF662E"/>
    <w:rsid w:val="00F148F1"/>
    <w:rsid w:val="00F377DD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R16-WRC19-C-0011!A11!MSW-F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2B728-55E0-4500-8A01-63F03203446D}">
  <ds:schemaRefs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367</Words>
  <Characters>2397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R16-WRC19-C-0011!A11!MSW-F</vt:lpstr>
    </vt:vector>
  </TitlesOfParts>
  <Manager>Secrétariat général - Pool</Manager>
  <Company>Union internationale des télécommunications (UIT)</Company>
  <LinksUpToDate>false</LinksUpToDate>
  <CharactersWithSpaces>2742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R16-WRC19-C-0011!A11!MSW-F</dc:title>
  <dc:subject>Conférence mondiale des radiocommunications - 2019</dc:subject>
  <dc:creator>Documents Proposals Manager (DPM)</dc:creator>
  <cp:keywords>DPM_v2019.5.15.1_prod</cp:keywords>
  <dc:description/>
  <cp:lastModifiedBy>Royer, Veronique</cp:lastModifiedBy>
  <cp:revision>8</cp:revision>
  <cp:lastPrinted>2019-07-04T14:16:00Z</cp:lastPrinted>
  <dcterms:created xsi:type="dcterms:W3CDTF">2019-07-01T13:02:00Z</dcterms:created>
  <dcterms:modified xsi:type="dcterms:W3CDTF">2019-07-04T14:16:00Z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