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F8240C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F8240C" w:rsidRPr="00F8240C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F8240C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54757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547575" w:rsidRDefault="003E1608" w:rsidP="00547575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 w:rsidRPr="00547575">
              <w:rPr>
                <w:rFonts w:ascii="Verdana" w:hAnsi="Verdana"/>
              </w:rPr>
              <w:t>11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 w:rsidR="00547575">
              <w:rPr>
                <w:rFonts w:ascii="Verdana" w:hAnsi="Verdana"/>
              </w:rPr>
              <w:t>11-A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4757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4757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4757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4757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 w:rsidR="0022219E"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547575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547575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4757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47575" w:rsidRDefault="00764079" w:rsidP="00547575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547575">
              <w:rPr>
                <w:rFonts w:hint="cs"/>
                <w:rtl/>
              </w:rPr>
              <w:t xml:space="preserve"> </w:t>
            </w:r>
            <w:r w:rsidR="00547575">
              <w:rPr>
                <w:lang w:val="en-US"/>
              </w:rPr>
              <w:t>11.1</w:t>
            </w:r>
          </w:p>
        </w:tc>
      </w:tr>
    </w:tbl>
    <w:p w:rsidR="001D597A" w:rsidRPr="00C50B0E" w:rsidRDefault="0022219E" w:rsidP="00E0729C">
      <w:pPr>
        <w:pStyle w:val="Normalaftertitle"/>
        <w:rPr>
          <w:rFonts w:eastAsia="SimSun"/>
          <w:spacing w:val="-2"/>
          <w:rtl/>
          <w:lang w:eastAsia="zh-CN" w:bidi="ar-SY"/>
        </w:rPr>
      </w:pPr>
      <w:r w:rsidRPr="00C50B0E">
        <w:rPr>
          <w:rFonts w:eastAsia="SimSun"/>
          <w:spacing w:val="-2"/>
          <w:lang w:eastAsia="zh-CN" w:bidi="ar-SY"/>
        </w:rPr>
        <w:t>11.1</w:t>
      </w:r>
      <w:r w:rsidRPr="00C50B0E">
        <w:rPr>
          <w:rFonts w:eastAsia="SimSun"/>
          <w:spacing w:val="-2"/>
          <w:lang w:eastAsia="zh-CN" w:bidi="ar-SY"/>
        </w:rPr>
        <w:tab/>
      </w:r>
      <w:r w:rsidRPr="00C50B0E">
        <w:rPr>
          <w:rFonts w:eastAsia="SimSun" w:hint="cs"/>
          <w:spacing w:val="-2"/>
          <w:rtl/>
          <w:lang w:eastAsia="zh-CN"/>
        </w:rPr>
        <w:t>اتخاذ الإجراءات اللازمة، حسب الاقتضاء، لتيسير نطاقات ترددات منسقة عالمياً أو إقليمياً لدعم أنظمة الاتصالات الراديوية</w:t>
      </w:r>
      <w:r w:rsidR="00E0729C">
        <w:rPr>
          <w:rFonts w:eastAsia="SimSun" w:hint="cs"/>
          <w:spacing w:val="-2"/>
          <w:rtl/>
          <w:lang w:eastAsia="zh-CN"/>
        </w:rPr>
        <w:t xml:space="preserve"> </w:t>
      </w:r>
      <w:r w:rsidRPr="00C50B0E">
        <w:rPr>
          <w:rFonts w:eastAsia="SimSun" w:hint="cs"/>
          <w:spacing w:val="-2"/>
          <w:rtl/>
          <w:lang w:eastAsia="zh-CN"/>
        </w:rPr>
        <w:t>الخاصة بالسكك الحديدية بين القطار وجوانب مساره ضمن التوزيعات الحالية للخدمة المتنقلة، وفقاً للقرار</w:t>
      </w:r>
      <w:r w:rsidRPr="00C50B0E">
        <w:rPr>
          <w:rFonts w:eastAsia="SimSun" w:hint="eastAsia"/>
          <w:spacing w:val="-2"/>
          <w:rtl/>
          <w:lang w:eastAsia="zh-CN" w:bidi="ar-SY"/>
        </w:rPr>
        <w:t> </w:t>
      </w:r>
      <w:r w:rsidRPr="00C50B0E">
        <w:rPr>
          <w:rFonts w:eastAsia="SimSun"/>
          <w:b/>
          <w:bCs/>
          <w:spacing w:val="-2"/>
          <w:lang w:eastAsia="zh-CN" w:bidi="ar-SY"/>
        </w:rPr>
        <w:t>236 (WRC</w:t>
      </w:r>
      <w:r w:rsidRPr="00C50B0E">
        <w:rPr>
          <w:rFonts w:eastAsia="SimSun"/>
          <w:b/>
          <w:bCs/>
          <w:spacing w:val="-2"/>
          <w:lang w:eastAsia="zh-CN" w:bidi="ar-SY"/>
        </w:rPr>
        <w:noBreakHyphen/>
        <w:t>15</w:t>
      </w:r>
      <w:proofErr w:type="gramStart"/>
      <w:r w:rsidRPr="00C50B0E">
        <w:rPr>
          <w:rFonts w:eastAsia="SimSun"/>
          <w:b/>
          <w:bCs/>
          <w:spacing w:val="-2"/>
          <w:lang w:eastAsia="zh-CN" w:bidi="ar-SY"/>
        </w:rPr>
        <w:t>)</w:t>
      </w:r>
      <w:r w:rsidRPr="00C50B0E">
        <w:rPr>
          <w:rFonts w:eastAsia="SimSun" w:hint="cs"/>
          <w:spacing w:val="-2"/>
          <w:rtl/>
          <w:lang w:eastAsia="zh-CN"/>
        </w:rPr>
        <w:t>؛</w:t>
      </w:r>
      <w:proofErr w:type="gramEnd"/>
    </w:p>
    <w:p w:rsidR="00F16602" w:rsidRDefault="00547575" w:rsidP="00547575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547575" w:rsidRPr="00C9211D" w:rsidRDefault="00235D85" w:rsidP="004D04F7">
      <w:pPr>
        <w:rPr>
          <w:rtl/>
        </w:rPr>
      </w:pPr>
      <w:r>
        <w:rPr>
          <w:rFonts w:eastAsia="SimSun" w:hint="cs"/>
          <w:rtl/>
          <w:lang w:eastAsia="zh-CN"/>
        </w:rPr>
        <w:t xml:space="preserve">تنقل </w:t>
      </w:r>
      <w:r w:rsidRPr="00723691">
        <w:rPr>
          <w:rFonts w:eastAsia="SimSun" w:hint="cs"/>
          <w:rtl/>
          <w:lang w:eastAsia="zh-CN"/>
        </w:rPr>
        <w:t>أنظمة الاتصالات الراديوية</w:t>
      </w:r>
      <w:r w:rsidR="004D04F7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الخاصة بالسكك الحديدية بين القطار وجوانب مساره</w:t>
      </w:r>
      <w:r w:rsidR="005939DA">
        <w:rPr>
          <w:rFonts w:hint="cs"/>
          <w:rtl/>
        </w:rPr>
        <w:t xml:space="preserve"> </w:t>
      </w:r>
      <w:r>
        <w:rPr>
          <w:rFonts w:hint="cs"/>
          <w:rtl/>
        </w:rPr>
        <w:t xml:space="preserve">معلومات تتعلق بالتحكم </w:t>
      </w:r>
      <w:r w:rsidR="005D042B">
        <w:rPr>
          <w:rFonts w:hint="cs"/>
          <w:rtl/>
        </w:rPr>
        <w:t xml:space="preserve">في القطارات وقيادتها وتشغيلها </w:t>
      </w:r>
      <w:r w:rsidR="00650C5E">
        <w:rPr>
          <w:rFonts w:hint="cs"/>
          <w:rtl/>
        </w:rPr>
        <w:t>إلى جانب</w:t>
      </w:r>
      <w:r w:rsidR="005D042B">
        <w:rPr>
          <w:rFonts w:hint="cs"/>
          <w:rtl/>
        </w:rPr>
        <w:t xml:space="preserve"> بيانات المراقبة بين </w:t>
      </w:r>
      <w:r w:rsidR="00334EB9">
        <w:rPr>
          <w:rFonts w:hint="cs"/>
          <w:rtl/>
        </w:rPr>
        <w:t>المعدات</w:t>
      </w:r>
      <w:r w:rsidR="005D042B">
        <w:rPr>
          <w:rFonts w:hint="cs"/>
          <w:rtl/>
        </w:rPr>
        <w:t xml:space="preserve"> الراديوية على المتن والبنية التحتية الراديوية المتصلة بها </w:t>
      </w:r>
      <w:r w:rsidR="00C9211D">
        <w:rPr>
          <w:rFonts w:hint="cs"/>
          <w:rtl/>
        </w:rPr>
        <w:t xml:space="preserve">الواقعة </w:t>
      </w:r>
      <w:r w:rsidR="00545708">
        <w:rPr>
          <w:rFonts w:hint="cs"/>
          <w:rtl/>
        </w:rPr>
        <w:t>على طول السكة الحديدية</w:t>
      </w:r>
      <w:r w:rsidR="005D042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014BF">
        <w:rPr>
          <w:rFonts w:hint="cs"/>
          <w:rtl/>
        </w:rPr>
        <w:t>وجاء</w:t>
      </w:r>
      <w:r w:rsidR="00C9211D">
        <w:rPr>
          <w:rFonts w:hint="cs"/>
          <w:rtl/>
        </w:rPr>
        <w:t xml:space="preserve"> البند </w:t>
      </w:r>
      <w:r w:rsidR="00C9211D">
        <w:t>11.1</w:t>
      </w:r>
      <w:r w:rsidR="00C9211D">
        <w:rPr>
          <w:rFonts w:hint="cs"/>
          <w:rtl/>
        </w:rPr>
        <w:t xml:space="preserve"> من جدول أعمال المؤتمر العالمي للاتصالات الراديوية </w:t>
      </w:r>
      <w:r w:rsidR="00C9211D">
        <w:t>(WRC-19)</w:t>
      </w:r>
      <w:r w:rsidR="00C9211D">
        <w:rPr>
          <w:rFonts w:hint="cs"/>
          <w:rtl/>
        </w:rPr>
        <w:t xml:space="preserve"> والقرار </w:t>
      </w:r>
      <w:r w:rsidR="00C9211D" w:rsidRPr="004D04F7">
        <w:rPr>
          <w:b/>
          <w:bCs/>
        </w:rPr>
        <w:t>236 (WRC-15)</w:t>
      </w:r>
      <w:r w:rsidR="00C9211D" w:rsidRPr="004D04F7">
        <w:rPr>
          <w:rFonts w:hint="cs"/>
          <w:b/>
          <w:bCs/>
          <w:rtl/>
        </w:rPr>
        <w:t xml:space="preserve"> </w:t>
      </w:r>
      <w:r w:rsidR="00C9211D">
        <w:rPr>
          <w:rFonts w:hint="cs"/>
          <w:rtl/>
        </w:rPr>
        <w:t xml:space="preserve">المرتبط به </w:t>
      </w:r>
      <w:r w:rsidR="00D1235B">
        <w:rPr>
          <w:rFonts w:hint="cs"/>
          <w:rtl/>
        </w:rPr>
        <w:t xml:space="preserve">نتيجة جهود تبذلها بعض الإدارات في سبيل </w:t>
      </w:r>
      <w:r w:rsidR="00D014BF">
        <w:rPr>
          <w:rFonts w:hint="cs"/>
          <w:rtl/>
        </w:rPr>
        <w:t xml:space="preserve">تنسيق الطيف </w:t>
      </w:r>
      <w:r w:rsidR="00334EB9">
        <w:rPr>
          <w:rFonts w:hint="cs"/>
          <w:rtl/>
        </w:rPr>
        <w:t>بشأن</w:t>
      </w:r>
      <w:r w:rsidR="00D014BF">
        <w:rPr>
          <w:rFonts w:hint="cs"/>
          <w:rtl/>
        </w:rPr>
        <w:t xml:space="preserve"> أنظمة الاتصالات الراديوية الخاصة بالسكك الحديدية بين القطار </w:t>
      </w:r>
      <w:r w:rsidR="00D1235B">
        <w:rPr>
          <w:rFonts w:hint="cs"/>
          <w:rtl/>
        </w:rPr>
        <w:t>وجانبي</w:t>
      </w:r>
      <w:r w:rsidR="00D014BF">
        <w:rPr>
          <w:rFonts w:hint="cs"/>
          <w:rtl/>
        </w:rPr>
        <w:t xml:space="preserve"> السكة من أجل القيادة والتحكم.</w:t>
      </w:r>
    </w:p>
    <w:p w:rsidR="00D1235B" w:rsidRPr="00D1235B" w:rsidRDefault="00F851C1" w:rsidP="00983002">
      <w:pPr>
        <w:pStyle w:val="Headingb"/>
        <w:rPr>
          <w:rFonts w:hint="cs"/>
          <w:rtl/>
        </w:rPr>
      </w:pPr>
      <w:r>
        <w:rPr>
          <w:rFonts w:hint="cs"/>
          <w:rtl/>
        </w:rPr>
        <w:t>مقترحات</w:t>
      </w:r>
      <w:r w:rsidR="00D1235B" w:rsidRPr="00D1235B">
        <w:rPr>
          <w:rFonts w:hint="cs"/>
          <w:rtl/>
        </w:rPr>
        <w:t xml:space="preserve"> البلدان الأمريكية</w:t>
      </w:r>
    </w:p>
    <w:p w:rsidR="00D13C1D" w:rsidRDefault="0022219E">
      <w:pPr>
        <w:pStyle w:val="Proposal"/>
      </w:pPr>
      <w:r>
        <w:rPr>
          <w:u w:val="single"/>
        </w:rPr>
        <w:t>NOC</w:t>
      </w:r>
      <w:r>
        <w:tab/>
        <w:t>IAP/11A11/1</w:t>
      </w:r>
    </w:p>
    <w:p w:rsidR="00FA7BB0" w:rsidRDefault="0022219E" w:rsidP="00983002">
      <w:pPr>
        <w:pStyle w:val="Volumetitle"/>
        <w:keepNext/>
        <w:rPr>
          <w:b/>
          <w:bCs/>
          <w:sz w:val="34"/>
          <w:szCs w:val="44"/>
        </w:rPr>
      </w:pPr>
      <w:bookmarkStart w:id="1" w:name="_Toc331055718"/>
      <w:r w:rsidRPr="004A5F82">
        <w:rPr>
          <w:rFonts w:hint="cs"/>
          <w:b/>
          <w:bCs/>
          <w:sz w:val="34"/>
          <w:szCs w:val="44"/>
          <w:rtl/>
        </w:rPr>
        <w:t>المــواد</w:t>
      </w:r>
      <w:bookmarkEnd w:id="1"/>
    </w:p>
    <w:p w:rsidR="00D13C1D" w:rsidRPr="00DC1A61" w:rsidRDefault="0022219E" w:rsidP="00131291">
      <w:pPr>
        <w:pStyle w:val="Reasons"/>
        <w:keepLines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370AAC">
        <w:rPr>
          <w:rFonts w:hint="cs"/>
          <w:b w:val="0"/>
          <w:bCs w:val="0"/>
          <w:rtl/>
        </w:rPr>
        <w:t xml:space="preserve">ترى إدارات </w:t>
      </w:r>
      <w:r w:rsidR="00370AAC" w:rsidRPr="00370AAC">
        <w:rPr>
          <w:b w:val="0"/>
          <w:bCs w:val="0"/>
          <w:color w:val="000000"/>
          <w:rtl/>
        </w:rPr>
        <w:t>لجنة البلدان الأمريكية للاتصالات</w:t>
      </w:r>
      <w:r w:rsidR="00370AAC">
        <w:rPr>
          <w:rFonts w:hint="cs"/>
          <w:b w:val="0"/>
          <w:bCs w:val="0"/>
          <w:rtl/>
        </w:rPr>
        <w:t xml:space="preserve"> أنه لا يلزم </w:t>
      </w:r>
      <w:r w:rsidR="00F07AB6">
        <w:rPr>
          <w:rFonts w:hint="cs"/>
          <w:b w:val="0"/>
          <w:bCs w:val="0"/>
          <w:rtl/>
        </w:rPr>
        <w:t>أن يُحدد</w:t>
      </w:r>
      <w:r w:rsidR="00370AAC">
        <w:rPr>
          <w:rFonts w:hint="cs"/>
          <w:b w:val="0"/>
          <w:bCs w:val="0"/>
          <w:rtl/>
        </w:rPr>
        <w:t xml:space="preserve"> الطيف </w:t>
      </w:r>
      <w:r w:rsidR="00F07AB6">
        <w:rPr>
          <w:rFonts w:hint="cs"/>
          <w:b w:val="0"/>
          <w:bCs w:val="0"/>
          <w:rtl/>
        </w:rPr>
        <w:t xml:space="preserve">بشكل خاص </w:t>
      </w:r>
      <w:r w:rsidR="00370AAC">
        <w:rPr>
          <w:rFonts w:hint="cs"/>
          <w:b w:val="0"/>
          <w:bCs w:val="0"/>
          <w:rtl/>
        </w:rPr>
        <w:t xml:space="preserve">لأنظمة الاتصالات الراديوية </w:t>
      </w:r>
      <w:r w:rsidR="00DC1A61" w:rsidRPr="00DC1A61">
        <w:rPr>
          <w:rFonts w:eastAsia="SimSun" w:hint="cs"/>
          <w:b w:val="0"/>
          <w:bCs w:val="0"/>
          <w:rtl/>
          <w:lang w:eastAsia="zh-CN"/>
        </w:rPr>
        <w:t>الخاصة بالسكك الحديدية</w:t>
      </w:r>
      <w:r w:rsidR="00DC1A61">
        <w:rPr>
          <w:rFonts w:hint="cs"/>
          <w:b w:val="0"/>
          <w:bCs w:val="0"/>
          <w:rtl/>
        </w:rPr>
        <w:t xml:space="preserve">. ويمكن تحقيق التنسيق </w:t>
      </w:r>
      <w:r w:rsidR="00665F60">
        <w:rPr>
          <w:rFonts w:hint="cs"/>
          <w:b w:val="0"/>
          <w:bCs w:val="0"/>
          <w:rtl/>
        </w:rPr>
        <w:t>على الصعيدين الإقليمي والعالمي</w:t>
      </w:r>
      <w:r w:rsidR="00DC1A61">
        <w:rPr>
          <w:rFonts w:hint="cs"/>
          <w:b w:val="0"/>
          <w:bCs w:val="0"/>
          <w:rtl/>
        </w:rPr>
        <w:t xml:space="preserve"> من خلال تقارير وتوصيات قطاع الاتصالات الراديوية المطبقة.</w:t>
      </w:r>
      <w:r w:rsidR="00874E32">
        <w:rPr>
          <w:rFonts w:hint="cs"/>
          <w:b w:val="0"/>
          <w:bCs w:val="0"/>
          <w:rtl/>
        </w:rPr>
        <w:t xml:space="preserve"> ولذلك، لا يلزم أي تغيير </w:t>
      </w:r>
      <w:r w:rsidR="004D04F7">
        <w:rPr>
          <w:rFonts w:hint="cs"/>
          <w:b w:val="0"/>
          <w:bCs w:val="0"/>
          <w:rtl/>
        </w:rPr>
        <w:t>في</w:t>
      </w:r>
      <w:r w:rsidR="00874E32">
        <w:rPr>
          <w:rFonts w:hint="cs"/>
          <w:b w:val="0"/>
          <w:bCs w:val="0"/>
          <w:rtl/>
        </w:rPr>
        <w:t xml:space="preserve"> لوائح الراديو أو أي إجراء تنظيمي بموجب هذا البند من جدول الأعمال.</w:t>
      </w:r>
    </w:p>
    <w:p w:rsidR="00D13C1D" w:rsidRDefault="0022219E">
      <w:pPr>
        <w:pStyle w:val="Proposal"/>
      </w:pPr>
      <w:r>
        <w:rPr>
          <w:u w:val="single"/>
        </w:rPr>
        <w:lastRenderedPageBreak/>
        <w:t>NOC</w:t>
      </w:r>
      <w:r>
        <w:tab/>
        <w:t>IAP/11A11/2</w:t>
      </w:r>
    </w:p>
    <w:p w:rsidR="00A3480C" w:rsidRPr="00730EC7" w:rsidRDefault="0022219E" w:rsidP="00730EC7">
      <w:pPr>
        <w:pStyle w:val="Volumetitle"/>
        <w:rPr>
          <w:b/>
          <w:bCs/>
          <w:sz w:val="44"/>
          <w:szCs w:val="44"/>
        </w:rPr>
      </w:pPr>
      <w:proofErr w:type="spellStart"/>
      <w:r w:rsidRPr="00730EC7">
        <w:rPr>
          <w:rFonts w:hint="cs"/>
          <w:b/>
          <w:bCs/>
          <w:sz w:val="44"/>
          <w:szCs w:val="44"/>
          <w:rtl/>
        </w:rPr>
        <w:t>التذييـلات</w:t>
      </w:r>
      <w:proofErr w:type="spellEnd"/>
    </w:p>
    <w:p w:rsidR="000E64AE" w:rsidRPr="00DC1A61" w:rsidRDefault="0022219E" w:rsidP="004D04F7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0E64AE">
        <w:rPr>
          <w:rFonts w:hint="cs"/>
          <w:b w:val="0"/>
          <w:bCs w:val="0"/>
          <w:rtl/>
        </w:rPr>
        <w:t xml:space="preserve">ترى إدارات </w:t>
      </w:r>
      <w:r w:rsidR="000E64AE" w:rsidRPr="00370AAC">
        <w:rPr>
          <w:b w:val="0"/>
          <w:bCs w:val="0"/>
          <w:color w:val="000000"/>
          <w:rtl/>
        </w:rPr>
        <w:t>لجنة البلدان الأمريكية للاتصالات</w:t>
      </w:r>
      <w:r w:rsidR="000E64AE">
        <w:rPr>
          <w:rFonts w:hint="cs"/>
          <w:b w:val="0"/>
          <w:bCs w:val="0"/>
          <w:rtl/>
        </w:rPr>
        <w:t xml:space="preserve"> أنه لا يلزم </w:t>
      </w:r>
      <w:r w:rsidR="00F07AB6">
        <w:rPr>
          <w:rFonts w:hint="cs"/>
          <w:b w:val="0"/>
          <w:bCs w:val="0"/>
          <w:rtl/>
        </w:rPr>
        <w:t>أن يُحدد</w:t>
      </w:r>
      <w:r w:rsidR="000E64AE">
        <w:rPr>
          <w:rFonts w:hint="cs"/>
          <w:b w:val="0"/>
          <w:bCs w:val="0"/>
          <w:rtl/>
        </w:rPr>
        <w:t xml:space="preserve"> الطيف </w:t>
      </w:r>
      <w:r w:rsidR="00F07AB6">
        <w:rPr>
          <w:rFonts w:hint="cs"/>
          <w:b w:val="0"/>
          <w:bCs w:val="0"/>
          <w:rtl/>
        </w:rPr>
        <w:t xml:space="preserve">بشكل خاص </w:t>
      </w:r>
      <w:r w:rsidR="000E64AE">
        <w:rPr>
          <w:rFonts w:hint="cs"/>
          <w:b w:val="0"/>
          <w:bCs w:val="0"/>
          <w:rtl/>
        </w:rPr>
        <w:t xml:space="preserve">لأنظمة الاتصالات الراديوية </w:t>
      </w:r>
      <w:r w:rsidR="000E64AE" w:rsidRPr="00DC1A61">
        <w:rPr>
          <w:rFonts w:eastAsia="SimSun" w:hint="cs"/>
          <w:b w:val="0"/>
          <w:bCs w:val="0"/>
          <w:rtl/>
          <w:lang w:eastAsia="zh-CN"/>
        </w:rPr>
        <w:t>الخاصة بالسكك الحديدية</w:t>
      </w:r>
      <w:r w:rsidR="000E64AE">
        <w:rPr>
          <w:rFonts w:hint="cs"/>
          <w:b w:val="0"/>
          <w:bCs w:val="0"/>
          <w:rtl/>
        </w:rPr>
        <w:t xml:space="preserve">. ويمكن تحقيق التنسيق على الصعيدين الإقليمي والعالمي من خلال تقارير وتوصيات قطاع الاتصالات الراديوية المطبقة. ولذلك، لا يلزم أي تغيير </w:t>
      </w:r>
      <w:r w:rsidR="004D04F7">
        <w:rPr>
          <w:rFonts w:hint="cs"/>
          <w:b w:val="0"/>
          <w:bCs w:val="0"/>
          <w:rtl/>
        </w:rPr>
        <w:t>في</w:t>
      </w:r>
      <w:r w:rsidR="000E64AE">
        <w:rPr>
          <w:rFonts w:hint="cs"/>
          <w:b w:val="0"/>
          <w:bCs w:val="0"/>
          <w:rtl/>
        </w:rPr>
        <w:t xml:space="preserve"> لوائح الراديو أو أي إجراء تنظيمي بموجب هذا البند من جدول الأعمال.</w:t>
      </w:r>
    </w:p>
    <w:p w:rsidR="00D13C1D" w:rsidRDefault="0022219E">
      <w:pPr>
        <w:pStyle w:val="Proposal"/>
      </w:pPr>
      <w:r>
        <w:t>SUP</w:t>
      </w:r>
      <w:r>
        <w:tab/>
        <w:t>IAP/11A11/3</w:t>
      </w:r>
    </w:p>
    <w:p w:rsidR="00FC1116" w:rsidRPr="004763BC" w:rsidRDefault="0022219E" w:rsidP="00FC1116">
      <w:pPr>
        <w:pStyle w:val="ResNo"/>
        <w:rPr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F82F17">
        <w:rPr>
          <w:rStyle w:val="href"/>
        </w:rPr>
        <w:t>236</w:t>
      </w:r>
      <w:r w:rsidRPr="004763BC">
        <w:t xml:space="preserve"> (WRC-15)</w:t>
      </w:r>
    </w:p>
    <w:p w:rsidR="00FC1116" w:rsidRPr="004763BC" w:rsidRDefault="0022219E" w:rsidP="00FC1116">
      <w:pPr>
        <w:pStyle w:val="Restitle"/>
        <w:rPr>
          <w:rtl/>
        </w:rPr>
      </w:pPr>
      <w:r w:rsidRPr="004763BC">
        <w:rPr>
          <w:rFonts w:hint="cs"/>
          <w:rtl/>
        </w:rPr>
        <w:t>أنظمة الاتصالات الراديوية الخاصة بالسكك الحديدية بين القطار وجانب السكة</w:t>
      </w:r>
    </w:p>
    <w:p w:rsidR="00D13C1D" w:rsidRPr="006E761C" w:rsidRDefault="0022219E" w:rsidP="007130A3">
      <w:pPr>
        <w:pStyle w:val="Reasons"/>
        <w:rPr>
          <w:b w:val="0"/>
          <w:bCs w:val="0"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0E64AE" w:rsidRPr="000E64AE">
        <w:rPr>
          <w:rFonts w:hint="cs"/>
          <w:b w:val="0"/>
          <w:bCs w:val="0"/>
          <w:rtl/>
          <w:lang w:bidi="ar-EG"/>
        </w:rPr>
        <w:t xml:space="preserve">يمكن </w:t>
      </w:r>
      <w:r w:rsidR="000E64AE">
        <w:rPr>
          <w:rFonts w:hint="cs"/>
          <w:b w:val="0"/>
          <w:bCs w:val="0"/>
          <w:rtl/>
          <w:lang w:bidi="ar-EG"/>
        </w:rPr>
        <w:t xml:space="preserve">إجراء </w:t>
      </w:r>
      <w:r w:rsidR="00E24A2F">
        <w:rPr>
          <w:rFonts w:hint="cs"/>
          <w:b w:val="0"/>
          <w:bCs w:val="0"/>
          <w:rtl/>
          <w:lang w:bidi="ar-EG"/>
        </w:rPr>
        <w:t>ال</w:t>
      </w:r>
      <w:r w:rsidR="00650C5E">
        <w:rPr>
          <w:rFonts w:hint="cs"/>
          <w:b w:val="0"/>
          <w:bCs w:val="0"/>
          <w:rtl/>
          <w:lang w:bidi="ar-EG"/>
        </w:rPr>
        <w:t xml:space="preserve">دراسات </w:t>
      </w:r>
      <w:r w:rsidR="00E24A2F">
        <w:rPr>
          <w:rFonts w:hint="cs"/>
          <w:b w:val="0"/>
          <w:bCs w:val="0"/>
          <w:rtl/>
          <w:lang w:bidi="ar-EG"/>
        </w:rPr>
        <w:t>الرامية إلى</w:t>
      </w:r>
      <w:r w:rsidR="000E64AE">
        <w:rPr>
          <w:rFonts w:hint="cs"/>
          <w:b w:val="0"/>
          <w:bCs w:val="0"/>
          <w:rtl/>
          <w:lang w:bidi="ar-EG"/>
        </w:rPr>
        <w:t xml:space="preserve"> </w:t>
      </w:r>
      <w:r w:rsidR="00B51FAD">
        <w:rPr>
          <w:rFonts w:hint="cs"/>
          <w:b w:val="0"/>
          <w:bCs w:val="0"/>
          <w:rtl/>
          <w:lang w:bidi="ar-EG"/>
        </w:rPr>
        <w:t xml:space="preserve">تحقيق </w:t>
      </w:r>
      <w:r w:rsidR="000E64AE">
        <w:rPr>
          <w:rFonts w:hint="cs"/>
          <w:b w:val="0"/>
          <w:bCs w:val="0"/>
          <w:rtl/>
          <w:lang w:bidi="ar-EG"/>
        </w:rPr>
        <w:t xml:space="preserve">التنسيق على الصعيدين الإقليمي والعالمي </w:t>
      </w:r>
      <w:r w:rsidR="00650C5E">
        <w:rPr>
          <w:rFonts w:hint="cs"/>
          <w:b w:val="0"/>
          <w:bCs w:val="0"/>
          <w:rtl/>
          <w:lang w:bidi="ar-EG"/>
        </w:rPr>
        <w:t xml:space="preserve">من خلال </w:t>
      </w:r>
      <w:r w:rsidR="007130A3">
        <w:rPr>
          <w:rFonts w:hint="cs"/>
          <w:b w:val="0"/>
          <w:bCs w:val="0"/>
          <w:rtl/>
          <w:lang w:bidi="ar-EG"/>
        </w:rPr>
        <w:t>إعداد</w:t>
      </w:r>
      <w:r w:rsidR="000E64AE">
        <w:rPr>
          <w:rFonts w:hint="cs"/>
          <w:b w:val="0"/>
          <w:bCs w:val="0"/>
          <w:rtl/>
          <w:lang w:bidi="ar-EG"/>
        </w:rPr>
        <w:t xml:space="preserve"> توصيات وتقارير لقطاع الاتصالات الراديوية.</w:t>
      </w:r>
      <w:bookmarkStart w:id="2" w:name="_GoBack"/>
      <w:bookmarkEnd w:id="2"/>
    </w:p>
    <w:p w:rsidR="00547575" w:rsidRPr="00547575" w:rsidRDefault="00547575" w:rsidP="0054757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47575" w:rsidRPr="00547575" w:rsidSect="00547575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A4" w:rsidRDefault="007D41A4" w:rsidP="002919E1">
      <w:r>
        <w:separator/>
      </w:r>
    </w:p>
    <w:p w:rsidR="007D41A4" w:rsidRDefault="007D41A4" w:rsidP="002919E1"/>
    <w:p w:rsidR="007D41A4" w:rsidRDefault="007D41A4" w:rsidP="002919E1"/>
    <w:p w:rsidR="007D41A4" w:rsidRDefault="007D41A4"/>
  </w:endnote>
  <w:end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8240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240BB">
      <w:rPr>
        <w:noProof/>
        <w:lang w:val="es-ES"/>
      </w:rPr>
      <w:t>P:\ARA\ITU-R\CONF-R\CMR19\000\011ADD11A.docx</w:t>
    </w:r>
    <w:r w:rsidRPr="00CB4300">
      <w:fldChar w:fldCharType="end"/>
    </w:r>
    <w:r w:rsidRPr="00CB4300">
      <w:rPr>
        <w:lang w:val="es-ES"/>
      </w:rPr>
      <w:t xml:space="preserve">  (</w:t>
    </w:r>
    <w:r w:rsidR="00F8240C">
      <w:rPr>
        <w:lang w:val="es-ES"/>
      </w:rPr>
      <w:t>457756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240BB">
      <w:rPr>
        <w:noProof/>
      </w:rPr>
      <w:t>19.07.19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240BB">
      <w:rPr>
        <w:noProof/>
      </w:rPr>
      <w:t>19.07.19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8240C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240BB">
      <w:rPr>
        <w:noProof/>
        <w:lang w:val="es-ES"/>
      </w:rPr>
      <w:t>P:\ARA\ITU-R\CONF-R\CMR19\000\011ADD11A.docx</w:t>
    </w:r>
    <w:r>
      <w:fldChar w:fldCharType="end"/>
    </w:r>
    <w:r w:rsidRPr="00CB4300">
      <w:rPr>
        <w:lang w:val="es-ES"/>
      </w:rPr>
      <w:t xml:space="preserve">   (</w:t>
    </w:r>
    <w:r w:rsidR="00F8240C">
      <w:rPr>
        <w:lang w:val="es-ES"/>
      </w:rPr>
      <w:t>457756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240BB">
      <w:rPr>
        <w:noProof/>
      </w:rPr>
      <w:t>19.07.19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240BB">
      <w:rPr>
        <w:noProof/>
      </w:rPr>
      <w:t>19.07.19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A4" w:rsidRDefault="007D41A4" w:rsidP="002919E1">
      <w:r>
        <w:t>___________________</w:t>
      </w:r>
    </w:p>
  </w:footnote>
  <w:foot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240B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4AE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31291"/>
    <w:rsid w:val="001464F2"/>
    <w:rsid w:val="001629EC"/>
    <w:rsid w:val="00167364"/>
    <w:rsid w:val="001903B2"/>
    <w:rsid w:val="001D7361"/>
    <w:rsid w:val="001E190C"/>
    <w:rsid w:val="001E54F6"/>
    <w:rsid w:val="001E5A8C"/>
    <w:rsid w:val="00201A0A"/>
    <w:rsid w:val="002075D4"/>
    <w:rsid w:val="00211B2A"/>
    <w:rsid w:val="00211D84"/>
    <w:rsid w:val="0022219E"/>
    <w:rsid w:val="002333A0"/>
    <w:rsid w:val="00235D85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4EB9"/>
    <w:rsid w:val="0033737F"/>
    <w:rsid w:val="00353652"/>
    <w:rsid w:val="003569E1"/>
    <w:rsid w:val="00370AAC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04F7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5708"/>
    <w:rsid w:val="00546A99"/>
    <w:rsid w:val="00547575"/>
    <w:rsid w:val="00553411"/>
    <w:rsid w:val="00554AE7"/>
    <w:rsid w:val="00564746"/>
    <w:rsid w:val="0056512C"/>
    <w:rsid w:val="00576D0A"/>
    <w:rsid w:val="00576FCC"/>
    <w:rsid w:val="00580C84"/>
    <w:rsid w:val="00584333"/>
    <w:rsid w:val="005930D8"/>
    <w:rsid w:val="005939DA"/>
    <w:rsid w:val="005953EC"/>
    <w:rsid w:val="005B00A1"/>
    <w:rsid w:val="005C29C8"/>
    <w:rsid w:val="005C5D25"/>
    <w:rsid w:val="005D042B"/>
    <w:rsid w:val="005D6D48"/>
    <w:rsid w:val="005D6E85"/>
    <w:rsid w:val="005D72A4"/>
    <w:rsid w:val="005F05CC"/>
    <w:rsid w:val="005F65DE"/>
    <w:rsid w:val="00613492"/>
    <w:rsid w:val="006315B5"/>
    <w:rsid w:val="00635DE6"/>
    <w:rsid w:val="00650C5E"/>
    <w:rsid w:val="0065110E"/>
    <w:rsid w:val="00651343"/>
    <w:rsid w:val="0065562F"/>
    <w:rsid w:val="00665F60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E761C"/>
    <w:rsid w:val="006F70BF"/>
    <w:rsid w:val="007130A3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74E32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5811"/>
    <w:rsid w:val="008D6ACC"/>
    <w:rsid w:val="008D7AF0"/>
    <w:rsid w:val="008E32DD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83002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37297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1FAD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6F6F"/>
    <w:rsid w:val="00C1165E"/>
    <w:rsid w:val="00C22074"/>
    <w:rsid w:val="00C2377B"/>
    <w:rsid w:val="00C3693C"/>
    <w:rsid w:val="00C50B0E"/>
    <w:rsid w:val="00C53F6F"/>
    <w:rsid w:val="00C5489D"/>
    <w:rsid w:val="00C71759"/>
    <w:rsid w:val="00C8199C"/>
    <w:rsid w:val="00C84112"/>
    <w:rsid w:val="00C841EB"/>
    <w:rsid w:val="00C8665F"/>
    <w:rsid w:val="00C917B5"/>
    <w:rsid w:val="00C9211D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14BF"/>
    <w:rsid w:val="00D1235B"/>
    <w:rsid w:val="00D13C1D"/>
    <w:rsid w:val="00D240BB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1A61"/>
    <w:rsid w:val="00DC29DD"/>
    <w:rsid w:val="00DC7C0E"/>
    <w:rsid w:val="00DE0C7D"/>
    <w:rsid w:val="00DE6514"/>
    <w:rsid w:val="00DF2A6A"/>
    <w:rsid w:val="00DF3B72"/>
    <w:rsid w:val="00E0729C"/>
    <w:rsid w:val="00E10821"/>
    <w:rsid w:val="00E165ED"/>
    <w:rsid w:val="00E2489D"/>
    <w:rsid w:val="00E24A2F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07AB6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240C"/>
    <w:rsid w:val="00F851C1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R16-WRC19-C-0011!A11!MSW-A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AB339-37AD-45A0-B3C7-0769DEDFF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742A12-6AED-41AF-AC53-18BECBEF2C2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B319AB8-0F7F-4C51-A40B-671C555A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305</Words>
  <Characters>1753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R16-WRC19-C-0011!A11!MSW-A</vt:lpstr>
    </vt:vector>
  </TitlesOfParts>
  <Manager>General Secretariat - Pool</Manager>
  <Company>International Telecommunication Union (ITU)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R16-WRC19-C-0011!A11!MSW-A</dc:title>
  <dc:subject>World Radiocommunication Conference - 2019</dc:subject>
  <dc:creator>Documents Proposals Manager (DPM)</dc:creator>
  <cp:keywords>DPM_v2019.6.28.1_prod</cp:keywords>
  <cp:lastModifiedBy>Awad, Samy</cp:lastModifiedBy>
  <cp:revision>13</cp:revision>
  <cp:lastPrinted>2019-07-19T12:18:00Z</cp:lastPrinted>
  <dcterms:created xsi:type="dcterms:W3CDTF">2019-07-16T07:41:00Z</dcterms:created>
  <dcterms:modified xsi:type="dcterms:W3CDTF">2019-07-19T12:18:00Z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