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894B28" w:rsidRPr="00370789" w:rsidTr="000A08F9">
        <w:trPr>
          <w:cantSplit/>
        </w:trPr>
        <w:tc>
          <w:tcPr>
            <w:tcW w:w="6804" w:type="dxa"/>
          </w:tcPr>
          <w:p w:rsidR="00BB1D82" w:rsidRPr="00370789" w:rsidRDefault="00932027" w:rsidP="007728AE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370789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(CMR-19)</w:t>
            </w:r>
            <w:r w:rsidRPr="00370789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370789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Charm el-Cheikh, Égypte, 28 octobre – 22 novembre 2019</w:t>
            </w:r>
          </w:p>
        </w:tc>
        <w:tc>
          <w:tcPr>
            <w:tcW w:w="3227" w:type="dxa"/>
          </w:tcPr>
          <w:p w:rsidR="00BB1D82" w:rsidRPr="00370789" w:rsidRDefault="00932027" w:rsidP="007728AE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370789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499832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B28" w:rsidRPr="00370789" w:rsidTr="000A08F9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BB1D82" w:rsidRPr="00370789" w:rsidRDefault="000D60A1" w:rsidP="007728AE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BB1D82" w:rsidRPr="00370789" w:rsidRDefault="000D60A1" w:rsidP="007728AE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894B28" w:rsidRPr="00370789" w:rsidTr="000A08F9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BB1D82" w:rsidRPr="00370789" w:rsidRDefault="000D60A1" w:rsidP="007728A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BB1D82" w:rsidRPr="00370789" w:rsidRDefault="000D60A1" w:rsidP="007728AE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894B28" w:rsidRPr="00370789" w:rsidTr="000A08F9">
        <w:trPr>
          <w:cantSplit/>
        </w:trPr>
        <w:tc>
          <w:tcPr>
            <w:tcW w:w="6804" w:type="dxa"/>
          </w:tcPr>
          <w:p w:rsidR="00BB1D82" w:rsidRPr="00370789" w:rsidRDefault="00932027" w:rsidP="007728AE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370789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227" w:type="dxa"/>
          </w:tcPr>
          <w:p w:rsidR="00BB1D82" w:rsidRPr="00370789" w:rsidRDefault="00932027" w:rsidP="007728AE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370789">
              <w:rPr>
                <w:rFonts w:ascii="Verdana" w:hAnsi="Verdana"/>
                <w:b/>
                <w:sz w:val="20"/>
                <w:lang w:val="fr-CH"/>
              </w:rPr>
              <w:t>Addendum 1 au</w:t>
            </w:r>
            <w:r w:rsidRPr="00370789">
              <w:rPr>
                <w:rFonts w:ascii="Verdana" w:hAnsi="Verdana"/>
                <w:b/>
                <w:sz w:val="20"/>
                <w:lang w:val="fr-CH"/>
              </w:rPr>
              <w:br/>
              <w:t>Document 11-F</w:t>
            </w:r>
          </w:p>
        </w:tc>
      </w:tr>
      <w:bookmarkEnd w:id="1"/>
      <w:tr w:rsidR="00894B28" w:rsidRPr="00370789" w:rsidTr="000A08F9">
        <w:trPr>
          <w:cantSplit/>
        </w:trPr>
        <w:tc>
          <w:tcPr>
            <w:tcW w:w="6804" w:type="dxa"/>
          </w:tcPr>
          <w:p w:rsidR="00690C7B" w:rsidRPr="00370789" w:rsidRDefault="000D60A1" w:rsidP="007728AE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227" w:type="dxa"/>
          </w:tcPr>
          <w:p w:rsidR="00690C7B" w:rsidRPr="00370789" w:rsidRDefault="00932027" w:rsidP="007728AE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370789">
              <w:rPr>
                <w:rFonts w:ascii="Verdana" w:hAnsi="Verdana"/>
                <w:b/>
                <w:sz w:val="20"/>
                <w:lang w:val="fr-CH"/>
              </w:rPr>
              <w:t>24 juin 2019</w:t>
            </w:r>
          </w:p>
        </w:tc>
      </w:tr>
      <w:tr w:rsidR="00894B28" w:rsidRPr="00370789" w:rsidTr="000A08F9">
        <w:trPr>
          <w:cantSplit/>
        </w:trPr>
        <w:tc>
          <w:tcPr>
            <w:tcW w:w="6804" w:type="dxa"/>
          </w:tcPr>
          <w:p w:rsidR="00690C7B" w:rsidRPr="00370789" w:rsidRDefault="000D60A1" w:rsidP="007728A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227" w:type="dxa"/>
          </w:tcPr>
          <w:p w:rsidR="00690C7B" w:rsidRPr="00370789" w:rsidRDefault="00932027" w:rsidP="007728AE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370789">
              <w:rPr>
                <w:rFonts w:ascii="Verdana" w:hAnsi="Verdana"/>
                <w:b/>
                <w:sz w:val="20"/>
                <w:lang w:val="fr-CH"/>
              </w:rPr>
              <w:t>Original: anglais/espagnol</w:t>
            </w:r>
          </w:p>
        </w:tc>
      </w:tr>
      <w:tr w:rsidR="00894B28" w:rsidRPr="00370789" w:rsidTr="00C11970">
        <w:trPr>
          <w:cantSplit/>
        </w:trPr>
        <w:tc>
          <w:tcPr>
            <w:tcW w:w="10031" w:type="dxa"/>
            <w:gridSpan w:val="2"/>
          </w:tcPr>
          <w:p w:rsidR="00690C7B" w:rsidRPr="00370789" w:rsidRDefault="000D60A1" w:rsidP="007728AE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894B28" w:rsidRPr="00370789" w:rsidTr="0050008E">
        <w:trPr>
          <w:cantSplit/>
        </w:trPr>
        <w:tc>
          <w:tcPr>
            <w:tcW w:w="10031" w:type="dxa"/>
            <w:gridSpan w:val="2"/>
          </w:tcPr>
          <w:p w:rsidR="00690C7B" w:rsidRPr="00370789" w:rsidRDefault="00932027" w:rsidP="007728AE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370789">
              <w:rPr>
                <w:lang w:val="fr-CH"/>
              </w:rPr>
              <w:t>États Membres de la Commission interaméricaine des télécommunications (CITEL)</w:t>
            </w:r>
          </w:p>
        </w:tc>
      </w:tr>
      <w:tr w:rsidR="00894B28" w:rsidRPr="00370789" w:rsidTr="0050008E">
        <w:trPr>
          <w:cantSplit/>
        </w:trPr>
        <w:tc>
          <w:tcPr>
            <w:tcW w:w="10031" w:type="dxa"/>
            <w:gridSpan w:val="2"/>
          </w:tcPr>
          <w:p w:rsidR="00690C7B" w:rsidRPr="00370789" w:rsidRDefault="00932027" w:rsidP="007728AE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370789">
              <w:rPr>
                <w:lang w:val="fr-CH"/>
              </w:rPr>
              <w:t>propositions pour les travaux de la conférence</w:t>
            </w:r>
          </w:p>
        </w:tc>
      </w:tr>
      <w:tr w:rsidR="00894B28" w:rsidRPr="00370789" w:rsidTr="0050008E">
        <w:trPr>
          <w:cantSplit/>
        </w:trPr>
        <w:tc>
          <w:tcPr>
            <w:tcW w:w="10031" w:type="dxa"/>
            <w:gridSpan w:val="2"/>
          </w:tcPr>
          <w:p w:rsidR="00690C7B" w:rsidRPr="00370789" w:rsidRDefault="000D60A1" w:rsidP="007728AE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894B28" w:rsidRPr="00370789" w:rsidTr="0050008E">
        <w:trPr>
          <w:cantSplit/>
        </w:trPr>
        <w:tc>
          <w:tcPr>
            <w:tcW w:w="10031" w:type="dxa"/>
            <w:gridSpan w:val="2"/>
          </w:tcPr>
          <w:p w:rsidR="00690C7B" w:rsidRPr="00370789" w:rsidRDefault="00932027" w:rsidP="007728AE">
            <w:pPr>
              <w:pStyle w:val="Agendaitem"/>
            </w:pPr>
            <w:bookmarkStart w:id="5" w:name="dtitle3" w:colFirst="0" w:colLast="0"/>
            <w:bookmarkEnd w:id="4"/>
            <w:r w:rsidRPr="00370789">
              <w:t>Point 1.1 de l</w:t>
            </w:r>
            <w:r w:rsidR="007728AE" w:rsidRPr="00370789">
              <w:t>'</w:t>
            </w:r>
            <w:r w:rsidRPr="00370789">
              <w:t>ordre du jour</w:t>
            </w:r>
          </w:p>
        </w:tc>
      </w:tr>
    </w:tbl>
    <w:bookmarkEnd w:id="5"/>
    <w:p w:rsidR="001C0E40" w:rsidRPr="00370789" w:rsidRDefault="00932027" w:rsidP="000D60A1">
      <w:pPr>
        <w:pStyle w:val="Normalaftertitle"/>
        <w:rPr>
          <w:lang w:val="fr-CH"/>
        </w:rPr>
      </w:pPr>
      <w:r w:rsidRPr="00370789">
        <w:rPr>
          <w:lang w:val="fr-CH"/>
        </w:rPr>
        <w:t>1.1</w:t>
      </w:r>
      <w:r w:rsidRPr="00370789">
        <w:rPr>
          <w:lang w:val="fr-CH"/>
        </w:rPr>
        <w:tab/>
        <w:t>envisager une attribution de la bande de fréquences 50-54 MHz au service d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 xml:space="preserve">amateur en Région 1, conformément à la Résolution </w:t>
      </w:r>
      <w:r w:rsidRPr="00370789">
        <w:rPr>
          <w:b/>
          <w:bCs/>
          <w:lang w:val="fr-CH"/>
        </w:rPr>
        <w:t>658 (CMR-15)</w:t>
      </w:r>
      <w:r w:rsidRPr="00370789">
        <w:rPr>
          <w:lang w:val="fr-CH"/>
        </w:rPr>
        <w:t>;</w:t>
      </w:r>
    </w:p>
    <w:p w:rsidR="003A583E" w:rsidRPr="00370789" w:rsidRDefault="00932027" w:rsidP="007728AE">
      <w:pPr>
        <w:pStyle w:val="Headingb"/>
        <w:rPr>
          <w:lang w:val="fr-CH"/>
        </w:rPr>
      </w:pPr>
      <w:r w:rsidRPr="00370789">
        <w:rPr>
          <w:lang w:val="fr-CH"/>
        </w:rPr>
        <w:t>Considérations générales</w:t>
      </w:r>
    </w:p>
    <w:p w:rsidR="00D53C8C" w:rsidRPr="00370789" w:rsidRDefault="00853F3C" w:rsidP="007728AE">
      <w:pPr>
        <w:rPr>
          <w:lang w:val="fr-CH"/>
        </w:rPr>
      </w:pPr>
      <w:r w:rsidRPr="00370789">
        <w:rPr>
          <w:lang w:val="fr-CH"/>
        </w:rPr>
        <w:t>Le point 1.1 de l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ordre du jour de la CMR-19, s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il est adopté, facilitera l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harmonisation à l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échelle mondiale de l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 xml:space="preserve">utilisation de la bande de fréquences 50-54 MHz pour le service </w:t>
      </w:r>
      <w:r w:rsidR="00404A55" w:rsidRPr="00370789">
        <w:rPr>
          <w:lang w:val="fr-CH"/>
        </w:rPr>
        <w:t>d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amateur.</w:t>
      </w:r>
    </w:p>
    <w:p w:rsidR="00D53C8C" w:rsidRPr="00370789" w:rsidRDefault="00863A8C" w:rsidP="007728AE">
      <w:pPr>
        <w:rPr>
          <w:lang w:val="fr-CH"/>
        </w:rPr>
      </w:pPr>
      <w:r w:rsidRPr="00370789">
        <w:rPr>
          <w:lang w:val="fr-CH"/>
        </w:rPr>
        <w:t>Actuellement, la bande de fréquences 50-54 MHz est attribuée par l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 xml:space="preserve">UIT au service </w:t>
      </w:r>
      <w:r w:rsidR="00404A55" w:rsidRPr="00370789">
        <w:rPr>
          <w:lang w:val="fr-CH"/>
        </w:rPr>
        <w:t>d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amateur à titre primaire dans les Régions 2 et 3.</w:t>
      </w:r>
      <w:r w:rsidR="00932027" w:rsidRPr="00370789">
        <w:rPr>
          <w:lang w:val="fr-CH"/>
        </w:rPr>
        <w:t xml:space="preserve"> </w:t>
      </w:r>
      <w:r w:rsidR="00B269D3" w:rsidRPr="00370789">
        <w:rPr>
          <w:lang w:val="fr-CH"/>
        </w:rPr>
        <w:t>Dans la Région 1, la bande est actuellement attribuée uniquement au service de radiodiffusion, à titre primaire.</w:t>
      </w:r>
      <w:r w:rsidR="00932027" w:rsidRPr="00370789">
        <w:rPr>
          <w:lang w:val="fr-CH"/>
        </w:rPr>
        <w:t xml:space="preserve"> </w:t>
      </w:r>
      <w:r w:rsidR="00793327" w:rsidRPr="00370789">
        <w:rPr>
          <w:lang w:val="fr-CH"/>
        </w:rPr>
        <w:t>Toutefois, le numéro 5.169 du Règlement des radiocommunications prévoit une attribution de remplacement au service d</w:t>
      </w:r>
      <w:r w:rsidR="007728AE" w:rsidRPr="00370789">
        <w:rPr>
          <w:lang w:val="fr-CH"/>
        </w:rPr>
        <w:t>'</w:t>
      </w:r>
      <w:r w:rsidR="00793327" w:rsidRPr="00370789">
        <w:rPr>
          <w:lang w:val="fr-CH"/>
        </w:rPr>
        <w:t>amateur à titre primaire dans plusieurs pays de la Région 1 et le numéro 5.165 prévoit une attribution additionnelle aux services fixe et mobile, sauf mobile aéronautique, à titre primaire, dans un certain nombre de pays de la Région 1.</w:t>
      </w:r>
    </w:p>
    <w:p w:rsidR="00D53C8C" w:rsidRPr="00370789" w:rsidRDefault="00F3097C" w:rsidP="007728AE">
      <w:pPr>
        <w:rPr>
          <w:lang w:val="fr-CH"/>
        </w:rPr>
      </w:pPr>
      <w:r w:rsidRPr="00370789">
        <w:rPr>
          <w:lang w:val="fr-CH"/>
        </w:rPr>
        <w:t>La CMR-15 a décidé d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 xml:space="preserve">étudier le partage entre le service </w:t>
      </w:r>
      <w:r w:rsidR="00404A55" w:rsidRPr="00370789">
        <w:rPr>
          <w:lang w:val="fr-CH"/>
        </w:rPr>
        <w:t>d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amateur et les services existants dans la Région 1, en vue d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une attribution à titre primaire, qui faciliterait les progrès en matière d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harmonisation à l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échelle mondiale et d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interopérabilité internationale.</w:t>
      </w:r>
    </w:p>
    <w:p w:rsidR="00D53C8C" w:rsidRPr="00370789" w:rsidRDefault="00D8366D" w:rsidP="007728AE">
      <w:pPr>
        <w:rPr>
          <w:lang w:val="fr-CH"/>
        </w:rPr>
      </w:pPr>
      <w:r w:rsidRPr="00370789">
        <w:rPr>
          <w:lang w:val="fr-CH"/>
        </w:rPr>
        <w:t xml:space="preserve">La gamme de fréquences 30-80 MHz marque la zone de transition entre les modes de propagation ionosphérique et non ionosphérique, ce qui la rend particulièrement intéressante pour les </w:t>
      </w:r>
      <w:r w:rsidR="00932027" w:rsidRPr="00370789">
        <w:rPr>
          <w:lang w:val="fr-CH"/>
        </w:rPr>
        <w:t>expérimentations</w:t>
      </w:r>
      <w:r w:rsidRPr="00370789">
        <w:rPr>
          <w:lang w:val="fr-CH"/>
        </w:rPr>
        <w:t xml:space="preserve"> et les études</w:t>
      </w:r>
      <w:r w:rsidR="00932027" w:rsidRPr="00370789">
        <w:rPr>
          <w:lang w:val="fr-CH"/>
        </w:rPr>
        <w:t xml:space="preserve"> réalisées</w:t>
      </w:r>
      <w:r w:rsidRPr="00370789">
        <w:rPr>
          <w:lang w:val="fr-CH"/>
        </w:rPr>
        <w:t xml:space="preserve"> dans le </w:t>
      </w:r>
      <w:r w:rsidR="00932027" w:rsidRPr="00370789">
        <w:rPr>
          <w:lang w:val="fr-CH"/>
        </w:rPr>
        <w:t xml:space="preserve">cadre du </w:t>
      </w:r>
      <w:r w:rsidRPr="00370789">
        <w:rPr>
          <w:lang w:val="fr-CH"/>
        </w:rPr>
        <w:t xml:space="preserve">service </w:t>
      </w:r>
      <w:r w:rsidR="00404A55" w:rsidRPr="00370789">
        <w:rPr>
          <w:lang w:val="fr-CH"/>
        </w:rPr>
        <w:t>d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amateur.</w:t>
      </w:r>
    </w:p>
    <w:p w:rsidR="00D53C8C" w:rsidRPr="00370789" w:rsidRDefault="00932027" w:rsidP="007728AE">
      <w:pPr>
        <w:rPr>
          <w:lang w:val="fr-CH"/>
        </w:rPr>
      </w:pPr>
      <w:r w:rsidRPr="00370789">
        <w:rPr>
          <w:lang w:val="fr-CH"/>
        </w:rPr>
        <w:t>Les radioamateurs exploitent les bandes attribuées au service d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amateur à des fins d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études et d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expérimentations scientifiques et techniques, pour transmettre des communications au lendemain de catastrophes naturelles ou des communications non commerciales de services publics, et pour mener d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autres activités visant à faire progresser l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enseignement technique et les techniques d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utilisation des fréquences radioélectriques ainsi que pour améliorer la coopération internationale.</w:t>
      </w:r>
    </w:p>
    <w:p w:rsidR="000D60A1" w:rsidRDefault="000D60A1" w:rsidP="0012788D">
      <w:pPr>
        <w:rPr>
          <w:lang w:val="fr-CH"/>
        </w:rPr>
      </w:pPr>
      <w:r>
        <w:rPr>
          <w:lang w:val="fr-CH"/>
        </w:rPr>
        <w:br w:type="page"/>
      </w:r>
    </w:p>
    <w:p w:rsidR="00D53C8C" w:rsidRPr="00370789" w:rsidRDefault="00404A55" w:rsidP="0012788D">
      <w:pPr>
        <w:rPr>
          <w:lang w:val="fr-CH"/>
        </w:rPr>
      </w:pPr>
      <w:r w:rsidRPr="00370789">
        <w:rPr>
          <w:lang w:val="fr-CH"/>
        </w:rPr>
        <w:lastRenderedPageBreak/>
        <w:t>Ces caractéristiques et l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utilisation de la b</w:t>
      </w:r>
      <w:bookmarkStart w:id="6" w:name="_GoBack"/>
      <w:bookmarkEnd w:id="6"/>
      <w:r w:rsidRPr="00370789">
        <w:rPr>
          <w:lang w:val="fr-CH"/>
        </w:rPr>
        <w:t>ande remplissent l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objectif du service, tel qu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 xml:space="preserve">il est défini </w:t>
      </w:r>
      <w:r w:rsidR="0012788D" w:rsidRPr="00370789">
        <w:rPr>
          <w:lang w:val="fr-CH"/>
        </w:rPr>
        <w:t>au</w:t>
      </w:r>
      <w:r w:rsidRPr="00370789">
        <w:rPr>
          <w:lang w:val="fr-CH"/>
        </w:rPr>
        <w:t xml:space="preserve"> numéro 1.56 du Règlement des radiocommunications, à savoir mener  des études scientifiques et techniques et contribuer à la mise au point de </w:t>
      </w:r>
      <w:r w:rsidR="00D563D8" w:rsidRPr="00370789">
        <w:rPr>
          <w:lang w:val="fr-CH"/>
        </w:rPr>
        <w:t>techniques</w:t>
      </w:r>
      <w:r w:rsidRPr="00370789">
        <w:rPr>
          <w:lang w:val="fr-CH"/>
        </w:rPr>
        <w:t xml:space="preserve"> d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utilisation des fréquences radioélectriques, qui sont également utiles pour les communications d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urgence.</w:t>
      </w:r>
    </w:p>
    <w:p w:rsidR="00D53C8C" w:rsidRPr="00370789" w:rsidRDefault="0012788D" w:rsidP="007728AE">
      <w:pPr>
        <w:pStyle w:val="Headingb"/>
        <w:rPr>
          <w:lang w:val="fr-CH"/>
        </w:rPr>
      </w:pPr>
      <w:r w:rsidRPr="00370789">
        <w:rPr>
          <w:lang w:val="fr-CH"/>
        </w:rPr>
        <w:t>PROPOSITIONS INTERAMÉRICAINES</w:t>
      </w:r>
    </w:p>
    <w:p w:rsidR="007F3F42" w:rsidRPr="00370789" w:rsidRDefault="00932027" w:rsidP="0012788D">
      <w:pPr>
        <w:pStyle w:val="ArtNo"/>
        <w:rPr>
          <w:lang w:val="fr-CH"/>
        </w:rPr>
      </w:pPr>
      <w:bookmarkStart w:id="7" w:name="_Toc455752914"/>
      <w:bookmarkStart w:id="8" w:name="_Toc455756153"/>
      <w:r w:rsidRPr="00370789">
        <w:rPr>
          <w:lang w:val="fr-CH"/>
        </w:rPr>
        <w:t xml:space="preserve">ARTICLE </w:t>
      </w:r>
      <w:r w:rsidRPr="00370789">
        <w:rPr>
          <w:rStyle w:val="href"/>
          <w:lang w:val="fr-CH"/>
        </w:rPr>
        <w:t>5</w:t>
      </w:r>
      <w:bookmarkEnd w:id="7"/>
      <w:bookmarkEnd w:id="8"/>
    </w:p>
    <w:p w:rsidR="007F3F42" w:rsidRPr="00370789" w:rsidRDefault="00932027" w:rsidP="007728AE">
      <w:pPr>
        <w:pStyle w:val="Arttitle"/>
        <w:rPr>
          <w:lang w:val="fr-CH"/>
        </w:rPr>
      </w:pPr>
      <w:bookmarkStart w:id="9" w:name="_Toc455752915"/>
      <w:bookmarkStart w:id="10" w:name="_Toc455756154"/>
      <w:r w:rsidRPr="00370789">
        <w:rPr>
          <w:lang w:val="fr-CH"/>
        </w:rPr>
        <w:t>Attribution des bandes de fréquences</w:t>
      </w:r>
      <w:bookmarkEnd w:id="9"/>
      <w:bookmarkEnd w:id="10"/>
    </w:p>
    <w:p w:rsidR="00D73104" w:rsidRPr="00370789" w:rsidRDefault="00932027" w:rsidP="000D60A1">
      <w:pPr>
        <w:pStyle w:val="Section1"/>
        <w:keepNext/>
        <w:rPr>
          <w:b w:val="0"/>
          <w:color w:val="000000"/>
          <w:lang w:val="fr-CH"/>
        </w:rPr>
      </w:pPr>
      <w:r w:rsidRPr="00370789">
        <w:rPr>
          <w:lang w:val="fr-CH"/>
        </w:rPr>
        <w:t>Section IV – Tableau d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attribution des bandes de fréquences</w:t>
      </w:r>
      <w:r w:rsidRPr="00370789">
        <w:rPr>
          <w:lang w:val="fr-CH"/>
        </w:rPr>
        <w:br/>
      </w:r>
      <w:r w:rsidRPr="00370789">
        <w:rPr>
          <w:b w:val="0"/>
          <w:bCs/>
          <w:lang w:val="fr-CH"/>
        </w:rPr>
        <w:t xml:space="preserve">(Voir le numéro </w:t>
      </w:r>
      <w:r w:rsidRPr="00370789">
        <w:rPr>
          <w:lang w:val="fr-CH"/>
        </w:rPr>
        <w:t>2.1</w:t>
      </w:r>
      <w:r w:rsidRPr="00370789">
        <w:rPr>
          <w:b w:val="0"/>
          <w:bCs/>
          <w:lang w:val="fr-CH"/>
        </w:rPr>
        <w:t>)</w:t>
      </w:r>
    </w:p>
    <w:p w:rsidR="00915B4C" w:rsidRPr="00370789" w:rsidRDefault="00932027" w:rsidP="007728AE">
      <w:pPr>
        <w:pStyle w:val="Proposal"/>
        <w:rPr>
          <w:lang w:val="fr-CH"/>
        </w:rPr>
      </w:pPr>
      <w:r w:rsidRPr="00370789">
        <w:rPr>
          <w:u w:val="single"/>
          <w:lang w:val="fr-CH"/>
        </w:rPr>
        <w:t>NOC</w:t>
      </w:r>
      <w:r w:rsidRPr="00370789">
        <w:rPr>
          <w:lang w:val="fr-CH"/>
        </w:rPr>
        <w:tab/>
        <w:t>IAP/11A1/1</w:t>
      </w:r>
    </w:p>
    <w:p w:rsidR="00EB19FF" w:rsidRPr="00370789" w:rsidRDefault="00932027" w:rsidP="007728AE">
      <w:pPr>
        <w:pStyle w:val="Tabletitle"/>
        <w:rPr>
          <w:color w:val="000000"/>
          <w:lang w:val="fr-CH"/>
        </w:rPr>
      </w:pPr>
      <w:r w:rsidRPr="00370789">
        <w:rPr>
          <w:lang w:val="fr-CH"/>
        </w:rPr>
        <w:t>47-75,2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894B28" w:rsidRPr="00370789" w:rsidTr="00100C6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42" w:rsidRPr="00370789" w:rsidRDefault="00932027" w:rsidP="007728AE">
            <w:pPr>
              <w:pStyle w:val="Tablehead"/>
              <w:rPr>
                <w:color w:val="000000"/>
                <w:lang w:val="fr-CH"/>
              </w:rPr>
            </w:pPr>
            <w:r w:rsidRPr="00370789">
              <w:rPr>
                <w:color w:val="000000"/>
                <w:lang w:val="fr-CH"/>
              </w:rPr>
              <w:t>Attribution aux services</w:t>
            </w:r>
          </w:p>
        </w:tc>
      </w:tr>
      <w:tr w:rsidR="00894B28" w:rsidRPr="00370789" w:rsidTr="00100C6F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F42" w:rsidRPr="00370789" w:rsidRDefault="00932027" w:rsidP="007728AE">
            <w:pPr>
              <w:pStyle w:val="Tablehead"/>
              <w:rPr>
                <w:color w:val="000000"/>
                <w:lang w:val="fr-CH"/>
              </w:rPr>
            </w:pPr>
            <w:r w:rsidRPr="00370789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F42" w:rsidRPr="00370789" w:rsidRDefault="00932027" w:rsidP="007728AE">
            <w:pPr>
              <w:pStyle w:val="Tablehead"/>
              <w:rPr>
                <w:color w:val="000000"/>
                <w:lang w:val="fr-CH"/>
              </w:rPr>
            </w:pPr>
            <w:r w:rsidRPr="00370789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F42" w:rsidRPr="00370789" w:rsidRDefault="00932027" w:rsidP="007728AE">
            <w:pPr>
              <w:pStyle w:val="Tablehead"/>
              <w:rPr>
                <w:color w:val="000000"/>
                <w:lang w:val="fr-CH"/>
              </w:rPr>
            </w:pPr>
            <w:r w:rsidRPr="00370789">
              <w:rPr>
                <w:color w:val="000000"/>
                <w:lang w:val="fr-CH"/>
              </w:rPr>
              <w:t>Région 3</w:t>
            </w:r>
          </w:p>
        </w:tc>
      </w:tr>
      <w:tr w:rsidR="00894B28" w:rsidRPr="00370789" w:rsidTr="00100C6F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F42" w:rsidRPr="00370789" w:rsidRDefault="000D60A1" w:rsidP="007728AE">
            <w:pPr>
              <w:pStyle w:val="TableTextS5"/>
              <w:rPr>
                <w:color w:val="000000"/>
                <w:lang w:val="fr-CH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42" w:rsidRPr="00370789" w:rsidRDefault="000D60A1" w:rsidP="007728AE">
            <w:pPr>
              <w:pStyle w:val="TableTextS5"/>
              <w:rPr>
                <w:color w:val="000000"/>
                <w:lang w:val="fr-CH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42" w:rsidRPr="00370789" w:rsidRDefault="000D60A1" w:rsidP="007728AE">
            <w:pPr>
              <w:pStyle w:val="TableTextS5"/>
              <w:rPr>
                <w:lang w:val="fr-CH"/>
              </w:rPr>
            </w:pPr>
          </w:p>
        </w:tc>
      </w:tr>
      <w:tr w:rsidR="00894B28" w:rsidRPr="00370789" w:rsidTr="007F3F42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7F3F42" w:rsidRPr="00370789" w:rsidRDefault="000D60A1" w:rsidP="007728AE">
            <w:pPr>
              <w:pStyle w:val="TableTextS5"/>
              <w:rPr>
                <w:color w:val="000000"/>
                <w:lang w:val="fr-CH"/>
              </w:rPr>
            </w:pPr>
          </w:p>
        </w:tc>
        <w:tc>
          <w:tcPr>
            <w:tcW w:w="6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42" w:rsidRPr="00370789" w:rsidRDefault="00932027" w:rsidP="007728AE">
            <w:pPr>
              <w:pStyle w:val="TableTextS5"/>
              <w:rPr>
                <w:rStyle w:val="Tablefreq"/>
                <w:lang w:val="fr-CH"/>
              </w:rPr>
            </w:pPr>
            <w:r w:rsidRPr="00370789">
              <w:rPr>
                <w:rStyle w:val="Tablefreq"/>
                <w:lang w:val="fr-CH"/>
              </w:rPr>
              <w:t>50-54</w:t>
            </w:r>
          </w:p>
          <w:p w:rsidR="007F3F42" w:rsidRPr="00370789" w:rsidRDefault="00932027" w:rsidP="007728AE">
            <w:pPr>
              <w:pStyle w:val="TableTextS5"/>
              <w:tabs>
                <w:tab w:val="clear" w:pos="567"/>
                <w:tab w:val="left" w:pos="369"/>
              </w:tabs>
              <w:rPr>
                <w:color w:val="000000"/>
                <w:lang w:val="fr-CH"/>
              </w:rPr>
            </w:pPr>
            <w:r w:rsidRPr="00370789">
              <w:rPr>
                <w:color w:val="000000"/>
                <w:lang w:val="fr-CH"/>
              </w:rPr>
              <w:tab/>
            </w:r>
            <w:r w:rsidRPr="00370789">
              <w:rPr>
                <w:color w:val="000000"/>
                <w:lang w:val="fr-CH"/>
              </w:rPr>
              <w:tab/>
              <w:t>AMATEUR</w:t>
            </w:r>
          </w:p>
          <w:p w:rsidR="007F3F42" w:rsidRPr="00370789" w:rsidRDefault="00932027" w:rsidP="007728AE">
            <w:pPr>
              <w:pStyle w:val="TableTextS5"/>
              <w:tabs>
                <w:tab w:val="clear" w:pos="567"/>
                <w:tab w:val="left" w:pos="369"/>
              </w:tabs>
              <w:rPr>
                <w:color w:val="000000"/>
                <w:lang w:val="fr-CH"/>
              </w:rPr>
            </w:pPr>
            <w:r w:rsidRPr="00370789">
              <w:rPr>
                <w:color w:val="000000"/>
                <w:lang w:val="fr-CH"/>
              </w:rPr>
              <w:tab/>
            </w:r>
            <w:r w:rsidRPr="00370789">
              <w:rPr>
                <w:color w:val="000000"/>
                <w:lang w:val="fr-CH"/>
              </w:rPr>
              <w:tab/>
            </w:r>
            <w:r w:rsidRPr="00370789">
              <w:rPr>
                <w:lang w:val="fr-CH"/>
              </w:rPr>
              <w:t>5.162A</w:t>
            </w:r>
            <w:r w:rsidRPr="00370789">
              <w:rPr>
                <w:color w:val="000000"/>
                <w:lang w:val="fr-CH"/>
              </w:rPr>
              <w:t xml:space="preserve">  </w:t>
            </w:r>
            <w:r w:rsidRPr="00370789">
              <w:rPr>
                <w:lang w:val="fr-CH"/>
              </w:rPr>
              <w:t>5.167</w:t>
            </w:r>
            <w:r w:rsidRPr="00370789">
              <w:rPr>
                <w:color w:val="000000"/>
                <w:lang w:val="fr-CH"/>
              </w:rPr>
              <w:t xml:space="preserve">  5.167A  </w:t>
            </w:r>
            <w:r w:rsidRPr="00370789">
              <w:rPr>
                <w:lang w:val="fr-CH"/>
              </w:rPr>
              <w:t>5.168</w:t>
            </w:r>
            <w:r w:rsidRPr="00370789">
              <w:rPr>
                <w:color w:val="000000"/>
                <w:lang w:val="fr-CH"/>
              </w:rPr>
              <w:t xml:space="preserve">  </w:t>
            </w:r>
            <w:r w:rsidRPr="00370789">
              <w:rPr>
                <w:lang w:val="fr-CH"/>
              </w:rPr>
              <w:t>5.170</w:t>
            </w:r>
          </w:p>
        </w:tc>
      </w:tr>
      <w:tr w:rsidR="00894B28" w:rsidRPr="00370789" w:rsidTr="00100C6F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7F3F42" w:rsidRPr="00370789" w:rsidRDefault="000D60A1" w:rsidP="007728AE">
            <w:pPr>
              <w:pStyle w:val="TableTextS5"/>
              <w:rPr>
                <w:color w:val="000000"/>
                <w:lang w:val="fr-CH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42" w:rsidRPr="00370789" w:rsidRDefault="000D60A1" w:rsidP="007728AE">
            <w:pPr>
              <w:pStyle w:val="TableTextS5"/>
              <w:rPr>
                <w:color w:val="000000"/>
                <w:lang w:val="fr-CH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F42" w:rsidRPr="00370789" w:rsidRDefault="000D60A1" w:rsidP="007728AE">
            <w:pPr>
              <w:pStyle w:val="TableTextS5"/>
              <w:rPr>
                <w:color w:val="000000"/>
                <w:lang w:val="fr-CH"/>
              </w:rPr>
            </w:pPr>
          </w:p>
        </w:tc>
      </w:tr>
      <w:tr w:rsidR="00894B28" w:rsidRPr="00370789" w:rsidTr="00100C6F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F42" w:rsidRPr="00370789" w:rsidRDefault="000D60A1" w:rsidP="007728AE">
            <w:pPr>
              <w:pStyle w:val="TableTextS5"/>
              <w:ind w:left="0" w:firstLine="0"/>
              <w:rPr>
                <w:rStyle w:val="Artref"/>
                <w:lang w:val="fr-CH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F42" w:rsidRPr="00370789" w:rsidRDefault="000D60A1" w:rsidP="007728AE">
            <w:pPr>
              <w:pStyle w:val="TableTextS5"/>
              <w:ind w:left="0" w:firstLine="0"/>
              <w:rPr>
                <w:lang w:val="fr-CH"/>
              </w:rPr>
            </w:pPr>
          </w:p>
        </w:tc>
        <w:tc>
          <w:tcPr>
            <w:tcW w:w="31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F42" w:rsidRPr="00370789" w:rsidRDefault="000D60A1" w:rsidP="007728AE">
            <w:pPr>
              <w:pStyle w:val="TableTextS5"/>
              <w:ind w:left="0" w:firstLine="0"/>
              <w:rPr>
                <w:lang w:val="fr-CH"/>
              </w:rPr>
            </w:pPr>
          </w:p>
        </w:tc>
      </w:tr>
    </w:tbl>
    <w:p w:rsidR="00915B4C" w:rsidRPr="00370789" w:rsidRDefault="00932027" w:rsidP="007728AE">
      <w:pPr>
        <w:pStyle w:val="Reasons"/>
        <w:rPr>
          <w:lang w:val="fr-CH"/>
        </w:rPr>
      </w:pPr>
      <w:r w:rsidRPr="00370789">
        <w:rPr>
          <w:b/>
          <w:lang w:val="fr-CH"/>
        </w:rPr>
        <w:t>Motifs:</w:t>
      </w:r>
      <w:r w:rsidRPr="00370789">
        <w:rPr>
          <w:lang w:val="fr-CH"/>
        </w:rPr>
        <w:tab/>
      </w:r>
      <w:r w:rsidR="00557892" w:rsidRPr="00370789">
        <w:rPr>
          <w:lang w:val="fr-CH"/>
        </w:rPr>
        <w:t>Le point 1.1 de l</w:t>
      </w:r>
      <w:r w:rsidR="007728AE" w:rsidRPr="00370789">
        <w:rPr>
          <w:lang w:val="fr-CH"/>
        </w:rPr>
        <w:t>'</w:t>
      </w:r>
      <w:r w:rsidR="00557892" w:rsidRPr="00370789">
        <w:rPr>
          <w:lang w:val="fr-CH"/>
        </w:rPr>
        <w:t>ordre du jour de la CMR-19 concerne la Région 1.</w:t>
      </w:r>
    </w:p>
    <w:p w:rsidR="00915B4C" w:rsidRPr="00370789" w:rsidRDefault="00932027" w:rsidP="007728AE">
      <w:pPr>
        <w:pStyle w:val="Proposal"/>
        <w:rPr>
          <w:lang w:val="fr-CH"/>
        </w:rPr>
      </w:pPr>
      <w:r w:rsidRPr="00370789">
        <w:rPr>
          <w:lang w:val="fr-CH"/>
        </w:rPr>
        <w:tab/>
        <w:t>IAP/11A1/2</w:t>
      </w:r>
    </w:p>
    <w:p w:rsidR="00915B4C" w:rsidRPr="00370789" w:rsidRDefault="00E06C8E" w:rsidP="001C30D4">
      <w:pPr>
        <w:rPr>
          <w:lang w:val="fr-CH"/>
        </w:rPr>
      </w:pPr>
      <w:r w:rsidRPr="00370789">
        <w:rPr>
          <w:lang w:val="fr-CH"/>
        </w:rPr>
        <w:t>Étant donné que le point 1.1 de l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ordre du jour de la CMR-19 ne concerne que la Région 1, il est proposé de n</w:t>
      </w:r>
      <w:r w:rsidR="007728AE" w:rsidRPr="00370789">
        <w:rPr>
          <w:lang w:val="fr-CH"/>
        </w:rPr>
        <w:t>'</w:t>
      </w:r>
      <w:r w:rsidRPr="00370789">
        <w:rPr>
          <w:lang w:val="fr-CH"/>
        </w:rPr>
        <w:t>apporter aucun changement pour la Région 2.</w:t>
      </w:r>
      <w:r w:rsidR="00932027" w:rsidRPr="00370789">
        <w:rPr>
          <w:lang w:val="fr-CH"/>
        </w:rPr>
        <w:t xml:space="preserve"> </w:t>
      </w:r>
      <w:r w:rsidR="00FD7ADF" w:rsidRPr="00370789">
        <w:rPr>
          <w:lang w:val="fr-CH"/>
        </w:rPr>
        <w:t>En outre, toute modification apportée au Règlement des radiocommunications au titre du point 1.1 de l</w:t>
      </w:r>
      <w:r w:rsidR="007728AE" w:rsidRPr="00370789">
        <w:rPr>
          <w:lang w:val="fr-CH"/>
        </w:rPr>
        <w:t>'</w:t>
      </w:r>
      <w:r w:rsidR="00FD7ADF" w:rsidRPr="00370789">
        <w:rPr>
          <w:lang w:val="fr-CH"/>
        </w:rPr>
        <w:t>ordre du jour de la CMR-19 ne doit pas avoir d</w:t>
      </w:r>
      <w:r w:rsidR="007728AE" w:rsidRPr="00370789">
        <w:rPr>
          <w:lang w:val="fr-CH"/>
        </w:rPr>
        <w:t>'</w:t>
      </w:r>
      <w:r w:rsidR="001C30D4" w:rsidRPr="00370789">
        <w:rPr>
          <w:lang w:val="fr-CH"/>
        </w:rPr>
        <w:t>incidences sur l'</w:t>
      </w:r>
      <w:r w:rsidR="00FD7ADF" w:rsidRPr="00370789">
        <w:rPr>
          <w:lang w:val="fr-CH"/>
        </w:rPr>
        <w:t xml:space="preserve">attribution </w:t>
      </w:r>
      <w:r w:rsidR="001C30D4" w:rsidRPr="00370789">
        <w:rPr>
          <w:lang w:val="fr-CH"/>
        </w:rPr>
        <w:t xml:space="preserve">existante de </w:t>
      </w:r>
      <w:r w:rsidR="00FD7ADF" w:rsidRPr="00370789">
        <w:rPr>
          <w:lang w:val="fr-CH"/>
        </w:rPr>
        <w:t>la bande de fréquences 50</w:t>
      </w:r>
      <w:r w:rsidR="0012788D" w:rsidRPr="00370789">
        <w:rPr>
          <w:lang w:val="fr-CH"/>
        </w:rPr>
        <w:noBreakHyphen/>
      </w:r>
      <w:r w:rsidR="00FD7ADF" w:rsidRPr="00370789">
        <w:rPr>
          <w:lang w:val="fr-CH"/>
        </w:rPr>
        <w:t>54</w:t>
      </w:r>
      <w:r w:rsidR="0012788D" w:rsidRPr="00370789">
        <w:rPr>
          <w:lang w:val="fr-CH"/>
        </w:rPr>
        <w:t> </w:t>
      </w:r>
      <w:r w:rsidR="00FD7ADF" w:rsidRPr="00370789">
        <w:rPr>
          <w:lang w:val="fr-CH"/>
        </w:rPr>
        <w:t xml:space="preserve">MHz </w:t>
      </w:r>
      <w:r w:rsidR="001C30D4" w:rsidRPr="00370789">
        <w:rPr>
          <w:lang w:val="fr-CH"/>
        </w:rPr>
        <w:t xml:space="preserve">au service d'amateur </w:t>
      </w:r>
      <w:r w:rsidR="00FD7ADF" w:rsidRPr="00370789">
        <w:rPr>
          <w:lang w:val="fr-CH"/>
        </w:rPr>
        <w:t>dans la Région 2, ni conduire à des changements relatifs aux dispositions procédurales ou réglementaires pour la Région 2.</w:t>
      </w:r>
    </w:p>
    <w:p w:rsidR="00915B4C" w:rsidRDefault="00932027" w:rsidP="007728AE">
      <w:pPr>
        <w:pStyle w:val="Reasons"/>
        <w:rPr>
          <w:lang w:val="fr-CH"/>
        </w:rPr>
      </w:pPr>
      <w:r w:rsidRPr="00370789">
        <w:rPr>
          <w:b/>
          <w:lang w:val="fr-CH"/>
        </w:rPr>
        <w:t>Motifs:</w:t>
      </w:r>
      <w:r w:rsidRPr="00370789">
        <w:rPr>
          <w:lang w:val="fr-CH"/>
        </w:rPr>
        <w:tab/>
      </w:r>
      <w:r w:rsidR="00BB516B" w:rsidRPr="00370789">
        <w:rPr>
          <w:lang w:val="fr-CH"/>
        </w:rPr>
        <w:t>Le point 1.1 de l</w:t>
      </w:r>
      <w:r w:rsidR="007728AE" w:rsidRPr="00370789">
        <w:rPr>
          <w:lang w:val="fr-CH"/>
        </w:rPr>
        <w:t>'</w:t>
      </w:r>
      <w:r w:rsidR="00BB516B" w:rsidRPr="00370789">
        <w:rPr>
          <w:lang w:val="fr-CH"/>
        </w:rPr>
        <w:t>ordre du jour de la CMR-19 concerne la Région 1.</w:t>
      </w:r>
    </w:p>
    <w:p w:rsidR="000D60A1" w:rsidRPr="00370789" w:rsidRDefault="000D60A1" w:rsidP="000D60A1">
      <w:pPr>
        <w:rPr>
          <w:lang w:val="fr-CH"/>
        </w:rPr>
      </w:pPr>
    </w:p>
    <w:p w:rsidR="00D53C8C" w:rsidRPr="00370789" w:rsidRDefault="00932027" w:rsidP="007728AE">
      <w:pPr>
        <w:jc w:val="center"/>
        <w:rPr>
          <w:lang w:val="fr-CH"/>
        </w:rPr>
      </w:pPr>
      <w:r w:rsidRPr="00370789">
        <w:rPr>
          <w:lang w:val="fr-CH"/>
        </w:rPr>
        <w:t>______________</w:t>
      </w:r>
    </w:p>
    <w:sectPr w:rsidR="00D53C8C" w:rsidRPr="0037078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83" w:rsidRDefault="00932027">
      <w:pPr>
        <w:spacing w:before="0"/>
      </w:pPr>
      <w:r>
        <w:separator/>
      </w:r>
    </w:p>
  </w:endnote>
  <w:endnote w:type="continuationSeparator" w:id="0">
    <w:p w:rsidR="00B90483" w:rsidRDefault="0093202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2027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60A1">
      <w:rPr>
        <w:noProof/>
        <w:lang w:val="en-US"/>
      </w:rPr>
      <w:t>P:\FRA\ITU-R\CONF-R\CMR19\000\011ADD01F.docx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60A1">
      <w:rPr>
        <w:noProof/>
      </w:rPr>
      <w:t>02.07.19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60A1">
      <w:rPr>
        <w:noProof/>
      </w:rPr>
      <w:t>04.07.19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2027" w:rsidP="00D53C8C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60A1">
      <w:rPr>
        <w:lang w:val="en-US"/>
      </w:rPr>
      <w:t>P:\FRA\ITU-R\CONF-R\CMR19\000\011ADD01F.docx</w:t>
    </w:r>
    <w:r>
      <w:fldChar w:fldCharType="end"/>
    </w:r>
    <w:r>
      <w:t xml:space="preserve"> (457752)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2027" w:rsidP="00D53C8C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60A1">
      <w:rPr>
        <w:lang w:val="en-US"/>
      </w:rPr>
      <w:t>P:\FRA\ITU-R\CONF-R\CMR19\000\011ADD01F.docx</w:t>
    </w:r>
    <w:r>
      <w:fldChar w:fldCharType="end"/>
    </w:r>
    <w:r>
      <w:t xml:space="preserve"> (457752)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83" w:rsidRDefault="00932027">
      <w:pPr>
        <w:spacing w:before="0"/>
      </w:pPr>
      <w:r>
        <w:separator/>
      </w:r>
    </w:p>
  </w:footnote>
  <w:footnote w:type="continuationSeparator" w:id="0">
    <w:p w:rsidR="00B90483" w:rsidRDefault="0093202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932027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D60A1">
      <w:rPr>
        <w:noProof/>
      </w:rPr>
      <w:t>2</w:t>
    </w:r>
    <w:r>
      <w:fldChar w:fldCharType="end"/>
    </w:r>
  </w:p>
  <w:p w:rsidR="004F1F8E" w:rsidRDefault="00932027" w:rsidP="00FD7AA3">
    <w:pPr>
      <w:pStyle w:val="Header"/>
    </w:pPr>
    <w:r w:rsidRPr="00010B43">
      <w:t>CMR19/11(Add.1)-F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28"/>
    <w:rsid w:val="000D60A1"/>
    <w:rsid w:val="0012788D"/>
    <w:rsid w:val="001C30D4"/>
    <w:rsid w:val="00370789"/>
    <w:rsid w:val="00404A55"/>
    <w:rsid w:val="0047439B"/>
    <w:rsid w:val="00557892"/>
    <w:rsid w:val="00744516"/>
    <w:rsid w:val="007728AE"/>
    <w:rsid w:val="0077308E"/>
    <w:rsid w:val="00793327"/>
    <w:rsid w:val="00853F3C"/>
    <w:rsid w:val="00863A8C"/>
    <w:rsid w:val="00894B28"/>
    <w:rsid w:val="008D47ED"/>
    <w:rsid w:val="00932027"/>
    <w:rsid w:val="00A81094"/>
    <w:rsid w:val="00B269D3"/>
    <w:rsid w:val="00B90483"/>
    <w:rsid w:val="00BB516B"/>
    <w:rsid w:val="00D1354A"/>
    <w:rsid w:val="00D563D8"/>
    <w:rsid w:val="00D8366D"/>
    <w:rsid w:val="00E06C8E"/>
    <w:rsid w:val="00F3097C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R16-WRC19-C-0011!A1!MSW-F</DPM_x0020_File_x0020_name>
    <DPM_x0020_Author xmlns="32a1a8c5-2265-4ebc-b7a0-2071e2c5c9bb" xsi:nil="false">DPM</DPM_x0020_Author>
    <DPM_x0020_Version xmlns="32a1a8c5-2265-4ebc-b7a0-2071e2c5c9bb" xsi:nil="false">DPM_2019.05.14.1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43021-97E0-4EFB-8732-C021848EBB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3117</Characters>
  <Application>Microsoft Office Word</Application>
  <DocSecurity>0</DocSecurity>
  <Lines>83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R16-WRC19-C-0011!A1!MSW-F</vt:lpstr>
    </vt:vector>
  </TitlesOfParts>
  <Manager>Secrétariat général - Pool</Manager>
  <Company>Union internationale des télécommunications (UIT)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R16-WRC19-C-0011!A1!MSW-F</dc:title>
  <dc:subject>Conférence mondiale des radiocommunications - 2019</dc:subject>
  <dc:creator>Documents Proposals Manager (DPM)</dc:creator>
  <cp:keywords>DPM_v2019.5.15.1_prod</cp:keywords>
  <cp:lastModifiedBy>Royer, Veronique</cp:lastModifiedBy>
  <cp:revision>7</cp:revision>
  <cp:lastPrinted>2019-07-04T13:41:00Z</cp:lastPrinted>
  <dcterms:created xsi:type="dcterms:W3CDTF">2019-07-02T08:35:00Z</dcterms:created>
  <dcterms:modified xsi:type="dcterms:W3CDTF">2019-07-04T13:41:00Z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0x0101003E653A548FCF90468B9840661443DCAF007CA98E47F9E07A4688AB58227F39616D</vt:lpwstr>
  </property>
  <property fmtid="{D5CDD505-2E9C-101B-9397-08002B2CF9AE}" pid="3" name="Docauthor">
    <vt:lpwstr/>
  </property>
  <property fmtid="{D5CDD505-2E9C-101B-9397-08002B2CF9AE}" pid="4" name="Docbluepink">
    <vt:lpwstr/>
  </property>
  <property fmtid="{D5CDD505-2E9C-101B-9397-08002B2CF9AE}" pid="5" name="Docdate">
    <vt:lpwstr/>
  </property>
  <property fmtid="{D5CDD505-2E9C-101B-9397-08002B2CF9AE}" pid="6" name="Docdest">
    <vt:lpwstr/>
  </property>
  <property fmtid="{D5CDD505-2E9C-101B-9397-08002B2CF9AE}" pid="7" name="Docnum">
    <vt:lpwstr>PF_WRC12.dotm</vt:lpwstr>
  </property>
  <property fmtid="{D5CDD505-2E9C-101B-9397-08002B2CF9AE}" pid="8" name="Docorlang">
    <vt:lpwstr/>
  </property>
  <property fmtid="{D5CDD505-2E9C-101B-9397-08002B2CF9AE}" pid="9" name="_dlc_DocIdItemGuid">
    <vt:lpwstr>889c9587-f7fc-4c6b-a752-d9054d3c46eb</vt:lpwstr>
  </property>
</Properties>
</file>