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D40426">
            <w:pPr>
              <w:pStyle w:val="LOGO"/>
              <w:framePr w:hSpace="0" w:wrap="auto" w:xAlign="left" w:yAlign="inline"/>
              <w:rPr>
                <w:rtl/>
              </w:rPr>
            </w:pPr>
            <w:r w:rsidRPr="00584333">
              <w:rPr>
                <w:rFonts w:hint="cs"/>
                <w:rtl/>
              </w:rPr>
              <w:t xml:space="preserve">المؤتمر العالمي للاتصالات الراديوية </w:t>
            </w:r>
            <w:r w:rsidRPr="00584333">
              <w:t>(WRC-1</w:t>
            </w:r>
            <w:r w:rsidR="00D40426">
              <w:t>9</w:t>
            </w:r>
            <w:r w:rsidRPr="00584333">
              <w:t>)</w:t>
            </w:r>
          </w:p>
          <w:p w:rsidR="00280E04" w:rsidRPr="00F16602" w:rsidRDefault="00831515" w:rsidP="00496310">
            <w:pPr>
              <w:pStyle w:val="LOGO"/>
              <w:framePr w:hSpace="0" w:wrap="auto" w:xAlign="left" w:yAlign="inline"/>
              <w:spacing w:before="120"/>
              <w:rPr>
                <w:rtl/>
              </w:rPr>
            </w:pPr>
            <w:r w:rsidRPr="00831515">
              <w:rPr>
                <w:rFonts w:ascii="Calibri" w:hAnsi="Calibri"/>
                <w:sz w:val="38"/>
                <w:szCs w:val="38"/>
                <w:rtl/>
              </w:rPr>
              <w:t>شرم الشيخ، مصر</w:t>
            </w:r>
            <w:r w:rsidR="00E526FC" w:rsidRPr="00E526FC">
              <w:rPr>
                <w:rFonts w:ascii="Calibri" w:hAnsi="Calibri" w:hint="cs"/>
                <w:sz w:val="38"/>
                <w:szCs w:val="38"/>
                <w:rtl/>
              </w:rPr>
              <w:t>،</w:t>
            </w:r>
            <w:r w:rsidR="00E526FC" w:rsidRPr="001040A3">
              <w:rPr>
                <w:rFonts w:ascii="Calibri" w:hAnsi="Calibri" w:hint="cs"/>
                <w:rtl/>
              </w:rPr>
              <w:t xml:space="preserve"> </w:t>
            </w:r>
            <w:r w:rsidR="00E526FC" w:rsidRPr="00E526FC">
              <w:rPr>
                <w:rFonts w:ascii="Verdana" w:hAnsi="Verdana"/>
                <w:sz w:val="24"/>
                <w:szCs w:val="36"/>
                <w:lang w:bidi="ar-SY"/>
              </w:rPr>
              <w:t>2</w:t>
            </w:r>
            <w:r w:rsidR="00E526FC">
              <w:rPr>
                <w:rFonts w:ascii="Verdana" w:hAnsi="Verdana"/>
                <w:sz w:val="24"/>
                <w:szCs w:val="36"/>
                <w:lang w:bidi="ar-SY"/>
              </w:rPr>
              <w:t>8</w:t>
            </w:r>
            <w:r w:rsidR="00E526FC" w:rsidRPr="001040A3">
              <w:rPr>
                <w:rFonts w:ascii="Calibri" w:hAnsi="Calibri" w:hint="cs"/>
                <w:rtl/>
              </w:rPr>
              <w:t xml:space="preserve"> </w:t>
            </w:r>
            <w:r w:rsidR="00E526FC" w:rsidRPr="00E526FC">
              <w:rPr>
                <w:rFonts w:ascii="Calibri" w:hAnsi="Calibri" w:hint="cs"/>
                <w:sz w:val="38"/>
                <w:szCs w:val="38"/>
                <w:rtl/>
              </w:rPr>
              <w:t>أكتوبر</w:t>
            </w:r>
            <w:r w:rsidR="00496310">
              <w:rPr>
                <w:rFonts w:ascii="Calibri" w:hAnsi="Calibri" w:hint="cs"/>
                <w:rtl/>
              </w:rPr>
              <w:t xml:space="preserve"> -</w:t>
            </w:r>
            <w:r w:rsidR="00E526FC" w:rsidRPr="001040A3">
              <w:rPr>
                <w:rFonts w:ascii="Calibri" w:hAnsi="Calibri" w:hint="cs"/>
                <w:rtl/>
              </w:rPr>
              <w:t xml:space="preserve"> </w:t>
            </w:r>
            <w:r w:rsidR="00E526FC">
              <w:rPr>
                <w:rFonts w:ascii="Verdana" w:hAnsi="Verdana"/>
                <w:sz w:val="24"/>
                <w:szCs w:val="36"/>
              </w:rPr>
              <w:t>22</w:t>
            </w:r>
            <w:r w:rsidR="00E526FC" w:rsidRPr="001040A3">
              <w:rPr>
                <w:rFonts w:ascii="Calibri" w:hAnsi="Calibri" w:cs="Times New Roman" w:hint="cs"/>
                <w:rtl/>
              </w:rPr>
              <w:t xml:space="preserve"> </w:t>
            </w:r>
            <w:r w:rsidR="00496310">
              <w:rPr>
                <w:rFonts w:ascii="Calibri" w:hAnsi="Calibri" w:hint="cs"/>
                <w:rtl/>
              </w:rPr>
              <w:t>نوفمبر</w:t>
            </w:r>
            <w:r w:rsidR="00E526FC" w:rsidRPr="001040A3">
              <w:rPr>
                <w:rFonts w:ascii="Calibri" w:hAnsi="Calibri" w:hint="cs"/>
                <w:rtl/>
              </w:rPr>
              <w:t xml:space="preserve"> </w:t>
            </w:r>
            <w:r w:rsidR="00E526FC" w:rsidRPr="00E526FC">
              <w:rPr>
                <w:rFonts w:ascii="Verdana" w:hAnsi="Verdana"/>
                <w:sz w:val="24"/>
                <w:szCs w:val="36"/>
                <w:lang w:bidi="ar-SY"/>
              </w:rPr>
              <w:t>201</w:t>
            </w:r>
            <w:r w:rsidR="00D40426">
              <w:rPr>
                <w:rFonts w:ascii="Verdana" w:hAnsi="Verdana"/>
                <w:sz w:val="24"/>
                <w:szCs w:val="36"/>
                <w:lang w:bidi="ar-SY"/>
              </w:rPr>
              <w:t>9</w:t>
            </w:r>
          </w:p>
        </w:tc>
        <w:tc>
          <w:tcPr>
            <w:tcW w:w="3053" w:type="dxa"/>
          </w:tcPr>
          <w:p w:rsidR="00280E04" w:rsidRDefault="00635DE6" w:rsidP="006B0D94">
            <w:pPr>
              <w:jc w:val="right"/>
              <w:rPr>
                <w:rtl/>
                <w:lang w:bidi="ar-EG"/>
              </w:rPr>
            </w:pPr>
            <w:bookmarkStart w:id="0" w:name="ditulogo"/>
            <w:bookmarkEnd w:id="0"/>
            <w:r>
              <w:rPr>
                <w:noProof/>
                <w:lang w:eastAsia="zh-CN"/>
              </w:rPr>
              <w:drawing>
                <wp:inline distT="0" distB="0" distL="0" distR="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280E04" w:rsidP="00D44350">
            <w:pPr>
              <w:rPr>
                <w:rtl/>
                <w:lang w:bidi="ar-EG"/>
              </w:rPr>
            </w:pP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AB00D5"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AB00D5">
              <w:rPr>
                <w:rFonts w:ascii="Verdana" w:hAnsi="Verdana" w:cs="Traditional Arabic"/>
                <w:bCs/>
                <w:sz w:val="19"/>
                <w:szCs w:val="30"/>
                <w:rtl/>
                <w:lang w:val="en-US" w:bidi="ar-EG"/>
              </w:rPr>
              <w:t>الجلسة العامة</w:t>
            </w:r>
          </w:p>
        </w:tc>
        <w:tc>
          <w:tcPr>
            <w:tcW w:w="3053" w:type="dxa"/>
            <w:vAlign w:val="center"/>
          </w:tcPr>
          <w:p w:rsidR="003E1608" w:rsidRPr="00AB00D5" w:rsidRDefault="003E1608" w:rsidP="00AB00D5">
            <w:pPr>
              <w:pStyle w:val="Adress"/>
              <w:framePr w:hSpace="0" w:wrap="auto" w:xAlign="left" w:yAlign="inline"/>
              <w:rPr>
                <w:rFonts w:ascii="Verdana" w:hAnsi="Verdana"/>
              </w:rPr>
            </w:pPr>
            <w:r w:rsidRPr="00AB00D5">
              <w:rPr>
                <w:rFonts w:ascii="Verdana" w:hAnsi="Verdana"/>
                <w:rtl/>
              </w:rPr>
              <w:t xml:space="preserve">الإضافة </w:t>
            </w:r>
            <w:r w:rsidRPr="00AB00D5">
              <w:rPr>
                <w:rFonts w:ascii="Verdana" w:hAnsi="Verdana"/>
              </w:rPr>
              <w:t>1</w:t>
            </w:r>
            <w:r w:rsidRPr="00AB00D5">
              <w:rPr>
                <w:rFonts w:ascii="Verdana" w:hAnsi="Verdana"/>
              </w:rPr>
              <w:br/>
            </w:r>
            <w:r w:rsidRPr="00AB00D5">
              <w:rPr>
                <w:rFonts w:ascii="Verdana" w:hAnsi="Verdana"/>
                <w:rtl/>
              </w:rPr>
              <w:t xml:space="preserve">للوثيقة </w:t>
            </w:r>
            <w:r w:rsidR="00AB00D5">
              <w:rPr>
                <w:rFonts w:ascii="Verdana" w:hAnsi="Verdana"/>
              </w:rPr>
              <w:t>11-A</w:t>
            </w:r>
          </w:p>
        </w:tc>
      </w:tr>
      <w:tr w:rsidR="00764079" w:rsidTr="003E1608">
        <w:trPr>
          <w:cantSplit/>
        </w:trPr>
        <w:tc>
          <w:tcPr>
            <w:tcW w:w="6619" w:type="dxa"/>
          </w:tcPr>
          <w:p w:rsidR="00764079" w:rsidRPr="00AB00D5" w:rsidRDefault="00764079" w:rsidP="00D44350">
            <w:pPr>
              <w:pStyle w:val="Adress"/>
              <w:framePr w:hSpace="0" w:wrap="auto" w:xAlign="left" w:yAlign="inline"/>
              <w:rPr>
                <w:rFonts w:ascii="Verdana" w:hAnsi="Verdana"/>
                <w:rtl/>
              </w:rPr>
            </w:pPr>
          </w:p>
        </w:tc>
        <w:tc>
          <w:tcPr>
            <w:tcW w:w="3053" w:type="dxa"/>
            <w:vAlign w:val="center"/>
          </w:tcPr>
          <w:p w:rsidR="00764079" w:rsidRPr="00AB00D5" w:rsidRDefault="00764079" w:rsidP="00D44350">
            <w:pPr>
              <w:pStyle w:val="Adress"/>
              <w:framePr w:hSpace="0" w:wrap="auto" w:xAlign="left" w:yAlign="inline"/>
              <w:rPr>
                <w:rFonts w:ascii="Verdana" w:hAnsi="Verdana"/>
                <w:rtl/>
              </w:rPr>
            </w:pPr>
            <w:r w:rsidRPr="00AB00D5">
              <w:rPr>
                <w:rFonts w:ascii="Verdana" w:eastAsia="SimSun" w:hAnsi="Verdana"/>
              </w:rPr>
              <w:t>24</w:t>
            </w:r>
            <w:r w:rsidRPr="00AB00D5">
              <w:rPr>
                <w:rFonts w:ascii="Verdana" w:eastAsia="SimSun" w:hAnsi="Verdana"/>
                <w:rtl/>
              </w:rPr>
              <w:t xml:space="preserve"> يونيو </w:t>
            </w:r>
            <w:r w:rsidRPr="00AB00D5">
              <w:rPr>
                <w:rFonts w:ascii="Verdana" w:eastAsia="SimSun" w:hAnsi="Verdana"/>
              </w:rPr>
              <w:t>2019</w:t>
            </w:r>
          </w:p>
        </w:tc>
      </w:tr>
      <w:tr w:rsidR="00764079" w:rsidTr="003E1608">
        <w:trPr>
          <w:cantSplit/>
        </w:trPr>
        <w:tc>
          <w:tcPr>
            <w:tcW w:w="6619" w:type="dxa"/>
          </w:tcPr>
          <w:p w:rsidR="00764079" w:rsidRPr="00AB00D5" w:rsidRDefault="00764079" w:rsidP="00D44350">
            <w:pPr>
              <w:pStyle w:val="Adress"/>
              <w:framePr w:hSpace="0" w:wrap="auto" w:xAlign="left" w:yAlign="inline"/>
              <w:rPr>
                <w:rFonts w:ascii="Verdana" w:eastAsia="SimSun" w:hAnsi="Verdana"/>
                <w:rtl/>
              </w:rPr>
            </w:pPr>
          </w:p>
        </w:tc>
        <w:tc>
          <w:tcPr>
            <w:tcW w:w="3053" w:type="dxa"/>
            <w:vAlign w:val="center"/>
          </w:tcPr>
          <w:p w:rsidR="00764079" w:rsidRPr="00AB00D5" w:rsidRDefault="00764079" w:rsidP="00D44350">
            <w:pPr>
              <w:pStyle w:val="Adress"/>
              <w:framePr w:hSpace="0" w:wrap="auto" w:xAlign="left" w:yAlign="inline"/>
              <w:rPr>
                <w:rFonts w:ascii="Verdana" w:eastAsia="SimSun" w:hAnsi="Verdana"/>
              </w:rPr>
            </w:pPr>
            <w:r w:rsidRPr="00AB00D5">
              <w:rPr>
                <w:rFonts w:ascii="Verdana" w:eastAsia="SimSun" w:hAnsi="Verdana"/>
                <w:rtl/>
              </w:rPr>
              <w:t>الأصل: بالإنكليزية</w:t>
            </w:r>
            <w:r w:rsidR="00AB00D5">
              <w:rPr>
                <w:rFonts w:ascii="Verdana" w:eastAsia="SimSun" w:hAnsi="Verdana" w:hint="cs"/>
                <w:rtl/>
              </w:rPr>
              <w:t>/بالإسبانية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AB00D5">
            <w:pPr>
              <w:pStyle w:val="Source"/>
              <w:rPr>
                <w:rtl/>
              </w:rPr>
            </w:pPr>
            <w:r w:rsidRPr="008204AC">
              <w:rPr>
                <w:rtl/>
              </w:rPr>
              <w:t xml:space="preserve">الدول الأعضاء في لجنة البلدان الأمريكية للاتصالات </w:t>
            </w:r>
            <w:r w:rsidR="00AB00D5">
              <w:t>(CITEL)</w:t>
            </w:r>
          </w:p>
        </w:tc>
      </w:tr>
      <w:tr w:rsidR="00764079" w:rsidTr="003E1608">
        <w:trPr>
          <w:cantSplit/>
        </w:trPr>
        <w:tc>
          <w:tcPr>
            <w:tcW w:w="9672" w:type="dxa"/>
            <w:gridSpan w:val="2"/>
          </w:tcPr>
          <w:p w:rsidR="00764079" w:rsidRPr="00BD6EF3" w:rsidRDefault="00AB00D5"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AB00D5" w:rsidRDefault="00764079" w:rsidP="00D44350">
            <w:pPr>
              <w:pStyle w:val="Agendaitem"/>
              <w:spacing w:before="240" w:line="192" w:lineRule="auto"/>
              <w:rPr>
                <w:rtl/>
                <w:lang w:val="en-US"/>
              </w:rPr>
            </w:pPr>
            <w:r w:rsidRPr="008204AC">
              <w:rPr>
                <w:rtl/>
              </w:rPr>
              <w:t>بند جدول الأعمال</w:t>
            </w:r>
            <w:r w:rsidR="00AB00D5">
              <w:rPr>
                <w:rFonts w:hint="cs"/>
                <w:rtl/>
              </w:rPr>
              <w:t xml:space="preserve"> </w:t>
            </w:r>
            <w:r w:rsidR="00AB00D5">
              <w:rPr>
                <w:lang w:val="en-US"/>
              </w:rPr>
              <w:t>1.1</w:t>
            </w:r>
          </w:p>
        </w:tc>
      </w:tr>
    </w:tbl>
    <w:p w:rsidR="001D597A" w:rsidRPr="00431196" w:rsidRDefault="004A11CA" w:rsidP="004A11CA">
      <w:pPr>
        <w:pStyle w:val="Normalaftertitle"/>
        <w:rPr>
          <w:rFonts w:eastAsia="SimSun"/>
          <w:rtl/>
        </w:rPr>
      </w:pPr>
      <w:r w:rsidRPr="00723691">
        <w:rPr>
          <w:rFonts w:eastAsia="SimSun"/>
          <w:lang w:eastAsia="zh-CN" w:bidi="ar-SY"/>
        </w:rPr>
        <w:t>1.1</w:t>
      </w:r>
      <w:r w:rsidRPr="00723691">
        <w:rPr>
          <w:rFonts w:eastAsia="SimSun"/>
          <w:lang w:eastAsia="zh-CN" w:bidi="ar-SY"/>
        </w:rPr>
        <w:tab/>
      </w:r>
      <w:r w:rsidRPr="00723691">
        <w:rPr>
          <w:rFonts w:eastAsia="SimSun"/>
          <w:rtl/>
          <w:lang w:eastAsia="zh-CN"/>
        </w:rPr>
        <w:t xml:space="preserve">النظر في منح توزيع لخدمة الهواة </w:t>
      </w:r>
      <w:r w:rsidRPr="00723691">
        <w:rPr>
          <w:rFonts w:eastAsia="SimSun"/>
          <w:rtl/>
        </w:rPr>
        <w:t xml:space="preserve">في الإقليم </w:t>
      </w:r>
      <w:r w:rsidRPr="00723691">
        <w:rPr>
          <w:rFonts w:eastAsia="SimSun"/>
        </w:rPr>
        <w:t>1</w:t>
      </w:r>
      <w:r w:rsidRPr="00723691">
        <w:rPr>
          <w:rFonts w:eastAsia="SimSun"/>
          <w:rtl/>
        </w:rPr>
        <w:t xml:space="preserve"> في نطاق التردد</w:t>
      </w:r>
      <w:r w:rsidRPr="00723691">
        <w:rPr>
          <w:rFonts w:eastAsia="SimSun" w:hint="cs"/>
          <w:rtl/>
        </w:rPr>
        <w:t xml:space="preserve"> </w:t>
      </w:r>
      <w:r w:rsidRPr="00723691">
        <w:rPr>
          <w:rFonts w:eastAsia="SimSun"/>
        </w:rPr>
        <w:t>MHz 54</w:t>
      </w:r>
      <w:r w:rsidRPr="00723691">
        <w:rPr>
          <w:rFonts w:eastAsia="SimSun"/>
        </w:rPr>
        <w:noBreakHyphen/>
        <w:t>50</w:t>
      </w:r>
      <w:r w:rsidRPr="00723691">
        <w:rPr>
          <w:rFonts w:eastAsia="SimSun" w:hint="cs"/>
          <w:rtl/>
        </w:rPr>
        <w:t xml:space="preserve"> </w:t>
      </w:r>
      <w:r w:rsidRPr="00723691">
        <w:rPr>
          <w:rFonts w:eastAsia="SimSun"/>
          <w:rtl/>
        </w:rPr>
        <w:t xml:space="preserve">وفقاً </w:t>
      </w:r>
      <w:r w:rsidRPr="00AB3D4F">
        <w:rPr>
          <w:rFonts w:ascii="Traditional Arabic" w:hAnsi="Traditional Arabic"/>
          <w:sz w:val="30"/>
          <w:rtl/>
        </w:rPr>
        <w:t>للقرار</w:t>
      </w:r>
      <w:r w:rsidRPr="00AB3D4F">
        <w:rPr>
          <w:rFonts w:asciiTheme="majorBidi" w:hAnsiTheme="majorBidi" w:cstheme="majorBidi" w:hint="cs"/>
          <w:sz w:val="30"/>
          <w:rtl/>
        </w:rPr>
        <w:t xml:space="preserve"> </w:t>
      </w:r>
      <w:r w:rsidRPr="00AB3D4F">
        <w:rPr>
          <w:rFonts w:asciiTheme="majorBidi" w:hAnsiTheme="majorBidi" w:cstheme="majorBidi"/>
          <w:b/>
          <w:bCs/>
          <w:szCs w:val="22"/>
        </w:rPr>
        <w:t>658 (WRC-15)</w:t>
      </w:r>
      <w:r w:rsidRPr="00723691">
        <w:rPr>
          <w:rFonts w:eastAsia="SimSun" w:hint="cs"/>
          <w:b/>
          <w:bCs/>
          <w:rtl/>
        </w:rPr>
        <w:t>؛</w:t>
      </w:r>
    </w:p>
    <w:p w:rsidR="00F16602" w:rsidRDefault="00AB00D5" w:rsidP="00AB00D5">
      <w:pPr>
        <w:pStyle w:val="Headingb"/>
        <w:rPr>
          <w:rtl/>
        </w:rPr>
      </w:pPr>
      <w:r>
        <w:rPr>
          <w:rFonts w:hint="cs"/>
          <w:rtl/>
        </w:rPr>
        <w:t>خلفية</w:t>
      </w:r>
    </w:p>
    <w:p w:rsidR="00AB00D5" w:rsidRPr="000E49AA" w:rsidRDefault="00C001B9" w:rsidP="000E49AA">
      <w:pPr>
        <w:rPr>
          <w:spacing w:val="-2"/>
          <w:rtl/>
        </w:rPr>
      </w:pPr>
      <w:r w:rsidRPr="000E49AA">
        <w:rPr>
          <w:rFonts w:hint="cs"/>
          <w:spacing w:val="-2"/>
          <w:rtl/>
        </w:rPr>
        <w:t xml:space="preserve">سيسهّل البند </w:t>
      </w:r>
      <w:r w:rsidRPr="000E49AA">
        <w:rPr>
          <w:spacing w:val="-2"/>
        </w:rPr>
        <w:t>1.1</w:t>
      </w:r>
      <w:r w:rsidRPr="000E49AA">
        <w:rPr>
          <w:rFonts w:hint="cs"/>
          <w:spacing w:val="-2"/>
          <w:rtl/>
        </w:rPr>
        <w:t xml:space="preserve"> من جدول أعمال المؤتمر </w:t>
      </w:r>
      <w:r w:rsidRPr="000E49AA">
        <w:rPr>
          <w:spacing w:val="-2"/>
        </w:rPr>
        <w:t>WRC-19</w:t>
      </w:r>
      <w:r w:rsidRPr="000E49AA">
        <w:rPr>
          <w:rFonts w:hint="cs"/>
          <w:spacing w:val="-2"/>
          <w:rtl/>
        </w:rPr>
        <w:t xml:space="preserve">، إذا اعتُمد، التنسيق العالمي لنطاق التردد </w:t>
      </w:r>
      <w:r w:rsidRPr="000E49AA">
        <w:rPr>
          <w:spacing w:val="-2"/>
        </w:rPr>
        <w:t>MHz 54-50</w:t>
      </w:r>
      <w:r w:rsidRPr="000E49AA">
        <w:rPr>
          <w:rFonts w:hint="cs"/>
          <w:spacing w:val="-2"/>
          <w:rtl/>
        </w:rPr>
        <w:t xml:space="preserve"> من أجل خدمة</w:t>
      </w:r>
      <w:r w:rsidR="000E49AA" w:rsidRPr="000E49AA">
        <w:rPr>
          <w:rFonts w:hint="eastAsia"/>
          <w:spacing w:val="-2"/>
          <w:rtl/>
        </w:rPr>
        <w:t> </w:t>
      </w:r>
      <w:r w:rsidRPr="000E49AA">
        <w:rPr>
          <w:rFonts w:hint="cs"/>
          <w:spacing w:val="-2"/>
          <w:rtl/>
        </w:rPr>
        <w:t>الهواة.</w:t>
      </w:r>
    </w:p>
    <w:p w:rsidR="00AB00D5" w:rsidRPr="00747EF4" w:rsidRDefault="00C001B9" w:rsidP="00113508">
      <w:pPr>
        <w:rPr>
          <w:rtl/>
        </w:rPr>
      </w:pPr>
      <w:r>
        <w:rPr>
          <w:rFonts w:hint="cs"/>
          <w:rtl/>
        </w:rPr>
        <w:t xml:space="preserve">يوزع الاتحاد حالياً نطاق التردد </w:t>
      </w:r>
      <w:r>
        <w:t>MHz 54-50</w:t>
      </w:r>
      <w:r>
        <w:rPr>
          <w:rFonts w:hint="cs"/>
          <w:rtl/>
        </w:rPr>
        <w:t xml:space="preserve"> لخدمة الهواة على أساس أولي في الإقليمين </w:t>
      </w:r>
      <w:r>
        <w:t>2</w:t>
      </w:r>
      <w:r>
        <w:rPr>
          <w:rFonts w:hint="cs"/>
          <w:rtl/>
        </w:rPr>
        <w:t xml:space="preserve"> و</w:t>
      </w:r>
      <w:r>
        <w:t>3</w:t>
      </w:r>
      <w:r>
        <w:rPr>
          <w:rFonts w:hint="cs"/>
          <w:rtl/>
        </w:rPr>
        <w:t xml:space="preserve">. وفي الإقليم </w:t>
      </w:r>
      <w:r>
        <w:t>1</w:t>
      </w:r>
      <w:r>
        <w:rPr>
          <w:rFonts w:hint="cs"/>
          <w:rtl/>
        </w:rPr>
        <w:t xml:space="preserve">، </w:t>
      </w:r>
      <w:r w:rsidR="00113508">
        <w:rPr>
          <w:rFonts w:hint="cs"/>
          <w:rtl/>
        </w:rPr>
        <w:t>يقتصر توزيع</w:t>
      </w:r>
      <w:r>
        <w:rPr>
          <w:rFonts w:hint="cs"/>
          <w:rtl/>
        </w:rPr>
        <w:t xml:space="preserve"> النطاق حالياً </w:t>
      </w:r>
      <w:r w:rsidR="00113508">
        <w:rPr>
          <w:rFonts w:hint="cs"/>
          <w:rtl/>
        </w:rPr>
        <w:t>على ا</w:t>
      </w:r>
      <w:r>
        <w:rPr>
          <w:rFonts w:hint="cs"/>
          <w:rtl/>
        </w:rPr>
        <w:t>لخدمة الإذاعية</w:t>
      </w:r>
      <w:r w:rsidR="00747EF4" w:rsidRPr="00747EF4">
        <w:rPr>
          <w:rFonts w:hint="cs"/>
          <w:rtl/>
        </w:rPr>
        <w:t xml:space="preserve"> </w:t>
      </w:r>
      <w:r>
        <w:rPr>
          <w:rFonts w:hint="cs"/>
          <w:rtl/>
        </w:rPr>
        <w:t>على أساس أولي</w:t>
      </w:r>
      <w:r w:rsidR="00747EF4">
        <w:rPr>
          <w:rFonts w:hint="cs"/>
          <w:rtl/>
        </w:rPr>
        <w:t>. ومع ذلك، ينص</w:t>
      </w:r>
      <w:r w:rsidR="00AB00D5" w:rsidRPr="004763BC">
        <w:rPr>
          <w:rFonts w:hint="cs"/>
          <w:rtl/>
        </w:rPr>
        <w:t xml:space="preserve"> الرقم</w:t>
      </w:r>
      <w:r w:rsidR="00AB00D5" w:rsidRPr="004763BC">
        <w:rPr>
          <w:rFonts w:hint="eastAsia"/>
          <w:rtl/>
        </w:rPr>
        <w:t> </w:t>
      </w:r>
      <w:r w:rsidR="00AB00D5" w:rsidRPr="000E49AA">
        <w:t>169.5</w:t>
      </w:r>
      <w:r w:rsidR="00AB00D5" w:rsidRPr="004763BC">
        <w:rPr>
          <w:rFonts w:hint="cs"/>
          <w:rtl/>
        </w:rPr>
        <w:t xml:space="preserve"> من لوائح الراديو على توزيع بديل لخدمة الهواة على أساس أولي في عدد من بلدان الإقليم</w:t>
      </w:r>
      <w:r w:rsidR="00AB00D5" w:rsidRPr="004763BC">
        <w:rPr>
          <w:rFonts w:hint="eastAsia"/>
          <w:rtl/>
        </w:rPr>
        <w:t> </w:t>
      </w:r>
      <w:r w:rsidR="00AB00D5" w:rsidRPr="004763BC">
        <w:t>1</w:t>
      </w:r>
      <w:r w:rsidR="00AB00D5">
        <w:rPr>
          <w:rFonts w:hint="cs"/>
          <w:rtl/>
        </w:rPr>
        <w:t xml:space="preserve">، </w:t>
      </w:r>
      <w:r w:rsidR="00747EF4">
        <w:rPr>
          <w:rFonts w:hint="cs"/>
          <w:rtl/>
        </w:rPr>
        <w:t xml:space="preserve">وينص الرقم </w:t>
      </w:r>
      <w:r w:rsidR="00747EF4" w:rsidRPr="000E49AA">
        <w:t>165.</w:t>
      </w:r>
      <w:r w:rsidR="00113508" w:rsidRPr="000E49AA">
        <w:t>5</w:t>
      </w:r>
      <w:r w:rsidR="00747EF4">
        <w:rPr>
          <w:rFonts w:hint="cs"/>
          <w:rtl/>
        </w:rPr>
        <w:t xml:space="preserve"> على توزيع بديل للخدمتين الثابتة والمتنقلة باستثناء المتنقلة للطيران على أساس أولي في عدد من بلدان الإقليم </w:t>
      </w:r>
      <w:r w:rsidR="00747EF4">
        <w:t>1</w:t>
      </w:r>
      <w:r w:rsidR="00747EF4">
        <w:rPr>
          <w:rFonts w:hint="cs"/>
          <w:rtl/>
        </w:rPr>
        <w:t>.</w:t>
      </w:r>
    </w:p>
    <w:p w:rsidR="00AB00D5" w:rsidRPr="00733333" w:rsidRDefault="00733333" w:rsidP="00AB00D5">
      <w:pPr>
        <w:rPr>
          <w:rtl/>
        </w:rPr>
      </w:pPr>
      <w:r>
        <w:rPr>
          <w:rFonts w:hint="cs"/>
          <w:rtl/>
        </w:rPr>
        <w:t xml:space="preserve">وقرر المؤتمر </w:t>
      </w:r>
      <w:r>
        <w:t>WRC-15</w:t>
      </w:r>
      <w:r>
        <w:rPr>
          <w:rFonts w:hint="cs"/>
          <w:rtl/>
        </w:rPr>
        <w:t xml:space="preserve"> دراسة التقاسم بين خدمة الهواة والخدمات الحالية في الإقليم </w:t>
      </w:r>
      <w:r>
        <w:t>1</w:t>
      </w:r>
      <w:r>
        <w:rPr>
          <w:rFonts w:hint="cs"/>
          <w:rtl/>
        </w:rPr>
        <w:t xml:space="preserve"> </w:t>
      </w:r>
      <w:r w:rsidR="009F29B7">
        <w:rPr>
          <w:rFonts w:hint="cs"/>
          <w:rtl/>
        </w:rPr>
        <w:t>بغرض منح توزيع على أساس أولي من شأنه تيسير تحقيق مزيد من التنسيق العالمي وإمكانية التشغيل الدولي.</w:t>
      </w:r>
    </w:p>
    <w:p w:rsidR="00AB00D5" w:rsidRDefault="00630C5E" w:rsidP="00113508">
      <w:pPr>
        <w:rPr>
          <w:rtl/>
        </w:rPr>
      </w:pPr>
      <w:r>
        <w:rPr>
          <w:rFonts w:hint="cs"/>
          <w:rtl/>
        </w:rPr>
        <w:t xml:space="preserve">ويحدد مدى التردد </w:t>
      </w:r>
      <w:r>
        <w:t>MHz 80-30</w:t>
      </w:r>
      <w:r>
        <w:rPr>
          <w:rFonts w:hint="cs"/>
          <w:rtl/>
        </w:rPr>
        <w:t xml:space="preserve"> منطقة الانتقال بين </w:t>
      </w:r>
      <w:r w:rsidR="008A685F">
        <w:rPr>
          <w:rFonts w:hint="cs"/>
          <w:rtl/>
        </w:rPr>
        <w:t>أساليب</w:t>
      </w:r>
      <w:r>
        <w:rPr>
          <w:rFonts w:hint="cs"/>
          <w:rtl/>
        </w:rPr>
        <w:t xml:space="preserve"> الانتشار </w:t>
      </w:r>
      <w:proofErr w:type="spellStart"/>
      <w:r>
        <w:rPr>
          <w:color w:val="000000"/>
          <w:rtl/>
        </w:rPr>
        <w:t>الأيونوسفيري</w:t>
      </w:r>
      <w:proofErr w:type="spellEnd"/>
      <w:r>
        <w:rPr>
          <w:rFonts w:hint="cs"/>
          <w:color w:val="000000"/>
          <w:rtl/>
        </w:rPr>
        <w:t xml:space="preserve"> وغير </w:t>
      </w:r>
      <w:proofErr w:type="spellStart"/>
      <w:r>
        <w:rPr>
          <w:color w:val="000000"/>
          <w:rtl/>
        </w:rPr>
        <w:t>الأيونوسفيري</w:t>
      </w:r>
      <w:proofErr w:type="spellEnd"/>
      <w:r>
        <w:rPr>
          <w:rFonts w:hint="cs"/>
          <w:color w:val="000000"/>
          <w:rtl/>
        </w:rPr>
        <w:t xml:space="preserve"> مما يجعل</w:t>
      </w:r>
      <w:r w:rsidR="008A685F">
        <w:rPr>
          <w:rFonts w:hint="cs"/>
          <w:color w:val="000000"/>
          <w:rtl/>
        </w:rPr>
        <w:t>ه</w:t>
      </w:r>
      <w:r>
        <w:rPr>
          <w:rFonts w:hint="cs"/>
          <w:color w:val="000000"/>
          <w:rtl/>
        </w:rPr>
        <w:t xml:space="preserve"> </w:t>
      </w:r>
      <w:r w:rsidR="00113508">
        <w:rPr>
          <w:rFonts w:hint="cs"/>
          <w:rtl/>
        </w:rPr>
        <w:t>يكتسي</w:t>
      </w:r>
      <w:r w:rsidR="002C1F57">
        <w:rPr>
          <w:rFonts w:hint="cs"/>
          <w:rtl/>
        </w:rPr>
        <w:t xml:space="preserve"> أهمية خاصة </w:t>
      </w:r>
      <w:r w:rsidR="00237538">
        <w:rPr>
          <w:rFonts w:hint="cs"/>
          <w:rtl/>
        </w:rPr>
        <w:t>لإجراء التجارب والدراسات</w:t>
      </w:r>
      <w:r w:rsidR="00CD24C8">
        <w:rPr>
          <w:rFonts w:hint="cs"/>
          <w:rtl/>
        </w:rPr>
        <w:t xml:space="preserve"> ضمن خدمة الهواة.</w:t>
      </w:r>
    </w:p>
    <w:p w:rsidR="00AB00D5" w:rsidRDefault="00AB00D5" w:rsidP="000E49AA">
      <w:pPr>
        <w:rPr>
          <w:rtl/>
          <w:lang w:bidi="ar-EG"/>
        </w:rPr>
      </w:pPr>
      <w:r>
        <w:rPr>
          <w:rFonts w:hint="cs"/>
          <w:rtl/>
          <w:lang w:bidi="ar-EG"/>
        </w:rPr>
        <w:t xml:space="preserve">ويستعمل هواة الراديو توزيعات خدمة الهواة للمشاركة في البحوث والتجارب العلمية والتقنية وتوفير الاتصالات غداة الكوارث الطبيعية وتوفير الاتصالات في الخدمة العامة غير التجارية والاضطلاع بأنشطة أخرى للنهوض بالتعليم التقني وتطوير تقنية التشغيل الراديوي وتعزيز </w:t>
      </w:r>
      <w:r w:rsidR="000E49AA">
        <w:rPr>
          <w:rFonts w:hint="cs"/>
          <w:rtl/>
          <w:lang w:bidi="ar-EG"/>
        </w:rPr>
        <w:t>التعاون الدولي على أساس حسن النية</w:t>
      </w:r>
      <w:r>
        <w:rPr>
          <w:rFonts w:hint="cs"/>
          <w:rtl/>
          <w:lang w:bidi="ar-EG"/>
        </w:rPr>
        <w:t>.</w:t>
      </w:r>
    </w:p>
    <w:p w:rsidR="00AB00D5" w:rsidRPr="000E49AA" w:rsidRDefault="003612BF" w:rsidP="000E49AA">
      <w:pPr>
        <w:rPr>
          <w:spacing w:val="-2"/>
          <w:rtl/>
        </w:rPr>
      </w:pPr>
      <w:r w:rsidRPr="000E49AA">
        <w:rPr>
          <w:rFonts w:hint="cs"/>
          <w:spacing w:val="-2"/>
          <w:rtl/>
          <w:lang w:bidi="ar-EG"/>
        </w:rPr>
        <w:t xml:space="preserve">وتحقق هذه الخصائص </w:t>
      </w:r>
      <w:r w:rsidR="00352632" w:rsidRPr="000E49AA">
        <w:rPr>
          <w:rFonts w:hint="cs"/>
          <w:spacing w:val="-2"/>
          <w:rtl/>
          <w:lang w:bidi="ar-EG"/>
        </w:rPr>
        <w:t>واستعمال</w:t>
      </w:r>
      <w:r w:rsidRPr="000E49AA">
        <w:rPr>
          <w:rFonts w:hint="cs"/>
          <w:spacing w:val="-2"/>
          <w:rtl/>
          <w:lang w:bidi="ar-EG"/>
        </w:rPr>
        <w:t xml:space="preserve"> النطاق هدف الخدمة </w:t>
      </w:r>
      <w:r w:rsidR="001271DD" w:rsidRPr="000E49AA">
        <w:rPr>
          <w:rFonts w:hint="cs"/>
          <w:spacing w:val="-2"/>
          <w:rtl/>
          <w:lang w:bidi="ar-EG"/>
        </w:rPr>
        <w:t xml:space="preserve">على النحو </w:t>
      </w:r>
      <w:r w:rsidRPr="000E49AA">
        <w:rPr>
          <w:rFonts w:hint="cs"/>
          <w:spacing w:val="-2"/>
          <w:rtl/>
          <w:lang w:bidi="ar-EG"/>
        </w:rPr>
        <w:t xml:space="preserve">المعرّف في الرقم </w:t>
      </w:r>
      <w:r w:rsidRPr="000E49AA">
        <w:rPr>
          <w:spacing w:val="-2"/>
          <w:lang w:bidi="ar-EG"/>
        </w:rPr>
        <w:t>56.1</w:t>
      </w:r>
      <w:r w:rsidRPr="000E49AA">
        <w:rPr>
          <w:rFonts w:hint="cs"/>
          <w:spacing w:val="-2"/>
          <w:rtl/>
        </w:rPr>
        <w:t xml:space="preserve"> من لوائح الراديو </w:t>
      </w:r>
      <w:r w:rsidR="00780167" w:rsidRPr="000E49AA">
        <w:rPr>
          <w:rFonts w:hint="cs"/>
          <w:spacing w:val="-2"/>
          <w:rtl/>
        </w:rPr>
        <w:t xml:space="preserve">وتتيح </w:t>
      </w:r>
      <w:r w:rsidR="00352632" w:rsidRPr="000E49AA">
        <w:rPr>
          <w:spacing w:val="-2"/>
          <w:rtl/>
        </w:rPr>
        <w:t>إشراك الممارسين في</w:t>
      </w:r>
      <w:r w:rsidR="000E49AA" w:rsidRPr="000E49AA">
        <w:rPr>
          <w:rFonts w:hint="cs"/>
          <w:spacing w:val="-2"/>
          <w:rtl/>
        </w:rPr>
        <w:t> </w:t>
      </w:r>
      <w:r w:rsidR="00352632" w:rsidRPr="000E49AA">
        <w:rPr>
          <w:rFonts w:hint="cs"/>
          <w:spacing w:val="-2"/>
          <w:rtl/>
        </w:rPr>
        <w:t>الدراسات</w:t>
      </w:r>
      <w:r w:rsidR="00352632" w:rsidRPr="000E49AA">
        <w:rPr>
          <w:spacing w:val="-2"/>
          <w:rtl/>
        </w:rPr>
        <w:t xml:space="preserve"> العلمية والتقنية</w:t>
      </w:r>
      <w:r w:rsidR="00352632" w:rsidRPr="000E49AA">
        <w:rPr>
          <w:rFonts w:hint="cs"/>
          <w:spacing w:val="-2"/>
          <w:rtl/>
        </w:rPr>
        <w:t xml:space="preserve"> </w:t>
      </w:r>
      <w:r w:rsidR="00780167" w:rsidRPr="000E49AA">
        <w:rPr>
          <w:rFonts w:hint="cs"/>
          <w:spacing w:val="-2"/>
          <w:rtl/>
        </w:rPr>
        <w:t>إلى جانب</w:t>
      </w:r>
      <w:r w:rsidR="00352632" w:rsidRPr="000E49AA">
        <w:rPr>
          <w:rFonts w:hint="cs"/>
          <w:spacing w:val="-2"/>
          <w:rtl/>
        </w:rPr>
        <w:t xml:space="preserve"> المساعدة في تطوير تقنيات التشغيل الراديوي التي </w:t>
      </w:r>
      <w:r w:rsidR="00113508" w:rsidRPr="000E49AA">
        <w:rPr>
          <w:rFonts w:hint="cs"/>
          <w:spacing w:val="-2"/>
          <w:rtl/>
        </w:rPr>
        <w:t>تعد</w:t>
      </w:r>
      <w:r w:rsidR="00352632" w:rsidRPr="000E49AA">
        <w:rPr>
          <w:rFonts w:hint="cs"/>
          <w:spacing w:val="-2"/>
          <w:rtl/>
        </w:rPr>
        <w:t xml:space="preserve"> مفيدة للاتصالات في</w:t>
      </w:r>
      <w:r w:rsidR="000E49AA" w:rsidRPr="000E49AA">
        <w:rPr>
          <w:rFonts w:hint="eastAsia"/>
          <w:spacing w:val="-2"/>
          <w:rtl/>
        </w:rPr>
        <w:t> </w:t>
      </w:r>
      <w:r w:rsidR="00352632" w:rsidRPr="000E49AA">
        <w:rPr>
          <w:rFonts w:hint="cs"/>
          <w:spacing w:val="-2"/>
          <w:rtl/>
        </w:rPr>
        <w:t>حالات</w:t>
      </w:r>
      <w:r w:rsidR="000E49AA" w:rsidRPr="000E49AA">
        <w:rPr>
          <w:rFonts w:hint="eastAsia"/>
          <w:spacing w:val="-2"/>
          <w:rtl/>
        </w:rPr>
        <w:t> </w:t>
      </w:r>
      <w:r w:rsidR="00352632" w:rsidRPr="000E49AA">
        <w:rPr>
          <w:rFonts w:hint="cs"/>
          <w:spacing w:val="-2"/>
          <w:rtl/>
        </w:rPr>
        <w:t>الطوارئ.</w:t>
      </w:r>
    </w:p>
    <w:p w:rsidR="00352632" w:rsidRPr="00352632" w:rsidRDefault="00352632" w:rsidP="000E49AA">
      <w:pPr>
        <w:pStyle w:val="Headingb"/>
        <w:rPr>
          <w:rtl/>
        </w:rPr>
      </w:pPr>
      <w:r w:rsidRPr="00352632">
        <w:rPr>
          <w:rtl/>
        </w:rPr>
        <w:lastRenderedPageBreak/>
        <w:t>مقترحات البلدان الأمريكية</w:t>
      </w:r>
    </w:p>
    <w:p w:rsidR="00632DB3" w:rsidRDefault="004A11CA" w:rsidP="00632DB3">
      <w:pPr>
        <w:pStyle w:val="ArtNo"/>
        <w:spacing w:before="0"/>
        <w:rPr>
          <w:rtl/>
        </w:rPr>
      </w:pPr>
      <w:bookmarkStart w:id="1" w:name="_Toc454442698"/>
      <w:r>
        <w:rPr>
          <w:rtl/>
        </w:rPr>
        <w:t xml:space="preserve">المـادة </w:t>
      </w:r>
      <w:r>
        <w:rPr>
          <w:rStyle w:val="href"/>
        </w:rPr>
        <w:t>5</w:t>
      </w:r>
      <w:bookmarkEnd w:id="1"/>
    </w:p>
    <w:p w:rsidR="00632DB3" w:rsidRDefault="004A11CA" w:rsidP="00632DB3">
      <w:pPr>
        <w:pStyle w:val="Arttitle"/>
        <w:rPr>
          <w:b w:val="0"/>
          <w:rtl/>
        </w:rPr>
      </w:pPr>
      <w:bookmarkStart w:id="2" w:name="_Toc454442699"/>
      <w:bookmarkStart w:id="3" w:name="_Toc331055733"/>
      <w:r>
        <w:rPr>
          <w:b w:val="0"/>
          <w:rtl/>
        </w:rPr>
        <w:t>توزيع نطاقات التردد</w:t>
      </w:r>
      <w:bookmarkEnd w:id="2"/>
      <w:bookmarkEnd w:id="3"/>
    </w:p>
    <w:p w:rsidR="00632DB3" w:rsidRDefault="004A11CA"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rsidR="0066322F" w:rsidRDefault="004A11CA">
      <w:pPr>
        <w:pStyle w:val="Proposal"/>
      </w:pPr>
      <w:r>
        <w:rPr>
          <w:u w:val="single"/>
        </w:rPr>
        <w:t>NOC</w:t>
      </w:r>
      <w:r>
        <w:tab/>
        <w:t>IAP/11A1/1</w:t>
      </w:r>
    </w:p>
    <w:p w:rsidR="006444B7" w:rsidRDefault="004A11CA">
      <w:pPr>
        <w:pStyle w:val="Tabletitle"/>
        <w:spacing w:before="120"/>
        <w:rPr>
          <w:rtl/>
        </w:rPr>
      </w:pPr>
      <w:r>
        <w:t>MHz 75,2-47</w:t>
      </w:r>
    </w:p>
    <w:tbl>
      <w:tblPr>
        <w:bidiVisual/>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20"/>
        <w:gridCol w:w="3120"/>
        <w:gridCol w:w="3120"/>
      </w:tblGrid>
      <w:tr w:rsidR="00632DB3" w:rsidTr="004A11C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rsidR="00632DB3" w:rsidRDefault="004A11CA">
            <w:pPr>
              <w:pStyle w:val="Tablehead"/>
              <w:keepNext/>
              <w:rPr>
                <w:rtl/>
              </w:rPr>
            </w:pPr>
            <w:r>
              <w:rPr>
                <w:rtl/>
              </w:rPr>
              <w:t>التوزيع على الخدمات</w:t>
            </w:r>
          </w:p>
        </w:tc>
      </w:tr>
      <w:tr w:rsidR="00632DB3" w:rsidTr="004A11CA">
        <w:trPr>
          <w:cantSplit/>
          <w:jc w:val="center"/>
        </w:trPr>
        <w:tc>
          <w:tcPr>
            <w:tcW w:w="3120" w:type="dxa"/>
            <w:tcBorders>
              <w:top w:val="single" w:sz="4" w:space="0" w:color="auto"/>
              <w:left w:val="single" w:sz="4" w:space="0" w:color="auto"/>
              <w:bottom w:val="single" w:sz="4" w:space="0" w:color="auto"/>
              <w:right w:val="single" w:sz="4" w:space="0" w:color="auto"/>
            </w:tcBorders>
            <w:hideMark/>
          </w:tcPr>
          <w:p w:rsidR="00632DB3" w:rsidRDefault="004A11CA">
            <w:pPr>
              <w:pStyle w:val="Tablehead"/>
            </w:pPr>
            <w:r>
              <w:rPr>
                <w:rtl/>
              </w:rPr>
              <w:t xml:space="preserve">الإقليم </w:t>
            </w:r>
            <w:r>
              <w:t>1</w:t>
            </w:r>
          </w:p>
        </w:tc>
        <w:tc>
          <w:tcPr>
            <w:tcW w:w="3120" w:type="dxa"/>
            <w:tcBorders>
              <w:top w:val="single" w:sz="4" w:space="0" w:color="auto"/>
              <w:left w:val="single" w:sz="4" w:space="0" w:color="auto"/>
              <w:bottom w:val="single" w:sz="4" w:space="0" w:color="auto"/>
              <w:right w:val="single" w:sz="4" w:space="0" w:color="auto"/>
            </w:tcBorders>
            <w:hideMark/>
          </w:tcPr>
          <w:p w:rsidR="00632DB3" w:rsidRDefault="004A11CA">
            <w:pPr>
              <w:pStyle w:val="Tablehead"/>
            </w:pPr>
            <w:r>
              <w:rPr>
                <w:rtl/>
              </w:rPr>
              <w:t xml:space="preserve">الإقليم </w:t>
            </w:r>
            <w:r>
              <w:t>2</w:t>
            </w:r>
          </w:p>
        </w:tc>
        <w:tc>
          <w:tcPr>
            <w:tcW w:w="3120" w:type="dxa"/>
            <w:tcBorders>
              <w:top w:val="single" w:sz="4" w:space="0" w:color="auto"/>
              <w:left w:val="single" w:sz="4" w:space="0" w:color="auto"/>
              <w:bottom w:val="single" w:sz="4" w:space="0" w:color="auto"/>
              <w:right w:val="single" w:sz="4" w:space="0" w:color="auto"/>
            </w:tcBorders>
            <w:hideMark/>
          </w:tcPr>
          <w:p w:rsidR="00632DB3" w:rsidRDefault="004A11CA">
            <w:pPr>
              <w:pStyle w:val="Tablehead"/>
            </w:pPr>
            <w:r>
              <w:rPr>
                <w:rtl/>
              </w:rPr>
              <w:t xml:space="preserve">الإقليم </w:t>
            </w:r>
            <w:r>
              <w:t>3</w:t>
            </w:r>
          </w:p>
        </w:tc>
      </w:tr>
      <w:tr w:rsidR="00632DB3" w:rsidTr="004A11CA">
        <w:trPr>
          <w:cantSplit/>
          <w:jc w:val="center"/>
        </w:trPr>
        <w:tc>
          <w:tcPr>
            <w:tcW w:w="3120" w:type="dxa"/>
            <w:tcBorders>
              <w:top w:val="single" w:sz="4" w:space="0" w:color="auto"/>
              <w:left w:val="single" w:sz="4" w:space="0" w:color="auto"/>
              <w:bottom w:val="nil"/>
              <w:right w:val="single" w:sz="4" w:space="0" w:color="auto"/>
            </w:tcBorders>
            <w:hideMark/>
          </w:tcPr>
          <w:p w:rsidR="00632DB3" w:rsidRDefault="00BA55FA">
            <w:pPr>
              <w:pStyle w:val="TabletextS5"/>
              <w:spacing w:line="290" w:lineRule="exact"/>
              <w:rPr>
                <w:rtl/>
              </w:rPr>
            </w:pPr>
          </w:p>
        </w:tc>
        <w:tc>
          <w:tcPr>
            <w:tcW w:w="3120" w:type="dxa"/>
            <w:tcBorders>
              <w:top w:val="single" w:sz="4" w:space="0" w:color="auto"/>
              <w:left w:val="single" w:sz="4" w:space="0" w:color="auto"/>
              <w:bottom w:val="single" w:sz="4" w:space="0" w:color="auto"/>
              <w:right w:val="single" w:sz="4" w:space="0" w:color="auto"/>
            </w:tcBorders>
            <w:hideMark/>
          </w:tcPr>
          <w:p w:rsidR="00632DB3" w:rsidRDefault="00BA55FA">
            <w:pPr>
              <w:pStyle w:val="TabletextS5"/>
              <w:spacing w:line="290" w:lineRule="exact"/>
            </w:pPr>
          </w:p>
        </w:tc>
        <w:tc>
          <w:tcPr>
            <w:tcW w:w="3120" w:type="dxa"/>
            <w:tcBorders>
              <w:top w:val="single" w:sz="4" w:space="0" w:color="auto"/>
              <w:left w:val="single" w:sz="4" w:space="0" w:color="auto"/>
              <w:bottom w:val="single" w:sz="4" w:space="0" w:color="auto"/>
              <w:right w:val="single" w:sz="4" w:space="0" w:color="auto"/>
            </w:tcBorders>
            <w:hideMark/>
          </w:tcPr>
          <w:p w:rsidR="00632DB3" w:rsidRPr="004A11CA" w:rsidRDefault="00BA55FA">
            <w:pPr>
              <w:pStyle w:val="TabletextS5"/>
              <w:spacing w:line="290" w:lineRule="exact"/>
              <w:rPr>
                <w:rStyle w:val="Artref"/>
                <w:bCs/>
                <w:rtl/>
              </w:rPr>
            </w:pPr>
          </w:p>
        </w:tc>
      </w:tr>
      <w:tr w:rsidR="00632DB3" w:rsidTr="004A11CA">
        <w:trPr>
          <w:cantSplit/>
          <w:jc w:val="center"/>
        </w:trPr>
        <w:tc>
          <w:tcPr>
            <w:tcW w:w="3120" w:type="dxa"/>
            <w:tcBorders>
              <w:top w:val="nil"/>
              <w:left w:val="single" w:sz="4" w:space="0" w:color="auto"/>
              <w:bottom w:val="nil"/>
              <w:right w:val="single" w:sz="4" w:space="0" w:color="auto"/>
            </w:tcBorders>
          </w:tcPr>
          <w:p w:rsidR="00632DB3" w:rsidRDefault="00BA55FA">
            <w:pPr>
              <w:pStyle w:val="TabletextS5"/>
              <w:spacing w:line="290" w:lineRule="exact"/>
            </w:pPr>
          </w:p>
        </w:tc>
        <w:tc>
          <w:tcPr>
            <w:tcW w:w="6240" w:type="dxa"/>
            <w:gridSpan w:val="2"/>
            <w:tcBorders>
              <w:top w:val="single" w:sz="4" w:space="0" w:color="auto"/>
              <w:left w:val="single" w:sz="4" w:space="0" w:color="auto"/>
              <w:bottom w:val="single" w:sz="4" w:space="0" w:color="auto"/>
              <w:right w:val="single" w:sz="4" w:space="0" w:color="auto"/>
            </w:tcBorders>
            <w:hideMark/>
          </w:tcPr>
          <w:p w:rsidR="00632DB3" w:rsidRDefault="004A11CA">
            <w:pPr>
              <w:pStyle w:val="TabletextS5"/>
              <w:spacing w:line="290" w:lineRule="exact"/>
              <w:rPr>
                <w:rStyle w:val="Tablefreq"/>
              </w:rPr>
            </w:pPr>
            <w:r>
              <w:rPr>
                <w:rStyle w:val="Tablefreq"/>
              </w:rPr>
              <w:t>54-50</w:t>
            </w:r>
          </w:p>
          <w:p w:rsidR="00632DB3" w:rsidRDefault="00CD24C8">
            <w:pPr>
              <w:pStyle w:val="TabletextS5"/>
              <w:tabs>
                <w:tab w:val="left" w:pos="387"/>
              </w:tabs>
              <w:spacing w:line="290" w:lineRule="exact"/>
            </w:pPr>
            <w:r>
              <w:rPr>
                <w:rtl/>
              </w:rPr>
              <w:tab/>
            </w:r>
            <w:r>
              <w:rPr>
                <w:rtl/>
              </w:rPr>
              <w:tab/>
            </w:r>
            <w:r w:rsidR="004A11CA">
              <w:rPr>
                <w:b/>
                <w:bCs/>
                <w:rtl/>
              </w:rPr>
              <w:t>هواة</w:t>
            </w:r>
          </w:p>
          <w:p w:rsidR="00632DB3" w:rsidRPr="004A11CA" w:rsidRDefault="00CD24C8">
            <w:pPr>
              <w:pStyle w:val="TabletextS5"/>
              <w:tabs>
                <w:tab w:val="left" w:pos="387"/>
              </w:tabs>
              <w:spacing w:line="290" w:lineRule="exact"/>
              <w:rPr>
                <w:rStyle w:val="Artref"/>
              </w:rPr>
            </w:pPr>
            <w:r>
              <w:tab/>
            </w:r>
            <w:r>
              <w:tab/>
            </w:r>
            <w:r w:rsidR="004A11CA" w:rsidRPr="004A11CA">
              <w:rPr>
                <w:rStyle w:val="Artref"/>
              </w:rPr>
              <w:t>170.5   168.5   167A.5   167.5   162A.5</w:t>
            </w:r>
          </w:p>
        </w:tc>
      </w:tr>
      <w:tr w:rsidR="00632DB3" w:rsidTr="004A11CA">
        <w:trPr>
          <w:cantSplit/>
          <w:jc w:val="center"/>
        </w:trPr>
        <w:tc>
          <w:tcPr>
            <w:tcW w:w="3120" w:type="dxa"/>
            <w:tcBorders>
              <w:top w:val="nil"/>
              <w:left w:val="single" w:sz="4" w:space="0" w:color="auto"/>
              <w:bottom w:val="nil"/>
              <w:right w:val="single" w:sz="4" w:space="0" w:color="auto"/>
            </w:tcBorders>
          </w:tcPr>
          <w:p w:rsidR="00632DB3" w:rsidRDefault="00BA55FA">
            <w:pPr>
              <w:pStyle w:val="TabletextS5"/>
              <w:spacing w:line="290" w:lineRule="exact"/>
            </w:pPr>
          </w:p>
        </w:tc>
        <w:tc>
          <w:tcPr>
            <w:tcW w:w="3120" w:type="dxa"/>
            <w:tcBorders>
              <w:top w:val="single" w:sz="4" w:space="0" w:color="auto"/>
              <w:left w:val="single" w:sz="4" w:space="0" w:color="auto"/>
              <w:bottom w:val="nil"/>
              <w:right w:val="single" w:sz="4" w:space="0" w:color="auto"/>
            </w:tcBorders>
            <w:hideMark/>
          </w:tcPr>
          <w:p w:rsidR="00632DB3" w:rsidRDefault="00BA55FA">
            <w:pPr>
              <w:pStyle w:val="TabletextS5"/>
              <w:spacing w:line="290" w:lineRule="exact"/>
            </w:pPr>
          </w:p>
        </w:tc>
        <w:tc>
          <w:tcPr>
            <w:tcW w:w="3120" w:type="dxa"/>
            <w:tcBorders>
              <w:top w:val="single" w:sz="4" w:space="0" w:color="auto"/>
              <w:left w:val="single" w:sz="4" w:space="0" w:color="auto"/>
              <w:bottom w:val="nil"/>
              <w:right w:val="single" w:sz="4" w:space="0" w:color="auto"/>
            </w:tcBorders>
            <w:hideMark/>
          </w:tcPr>
          <w:p w:rsidR="00632DB3" w:rsidRDefault="00BA55FA">
            <w:pPr>
              <w:pStyle w:val="TabletextS5"/>
              <w:spacing w:line="290" w:lineRule="exact"/>
            </w:pPr>
          </w:p>
        </w:tc>
      </w:tr>
      <w:tr w:rsidR="00632DB3" w:rsidTr="004A11CA">
        <w:trPr>
          <w:cantSplit/>
          <w:jc w:val="center"/>
        </w:trPr>
        <w:tc>
          <w:tcPr>
            <w:tcW w:w="3120" w:type="dxa"/>
            <w:tcBorders>
              <w:top w:val="nil"/>
              <w:left w:val="single" w:sz="4" w:space="0" w:color="auto"/>
              <w:bottom w:val="single" w:sz="4" w:space="0" w:color="auto"/>
              <w:right w:val="single" w:sz="4" w:space="0" w:color="auto"/>
            </w:tcBorders>
            <w:hideMark/>
          </w:tcPr>
          <w:p w:rsidR="00632DB3" w:rsidRPr="004A11CA" w:rsidRDefault="00BA55FA">
            <w:pPr>
              <w:pStyle w:val="TabletextS5"/>
              <w:spacing w:line="290" w:lineRule="exact"/>
              <w:rPr>
                <w:rStyle w:val="Artref"/>
              </w:rPr>
            </w:pPr>
          </w:p>
        </w:tc>
        <w:tc>
          <w:tcPr>
            <w:tcW w:w="3120" w:type="dxa"/>
            <w:tcBorders>
              <w:top w:val="nil"/>
              <w:left w:val="single" w:sz="4" w:space="0" w:color="auto"/>
              <w:bottom w:val="single" w:sz="4" w:space="0" w:color="auto"/>
              <w:right w:val="single" w:sz="4" w:space="0" w:color="auto"/>
            </w:tcBorders>
            <w:hideMark/>
          </w:tcPr>
          <w:p w:rsidR="00632DB3" w:rsidRPr="004A11CA" w:rsidRDefault="00BA55FA">
            <w:pPr>
              <w:pStyle w:val="TabletextS5"/>
              <w:spacing w:line="290" w:lineRule="exact"/>
              <w:rPr>
                <w:rStyle w:val="Artref"/>
              </w:rPr>
            </w:pPr>
          </w:p>
        </w:tc>
        <w:tc>
          <w:tcPr>
            <w:tcW w:w="3120" w:type="dxa"/>
            <w:tcBorders>
              <w:top w:val="nil"/>
              <w:left w:val="single" w:sz="4" w:space="0" w:color="auto"/>
              <w:bottom w:val="single" w:sz="4" w:space="0" w:color="auto"/>
              <w:right w:val="single" w:sz="4" w:space="0" w:color="auto"/>
            </w:tcBorders>
            <w:hideMark/>
          </w:tcPr>
          <w:p w:rsidR="00632DB3" w:rsidRDefault="00BA55FA">
            <w:pPr>
              <w:pStyle w:val="TabletextS5"/>
              <w:spacing w:line="290" w:lineRule="exact"/>
            </w:pPr>
          </w:p>
        </w:tc>
      </w:tr>
    </w:tbl>
    <w:p w:rsidR="0066322F" w:rsidRDefault="004A11CA" w:rsidP="00DD7B8F">
      <w:pPr>
        <w:pStyle w:val="Reasons"/>
        <w:rPr>
          <w:rtl/>
        </w:rPr>
      </w:pPr>
      <w:proofErr w:type="gramStart"/>
      <w:r>
        <w:rPr>
          <w:rtl/>
        </w:rPr>
        <w:t>الأسباب:</w:t>
      </w:r>
      <w:r>
        <w:tab/>
      </w:r>
      <w:proofErr w:type="gramEnd"/>
      <w:r w:rsidR="00DD7B8F" w:rsidRPr="00DD7B8F">
        <w:rPr>
          <w:rFonts w:hint="cs"/>
          <w:b w:val="0"/>
          <w:bCs w:val="0"/>
          <w:rtl/>
        </w:rPr>
        <w:t xml:space="preserve">البند </w:t>
      </w:r>
      <w:r w:rsidR="00DD7B8F" w:rsidRPr="00DD7B8F">
        <w:rPr>
          <w:b w:val="0"/>
          <w:bCs w:val="0"/>
        </w:rPr>
        <w:t>1.1</w:t>
      </w:r>
      <w:r w:rsidR="00DD7B8F" w:rsidRPr="00DD7B8F">
        <w:rPr>
          <w:rFonts w:hint="cs"/>
          <w:b w:val="0"/>
          <w:bCs w:val="0"/>
          <w:rtl/>
        </w:rPr>
        <w:t xml:space="preserve"> من جدول أعمال المؤتمر</w:t>
      </w:r>
      <w:r w:rsidR="009E355A">
        <w:rPr>
          <w:rFonts w:hint="cs"/>
          <w:b w:val="0"/>
          <w:bCs w:val="0"/>
          <w:rtl/>
        </w:rPr>
        <w:t xml:space="preserve"> </w:t>
      </w:r>
      <w:r w:rsidR="009E355A">
        <w:rPr>
          <w:b w:val="0"/>
          <w:bCs w:val="0"/>
        </w:rPr>
        <w:t>WRC-19</w:t>
      </w:r>
      <w:r w:rsidR="00DD7B8F">
        <w:rPr>
          <w:rFonts w:hint="cs"/>
          <w:b w:val="0"/>
          <w:bCs w:val="0"/>
          <w:rtl/>
        </w:rPr>
        <w:t xml:space="preserve"> يتعلق بالإقليم </w:t>
      </w:r>
      <w:r w:rsidR="00DD7B8F">
        <w:rPr>
          <w:b w:val="0"/>
          <w:bCs w:val="0"/>
        </w:rPr>
        <w:t>1</w:t>
      </w:r>
      <w:r w:rsidR="00DD7B8F">
        <w:rPr>
          <w:rFonts w:hint="cs"/>
          <w:rtl/>
        </w:rPr>
        <w:t>.</w:t>
      </w:r>
    </w:p>
    <w:p w:rsidR="0066322F" w:rsidRDefault="004A11CA">
      <w:pPr>
        <w:pStyle w:val="Proposal"/>
      </w:pPr>
      <w:r>
        <w:tab/>
        <w:t>IAP/11A1/2</w:t>
      </w:r>
    </w:p>
    <w:p w:rsidR="0066322F" w:rsidRPr="005B4C80" w:rsidRDefault="009E355A" w:rsidP="00BA55FA">
      <w:pPr>
        <w:rPr>
          <w:rtl/>
        </w:rPr>
      </w:pPr>
      <w:r w:rsidRPr="005B4C80">
        <w:rPr>
          <w:rFonts w:hint="cs"/>
          <w:rtl/>
          <w:lang w:bidi="ar-EG"/>
        </w:rPr>
        <w:t xml:space="preserve">نظراً إلى أن </w:t>
      </w:r>
      <w:r w:rsidRPr="005B4C80">
        <w:rPr>
          <w:rFonts w:hint="cs"/>
          <w:rtl/>
        </w:rPr>
        <w:t xml:space="preserve">البند </w:t>
      </w:r>
      <w:r w:rsidRPr="005B4C80">
        <w:t>1.1</w:t>
      </w:r>
      <w:r w:rsidRPr="005B4C80">
        <w:rPr>
          <w:rFonts w:hint="cs"/>
          <w:rtl/>
        </w:rPr>
        <w:t xml:space="preserve"> من جدول أعمال المؤتمر </w:t>
      </w:r>
      <w:r w:rsidRPr="005B4C80">
        <w:t>WRC-19</w:t>
      </w:r>
      <w:r w:rsidRPr="005B4C80">
        <w:rPr>
          <w:rFonts w:hint="cs"/>
          <w:rtl/>
        </w:rPr>
        <w:t xml:space="preserve"> يتعلق بالإقليم </w:t>
      </w:r>
      <w:r w:rsidRPr="005B4C80">
        <w:t>1</w:t>
      </w:r>
      <w:r w:rsidRPr="005B4C80">
        <w:rPr>
          <w:rFonts w:hint="cs"/>
          <w:rtl/>
        </w:rPr>
        <w:t xml:space="preserve"> فقط، لا يُقترح أي تغيير فيما يتعلق بالإقليم</w:t>
      </w:r>
      <w:r w:rsidR="000E49AA" w:rsidRPr="005B4C80">
        <w:rPr>
          <w:rFonts w:hint="eastAsia"/>
          <w:rtl/>
        </w:rPr>
        <w:t> </w:t>
      </w:r>
      <w:r w:rsidRPr="005B4C80">
        <w:t>2</w:t>
      </w:r>
      <w:r w:rsidRPr="005B4C80">
        <w:rPr>
          <w:rFonts w:hint="cs"/>
          <w:rtl/>
        </w:rPr>
        <w:t>.</w:t>
      </w:r>
      <w:r w:rsidR="008F5A87" w:rsidRPr="005B4C80">
        <w:rPr>
          <w:rFonts w:hint="cs"/>
          <w:rtl/>
        </w:rPr>
        <w:t xml:space="preserve"> وعلاوة</w:t>
      </w:r>
      <w:r w:rsidR="005B4C80" w:rsidRPr="005B4C80">
        <w:rPr>
          <w:rFonts w:hint="cs"/>
          <w:rtl/>
        </w:rPr>
        <w:t>ً</w:t>
      </w:r>
      <w:r w:rsidR="005B4C80" w:rsidRPr="005B4C80">
        <w:rPr>
          <w:rFonts w:hint="eastAsia"/>
          <w:rtl/>
        </w:rPr>
        <w:t> </w:t>
      </w:r>
      <w:r w:rsidR="008F5A87" w:rsidRPr="005B4C80">
        <w:rPr>
          <w:rFonts w:hint="cs"/>
          <w:rtl/>
        </w:rPr>
        <w:t xml:space="preserve">على ذلك، فأي تغييرات تدخل على أحكام لوائح الراديو بموجب البند </w:t>
      </w:r>
      <w:r w:rsidR="008F5A87" w:rsidRPr="005B4C80">
        <w:t>1.1</w:t>
      </w:r>
      <w:r w:rsidR="008F5A87" w:rsidRPr="005B4C80">
        <w:rPr>
          <w:rFonts w:hint="cs"/>
          <w:rtl/>
        </w:rPr>
        <w:t xml:space="preserve"> من جدول أعمال المؤتمر</w:t>
      </w:r>
      <w:r w:rsidR="005B4C80">
        <w:rPr>
          <w:rFonts w:hint="eastAsia"/>
          <w:rtl/>
        </w:rPr>
        <w:t> </w:t>
      </w:r>
      <w:r w:rsidR="008F5A87" w:rsidRPr="005B4C80">
        <w:t>WRC-19</w:t>
      </w:r>
      <w:r w:rsidR="008F5A87" w:rsidRPr="005B4C80">
        <w:rPr>
          <w:rFonts w:hint="cs"/>
          <w:rtl/>
        </w:rPr>
        <w:t>، يجب</w:t>
      </w:r>
      <w:r w:rsidR="00BA55FA">
        <w:rPr>
          <w:rFonts w:hint="eastAsia"/>
          <w:rtl/>
        </w:rPr>
        <w:t> </w:t>
      </w:r>
      <w:bookmarkStart w:id="4" w:name="_GoBack"/>
      <w:bookmarkEnd w:id="4"/>
      <w:r w:rsidR="008F5A87" w:rsidRPr="005B4C80">
        <w:rPr>
          <w:rFonts w:hint="cs"/>
          <w:rtl/>
        </w:rPr>
        <w:t>ألا</w:t>
      </w:r>
      <w:r w:rsidR="005B4C80">
        <w:rPr>
          <w:rFonts w:hint="eastAsia"/>
          <w:rtl/>
        </w:rPr>
        <w:t> </w:t>
      </w:r>
      <w:r w:rsidR="008F5A87" w:rsidRPr="005B4C80">
        <w:rPr>
          <w:rFonts w:hint="cs"/>
          <w:rtl/>
        </w:rPr>
        <w:t xml:space="preserve">تؤثر على التوزيع الحالي لخدمة الهواة في النطاق </w:t>
      </w:r>
      <w:r w:rsidR="008F5A87" w:rsidRPr="005B4C80">
        <w:t>MHz 54-50</w:t>
      </w:r>
      <w:r w:rsidR="008F5A87" w:rsidRPr="005B4C80">
        <w:rPr>
          <w:rFonts w:hint="cs"/>
          <w:rtl/>
        </w:rPr>
        <w:t xml:space="preserve"> في الإقليم </w:t>
      </w:r>
      <w:r w:rsidR="008F5A87" w:rsidRPr="005B4C80">
        <w:t>2</w:t>
      </w:r>
      <w:r w:rsidR="008F5A87" w:rsidRPr="005B4C80">
        <w:rPr>
          <w:rFonts w:hint="cs"/>
          <w:rtl/>
        </w:rPr>
        <w:t xml:space="preserve">، وألا </w:t>
      </w:r>
      <w:r w:rsidR="00CE71A9" w:rsidRPr="005B4C80">
        <w:rPr>
          <w:rFonts w:hint="cs"/>
          <w:rtl/>
        </w:rPr>
        <w:t xml:space="preserve">تُخضع الإقليم </w:t>
      </w:r>
      <w:r w:rsidR="00CE71A9" w:rsidRPr="005B4C80">
        <w:t>2</w:t>
      </w:r>
      <w:r w:rsidR="00261FF2" w:rsidRPr="005B4C80">
        <w:rPr>
          <w:rFonts w:hint="cs"/>
          <w:rtl/>
        </w:rPr>
        <w:t xml:space="preserve"> إلى </w:t>
      </w:r>
      <w:r w:rsidR="00CE71A9" w:rsidRPr="005B4C80">
        <w:rPr>
          <w:rFonts w:hint="cs"/>
          <w:rtl/>
        </w:rPr>
        <w:t xml:space="preserve">أي </w:t>
      </w:r>
      <w:r w:rsidR="00261FF2" w:rsidRPr="005B4C80">
        <w:rPr>
          <w:rFonts w:hint="cs"/>
          <w:rtl/>
        </w:rPr>
        <w:t xml:space="preserve">تغييرات </w:t>
      </w:r>
      <w:r w:rsidR="00AA4112" w:rsidRPr="005B4C80">
        <w:rPr>
          <w:rFonts w:hint="cs"/>
          <w:rtl/>
        </w:rPr>
        <w:t>تتصل</w:t>
      </w:r>
      <w:r w:rsidR="008F5A87" w:rsidRPr="005B4C80">
        <w:rPr>
          <w:rFonts w:hint="cs"/>
          <w:rtl/>
        </w:rPr>
        <w:t xml:space="preserve"> </w:t>
      </w:r>
      <w:r w:rsidR="00261FF2" w:rsidRPr="005B4C80">
        <w:rPr>
          <w:rFonts w:hint="cs"/>
          <w:rtl/>
        </w:rPr>
        <w:t>ب</w:t>
      </w:r>
      <w:r w:rsidR="008F5A87" w:rsidRPr="005B4C80">
        <w:rPr>
          <w:rFonts w:hint="cs"/>
          <w:rtl/>
        </w:rPr>
        <w:t xml:space="preserve">أحكام </w:t>
      </w:r>
      <w:r w:rsidR="00261FF2" w:rsidRPr="005B4C80">
        <w:rPr>
          <w:rFonts w:hint="cs"/>
          <w:rtl/>
        </w:rPr>
        <w:t>إجرائية أو</w:t>
      </w:r>
      <w:r w:rsidR="005B4C80" w:rsidRPr="005B4C80">
        <w:rPr>
          <w:rFonts w:hint="eastAsia"/>
          <w:rtl/>
        </w:rPr>
        <w:t> </w:t>
      </w:r>
      <w:r w:rsidR="00261FF2" w:rsidRPr="005B4C80">
        <w:rPr>
          <w:rFonts w:hint="cs"/>
          <w:rtl/>
        </w:rPr>
        <w:t>تنظيمية</w:t>
      </w:r>
      <w:r w:rsidR="00CE71A9" w:rsidRPr="005B4C80">
        <w:rPr>
          <w:rFonts w:hint="cs"/>
          <w:rtl/>
        </w:rPr>
        <w:t>.</w:t>
      </w:r>
    </w:p>
    <w:p w:rsidR="0066322F" w:rsidRDefault="004A11CA" w:rsidP="009E355A">
      <w:pPr>
        <w:pStyle w:val="Reasons"/>
        <w:rPr>
          <w:rtl/>
        </w:rPr>
      </w:pPr>
      <w:proofErr w:type="gramStart"/>
      <w:r>
        <w:rPr>
          <w:rtl/>
        </w:rPr>
        <w:t>الأسباب:</w:t>
      </w:r>
      <w:r>
        <w:tab/>
      </w:r>
      <w:proofErr w:type="gramEnd"/>
      <w:r w:rsidR="009E355A" w:rsidRPr="00DD7B8F">
        <w:rPr>
          <w:rFonts w:hint="cs"/>
          <w:b w:val="0"/>
          <w:bCs w:val="0"/>
          <w:rtl/>
        </w:rPr>
        <w:t xml:space="preserve">البند </w:t>
      </w:r>
      <w:r w:rsidR="009E355A" w:rsidRPr="00DD7B8F">
        <w:rPr>
          <w:b w:val="0"/>
          <w:bCs w:val="0"/>
        </w:rPr>
        <w:t>1.1</w:t>
      </w:r>
      <w:r w:rsidR="009E355A" w:rsidRPr="00DD7B8F">
        <w:rPr>
          <w:rFonts w:hint="cs"/>
          <w:b w:val="0"/>
          <w:bCs w:val="0"/>
          <w:rtl/>
        </w:rPr>
        <w:t xml:space="preserve"> من جدول أعمال المؤتمر</w:t>
      </w:r>
      <w:r w:rsidR="009E355A">
        <w:rPr>
          <w:rFonts w:hint="cs"/>
          <w:b w:val="0"/>
          <w:bCs w:val="0"/>
          <w:rtl/>
        </w:rPr>
        <w:t xml:space="preserve"> </w:t>
      </w:r>
      <w:r w:rsidR="009E355A">
        <w:rPr>
          <w:b w:val="0"/>
          <w:bCs w:val="0"/>
        </w:rPr>
        <w:t>WRC-19</w:t>
      </w:r>
      <w:r w:rsidR="009E355A">
        <w:rPr>
          <w:rFonts w:hint="cs"/>
          <w:b w:val="0"/>
          <w:bCs w:val="0"/>
          <w:rtl/>
        </w:rPr>
        <w:t xml:space="preserve"> يتعلق بالإقليم </w:t>
      </w:r>
      <w:r w:rsidR="009E355A">
        <w:rPr>
          <w:b w:val="0"/>
          <w:bCs w:val="0"/>
        </w:rPr>
        <w:t>1</w:t>
      </w:r>
      <w:r w:rsidR="009E355A">
        <w:rPr>
          <w:rFonts w:hint="cs"/>
          <w:rtl/>
        </w:rPr>
        <w:t>.</w:t>
      </w:r>
    </w:p>
    <w:p w:rsidR="004A11CA" w:rsidRPr="004A11CA" w:rsidRDefault="004A11CA" w:rsidP="004A11CA">
      <w:pPr>
        <w:spacing w:before="600"/>
        <w:jc w:val="center"/>
      </w:pPr>
      <w:r>
        <w:rPr>
          <w:rFonts w:hint="cs"/>
          <w:rtl/>
        </w:rPr>
        <w:t>___________</w:t>
      </w:r>
    </w:p>
    <w:sectPr w:rsidR="004A11CA" w:rsidRPr="004A11CA">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2A" w:rsidRDefault="000D1C2A" w:rsidP="002919E1">
      <w:r>
        <w:separator/>
      </w:r>
    </w:p>
    <w:p w:rsidR="000D1C2A" w:rsidRDefault="000D1C2A" w:rsidP="002919E1"/>
    <w:p w:rsidR="000D1C2A" w:rsidRDefault="000D1C2A" w:rsidP="002919E1"/>
    <w:p w:rsidR="000D1C2A" w:rsidRDefault="000D1C2A"/>
  </w:endnote>
  <w:endnote w:type="continuationSeparator" w:id="0">
    <w:p w:rsidR="000D1C2A" w:rsidRDefault="000D1C2A" w:rsidP="002919E1">
      <w:r>
        <w:continuationSeparator/>
      </w:r>
    </w:p>
    <w:p w:rsidR="000D1C2A" w:rsidRDefault="000D1C2A" w:rsidP="002919E1"/>
    <w:p w:rsidR="000D1C2A" w:rsidRDefault="000D1C2A" w:rsidP="002919E1"/>
    <w:p w:rsidR="000D1C2A" w:rsidRDefault="000D1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0612D">
    <w:pPr>
      <w:pStyle w:val="Footer"/>
      <w:rPr>
        <w:lang w:val="es-ES"/>
      </w:rPr>
    </w:pPr>
    <w:r w:rsidRPr="00CB4300">
      <w:fldChar w:fldCharType="begin"/>
    </w:r>
    <w:r w:rsidRPr="00CB4300">
      <w:rPr>
        <w:lang w:val="es-ES"/>
      </w:rPr>
      <w:instrText xml:space="preserve"> FILENAME \p \* MERGEFORMAT </w:instrText>
    </w:r>
    <w:r w:rsidRPr="00CB4300">
      <w:fldChar w:fldCharType="separate"/>
    </w:r>
    <w:r w:rsidR="0020612D">
      <w:rPr>
        <w:noProof/>
        <w:lang w:val="es-ES"/>
      </w:rPr>
      <w:t>P:\ARA\ITU-R\CONF-R\CMR19\000\011ADD01A.docx</w:t>
    </w:r>
    <w:r w:rsidRPr="00CB4300">
      <w:fldChar w:fldCharType="end"/>
    </w:r>
    <w:r w:rsidRPr="00CB4300">
      <w:rPr>
        <w:lang w:val="es-ES"/>
      </w:rPr>
      <w:t xml:space="preserve">  (</w:t>
    </w:r>
    <w:r w:rsidR="004A11CA">
      <w:rPr>
        <w:lang w:val="es-ES"/>
      </w:rPr>
      <w:t>457752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D24C8">
      <w:rPr>
        <w:noProof/>
      </w:rPr>
      <w:t>15.07.19</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0612D">
    <w:pPr>
      <w:pStyle w:val="Footer"/>
      <w:rPr>
        <w:lang w:val="es-ES"/>
      </w:rPr>
    </w:pPr>
    <w:r>
      <w:fldChar w:fldCharType="begin"/>
    </w:r>
    <w:r w:rsidRPr="00CB4300">
      <w:rPr>
        <w:lang w:val="es-ES"/>
      </w:rPr>
      <w:instrText xml:space="preserve"> FILENAME \p \* MERGEFORMAT </w:instrText>
    </w:r>
    <w:r>
      <w:fldChar w:fldCharType="separate"/>
    </w:r>
    <w:r w:rsidR="0020612D">
      <w:rPr>
        <w:noProof/>
        <w:lang w:val="es-ES"/>
      </w:rPr>
      <w:t>P:\ARA\ITU-R\CONF-R\CMR19\000\011ADD01A.docx</w:t>
    </w:r>
    <w:r>
      <w:fldChar w:fldCharType="end"/>
    </w:r>
    <w:r w:rsidRPr="00CB4300">
      <w:rPr>
        <w:lang w:val="es-ES"/>
      </w:rPr>
      <w:t xml:space="preserve">   (</w:t>
    </w:r>
    <w:r w:rsidR="004A11CA">
      <w:rPr>
        <w:lang w:val="es-ES"/>
      </w:rPr>
      <w:t>457752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D24C8">
      <w:rPr>
        <w:noProof/>
      </w:rPr>
      <w:t>15.07.19</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2A" w:rsidRDefault="000D1C2A" w:rsidP="002919E1">
      <w:r>
        <w:t>___________________</w:t>
      </w:r>
    </w:p>
  </w:footnote>
  <w:footnote w:type="continuationSeparator" w:id="0">
    <w:p w:rsidR="000D1C2A" w:rsidRDefault="000D1C2A" w:rsidP="002919E1">
      <w:r>
        <w:continuationSeparator/>
      </w:r>
    </w:p>
    <w:p w:rsidR="000D1C2A" w:rsidRDefault="000D1C2A" w:rsidP="002919E1"/>
    <w:p w:rsidR="000D1C2A" w:rsidRDefault="000D1C2A" w:rsidP="002919E1"/>
    <w:p w:rsidR="000D1C2A" w:rsidRDefault="000D1C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A55FA">
      <w:rPr>
        <w:rStyle w:val="PageNumber"/>
        <w:noProof/>
      </w:rPr>
      <w:t>2</w:t>
    </w:r>
    <w:r w:rsidRPr="0088384B">
      <w:rPr>
        <w:rStyle w:val="PageNumber"/>
      </w:rPr>
      <w:fldChar w:fldCharType="end"/>
    </w:r>
    <w:r>
      <w:rPr>
        <w:rStyle w:val="PageNumber"/>
        <w:rtl/>
      </w:rPr>
      <w:br/>
    </w:r>
    <w:r w:rsidRPr="0088384B">
      <w:rPr>
        <w:rStyle w:val="PageNumber"/>
      </w:rPr>
      <w:t>CMR1</w:t>
    </w:r>
    <w:r w:rsidR="00E526FC">
      <w:rPr>
        <w:rStyle w:val="PageNumber"/>
      </w:rPr>
      <w:t>9</w:t>
    </w:r>
    <w:r w:rsidRPr="0088384B">
      <w:rPr>
        <w:rStyle w:val="PageNumber"/>
      </w:rPr>
      <w:t>/</w:t>
    </w:r>
    <w:r w:rsidR="00554AE7">
      <w:rPr>
        <w:rStyle w:val="PageNumber"/>
      </w:rPr>
      <w:t>11(Add.1)-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D1C2A"/>
    <w:rsid w:val="000D6859"/>
    <w:rsid w:val="000E2AFC"/>
    <w:rsid w:val="000E49AA"/>
    <w:rsid w:val="000E6D30"/>
    <w:rsid w:val="000E6ED8"/>
    <w:rsid w:val="000F05F5"/>
    <w:rsid w:val="000F28EA"/>
    <w:rsid w:val="000F518F"/>
    <w:rsid w:val="0010081C"/>
    <w:rsid w:val="0010134F"/>
    <w:rsid w:val="001013E3"/>
    <w:rsid w:val="0010363F"/>
    <w:rsid w:val="00113508"/>
    <w:rsid w:val="001271DD"/>
    <w:rsid w:val="00143AFB"/>
    <w:rsid w:val="001464F2"/>
    <w:rsid w:val="001629EC"/>
    <w:rsid w:val="00167364"/>
    <w:rsid w:val="001903B2"/>
    <w:rsid w:val="001E190C"/>
    <w:rsid w:val="001E54F6"/>
    <w:rsid w:val="001E5A8C"/>
    <w:rsid w:val="00201A0A"/>
    <w:rsid w:val="0020612D"/>
    <w:rsid w:val="002075D4"/>
    <w:rsid w:val="00211B2A"/>
    <w:rsid w:val="00211D84"/>
    <w:rsid w:val="002333A0"/>
    <w:rsid w:val="00237538"/>
    <w:rsid w:val="002543CF"/>
    <w:rsid w:val="00255868"/>
    <w:rsid w:val="0026062E"/>
    <w:rsid w:val="00260F50"/>
    <w:rsid w:val="00261EF7"/>
    <w:rsid w:val="00261FF2"/>
    <w:rsid w:val="0027069F"/>
    <w:rsid w:val="00277869"/>
    <w:rsid w:val="00280E04"/>
    <w:rsid w:val="00281F5F"/>
    <w:rsid w:val="002843E4"/>
    <w:rsid w:val="002919E1"/>
    <w:rsid w:val="00295917"/>
    <w:rsid w:val="00296071"/>
    <w:rsid w:val="002A4572"/>
    <w:rsid w:val="002A7E2E"/>
    <w:rsid w:val="002B16D8"/>
    <w:rsid w:val="002C1F57"/>
    <w:rsid w:val="002D5F64"/>
    <w:rsid w:val="002D6FBF"/>
    <w:rsid w:val="002E48BF"/>
    <w:rsid w:val="002E61C2"/>
    <w:rsid w:val="0033737F"/>
    <w:rsid w:val="00352632"/>
    <w:rsid w:val="00353652"/>
    <w:rsid w:val="003569E1"/>
    <w:rsid w:val="003612BF"/>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96310"/>
    <w:rsid w:val="004A05E6"/>
    <w:rsid w:val="004A11CA"/>
    <w:rsid w:val="004A6C66"/>
    <w:rsid w:val="004A7AA0"/>
    <w:rsid w:val="004C11BC"/>
    <w:rsid w:val="004D3017"/>
    <w:rsid w:val="004D4AE6"/>
    <w:rsid w:val="004E34FA"/>
    <w:rsid w:val="00505445"/>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4C80"/>
    <w:rsid w:val="005C29C8"/>
    <w:rsid w:val="005C5D25"/>
    <w:rsid w:val="005D6D48"/>
    <w:rsid w:val="005D6E85"/>
    <w:rsid w:val="005D72A4"/>
    <w:rsid w:val="005F05CC"/>
    <w:rsid w:val="005F65DE"/>
    <w:rsid w:val="00613492"/>
    <w:rsid w:val="00630C5E"/>
    <w:rsid w:val="006315B5"/>
    <w:rsid w:val="00635DE6"/>
    <w:rsid w:val="0065110E"/>
    <w:rsid w:val="00651343"/>
    <w:rsid w:val="0065562F"/>
    <w:rsid w:val="006632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3333"/>
    <w:rsid w:val="00736DCC"/>
    <w:rsid w:val="00741855"/>
    <w:rsid w:val="00742B73"/>
    <w:rsid w:val="00747EF4"/>
    <w:rsid w:val="00751251"/>
    <w:rsid w:val="007610E7"/>
    <w:rsid w:val="00764079"/>
    <w:rsid w:val="00770AA0"/>
    <w:rsid w:val="00771F7E"/>
    <w:rsid w:val="00773E9C"/>
    <w:rsid w:val="00776F6B"/>
    <w:rsid w:val="00777694"/>
    <w:rsid w:val="00780167"/>
    <w:rsid w:val="00786A7E"/>
    <w:rsid w:val="007A0802"/>
    <w:rsid w:val="007B1FCA"/>
    <w:rsid w:val="007C2C12"/>
    <w:rsid w:val="007C3CFA"/>
    <w:rsid w:val="007D41A4"/>
    <w:rsid w:val="007E0E8B"/>
    <w:rsid w:val="007F08CA"/>
    <w:rsid w:val="007F7FC3"/>
    <w:rsid w:val="00810482"/>
    <w:rsid w:val="00817568"/>
    <w:rsid w:val="008204AC"/>
    <w:rsid w:val="008261C2"/>
    <w:rsid w:val="00830D96"/>
    <w:rsid w:val="00831515"/>
    <w:rsid w:val="008455BE"/>
    <w:rsid w:val="00855133"/>
    <w:rsid w:val="0085569D"/>
    <w:rsid w:val="00855B59"/>
    <w:rsid w:val="0085774F"/>
    <w:rsid w:val="008657CB"/>
    <w:rsid w:val="00866A15"/>
    <w:rsid w:val="0088384B"/>
    <w:rsid w:val="008911EC"/>
    <w:rsid w:val="00893E53"/>
    <w:rsid w:val="008A1137"/>
    <w:rsid w:val="008A1788"/>
    <w:rsid w:val="008A4185"/>
    <w:rsid w:val="008A6552"/>
    <w:rsid w:val="008A685F"/>
    <w:rsid w:val="008B4E93"/>
    <w:rsid w:val="008D4F14"/>
    <w:rsid w:val="008D6ACC"/>
    <w:rsid w:val="008D7AF0"/>
    <w:rsid w:val="008E0D29"/>
    <w:rsid w:val="008E32DD"/>
    <w:rsid w:val="008F4626"/>
    <w:rsid w:val="008F5A87"/>
    <w:rsid w:val="009004DF"/>
    <w:rsid w:val="00904AA5"/>
    <w:rsid w:val="00905D21"/>
    <w:rsid w:val="009138EC"/>
    <w:rsid w:val="00951718"/>
    <w:rsid w:val="00954CCB"/>
    <w:rsid w:val="00960962"/>
    <w:rsid w:val="00972CE0"/>
    <w:rsid w:val="009A3D30"/>
    <w:rsid w:val="009B0BD8"/>
    <w:rsid w:val="009B1E17"/>
    <w:rsid w:val="009D6348"/>
    <w:rsid w:val="009E355A"/>
    <w:rsid w:val="009E613F"/>
    <w:rsid w:val="009F042B"/>
    <w:rsid w:val="009F29B7"/>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A4112"/>
    <w:rsid w:val="00AB00D5"/>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55FA"/>
    <w:rsid w:val="00BA610A"/>
    <w:rsid w:val="00BA7D44"/>
    <w:rsid w:val="00BD6EF3"/>
    <w:rsid w:val="00BE69C3"/>
    <w:rsid w:val="00C001B9"/>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24C8"/>
    <w:rsid w:val="00CE0E68"/>
    <w:rsid w:val="00CE5BA4"/>
    <w:rsid w:val="00CE71A9"/>
    <w:rsid w:val="00D25120"/>
    <w:rsid w:val="00D40426"/>
    <w:rsid w:val="00D419CB"/>
    <w:rsid w:val="00D44350"/>
    <w:rsid w:val="00D44E3F"/>
    <w:rsid w:val="00D525F5"/>
    <w:rsid w:val="00D535D0"/>
    <w:rsid w:val="00D62C78"/>
    <w:rsid w:val="00D81703"/>
    <w:rsid w:val="00D82929"/>
    <w:rsid w:val="00D84214"/>
    <w:rsid w:val="00D943E5"/>
    <w:rsid w:val="00DA1AE0"/>
    <w:rsid w:val="00DC29DD"/>
    <w:rsid w:val="00DC7C0E"/>
    <w:rsid w:val="00DD7B8F"/>
    <w:rsid w:val="00DE6514"/>
    <w:rsid w:val="00DF2A6A"/>
    <w:rsid w:val="00DF3B72"/>
    <w:rsid w:val="00E10821"/>
    <w:rsid w:val="00E165ED"/>
    <w:rsid w:val="00E2489D"/>
    <w:rsid w:val="00E25C06"/>
    <w:rsid w:val="00E26520"/>
    <w:rsid w:val="00E31236"/>
    <w:rsid w:val="00E343A3"/>
    <w:rsid w:val="00E51BFA"/>
    <w:rsid w:val="00E526FC"/>
    <w:rsid w:val="00E560A6"/>
    <w:rsid w:val="00E621A3"/>
    <w:rsid w:val="00E65DB1"/>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0F1E"/>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1148CB-CE89-44EE-B15D-A0410703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4A11CA"/>
    <w:rPr>
      <w:b w:val="0"/>
      <w:bCs w:val="0"/>
      <w:i w:val="0"/>
      <w:iCs w:val="0"/>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505445"/>
    <w:pPr>
      <w:tabs>
        <w:tab w:val="clear" w:pos="1134"/>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560A6"/>
    <w:pPr>
      <w:keepLines/>
      <w:tabs>
        <w:tab w:val="left" w:pos="1701"/>
        <w:tab w:val="left" w:pos="187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560A6"/>
    <w:rPr>
      <w:rFonts w:ascii="Times New Roman" w:hAnsi="Times New Roman"/>
      <w:b w:val="0"/>
    </w:rPr>
  </w:style>
  <w:style w:type="paragraph" w:customStyle="1" w:styleId="Tablesplit">
    <w:name w:val="Table_split"/>
    <w:basedOn w:val="Normal"/>
    <w:qFormat/>
    <w:rsid w:val="00E560A6"/>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qFormat/>
    <w:rsid w:val="00DE6514"/>
  </w:style>
  <w:style w:type="paragraph" w:customStyle="1" w:styleId="Methodheading1">
    <w:name w:val="Method_heading1"/>
    <w:basedOn w:val="Heading1"/>
    <w:next w:val="Normal"/>
    <w:qFormat/>
    <w:rsid w:val="009138EC"/>
  </w:style>
  <w:style w:type="paragraph" w:customStyle="1" w:styleId="Methodheading2">
    <w:name w:val="Method_heading2"/>
    <w:basedOn w:val="Heading2"/>
    <w:next w:val="Normal"/>
    <w:qFormat/>
    <w:rsid w:val="009138EC"/>
  </w:style>
  <w:style w:type="paragraph" w:customStyle="1" w:styleId="Methodheading3">
    <w:name w:val="Method_heading3"/>
    <w:basedOn w:val="Heading3"/>
    <w:next w:val="Normal"/>
    <w:qFormat/>
    <w:rsid w:val="009138EC"/>
  </w:style>
  <w:style w:type="paragraph" w:customStyle="1" w:styleId="Methodheading4">
    <w:name w:val="Method_heading4"/>
    <w:basedOn w:val="Heading4"/>
    <w:next w:val="Normal"/>
    <w:qFormat/>
    <w:rsid w:val="009138EC"/>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R16-WRC19-C-0011!A1!MSW-A</DPM_x0020_File_x0020_name>
    <DPM_x0020_Author xmlns="32a1a8c5-2265-4ebc-b7a0-2071e2c5c9bb" xsi:nil="false">DPM</DPM_x0020_Author>
    <DPM_x0020_Version xmlns="32a1a8c5-2265-4ebc-b7a0-2071e2c5c9bb" xsi:nil="false">DPM_2019.06.28.01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077E3-2AE0-4DC8-9F8F-48832FD3B7B0}">
  <ds:schemaRefs>
    <ds:schemaRef ds:uri="http://schemas.microsoft.com/sharepoint/v3/contenttype/forms"/>
  </ds:schemaRefs>
</ds:datastoreItem>
</file>

<file path=customXml/itemProps3.xml><?xml version="1.0" encoding="utf-8"?>
<ds:datastoreItem xmlns:ds="http://schemas.openxmlformats.org/officeDocument/2006/customXml" ds:itemID="{7E3443E1-F1CD-48FD-BCE2-CCD46694058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8391DE70-0637-4418-9108-E4A53C88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415</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R16-WRC19-C-0011!A1!MSW-A</vt:lpstr>
    </vt:vector>
  </TitlesOfParts>
  <Manager>General Secretariat - Pool</Manager>
  <Company>International Telecommunication Union (ITU)</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R16-WRC19-C-0011!A1!MSW-A</dc:title>
  <dc:subject>World Radiocommunication Conference - 2019</dc:subject>
  <dc:creator>Documents Proposals Manager (DPM)</dc:creator>
  <cp:keywords>DPM_v2019.6.28.1_prod</cp:keywords>
  <cp:lastModifiedBy>Awad, Samy</cp:lastModifiedBy>
  <cp:revision>19</cp:revision>
  <cp:lastPrinted>2011-11-07T13:53:00Z</cp:lastPrinted>
  <dcterms:created xsi:type="dcterms:W3CDTF">2019-07-09T06:32:00Z</dcterms:created>
  <dcterms:modified xsi:type="dcterms:W3CDTF">2019-07-19T09:26:00Z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