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DD49DB" w:rsidTr="00773113">
        <w:trPr>
          <w:cantSplit/>
        </w:trPr>
        <w:tc>
          <w:tcPr>
            <w:tcW w:w="6911" w:type="dxa"/>
          </w:tcPr>
          <w:p w:rsidR="00587A4E" w:rsidRPr="00DD49DB" w:rsidRDefault="00587A4E" w:rsidP="00B454D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DD49DB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(CMR-19)</w:t>
            </w:r>
            <w:r w:rsidRPr="00DD49DB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DD49D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134655" w:rsidRPr="00DD49D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DD49D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gypte, 28 octobre </w:t>
            </w:r>
            <w:r w:rsidR="009765A8" w:rsidRPr="00DD49D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Pr="00DD49DB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22 novembre 2019</w:t>
            </w:r>
          </w:p>
        </w:tc>
        <w:tc>
          <w:tcPr>
            <w:tcW w:w="3120" w:type="dxa"/>
          </w:tcPr>
          <w:p w:rsidR="00587A4E" w:rsidRPr="00DD49DB" w:rsidRDefault="00587A4E" w:rsidP="00B454DD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DD49DB">
              <w:rPr>
                <w:rFonts w:ascii="Verdana" w:hAnsi="Verdana"/>
                <w:b/>
                <w:bCs/>
                <w:noProof/>
                <w:lang w:val="en-GB" w:eastAsia="zh-CN"/>
              </w:rPr>
              <w:drawing>
                <wp:inline distT="0" distB="0" distL="0" distR="0" wp14:anchorId="0DABE1DD" wp14:editId="1604A59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DD49DB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7A4E" w:rsidRPr="00DD49DB" w:rsidRDefault="00587A4E" w:rsidP="00B454DD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7A4E" w:rsidRPr="00DD49DB" w:rsidRDefault="00587A4E" w:rsidP="00B454DD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587A4E" w:rsidRPr="00DD49DB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7A4E" w:rsidRPr="00DD49DB" w:rsidRDefault="00587A4E" w:rsidP="00B454D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7A4E" w:rsidRPr="00DD49DB" w:rsidRDefault="00587A4E" w:rsidP="00B454DD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587A4E" w:rsidRPr="00DD49DB" w:rsidTr="00773113">
        <w:trPr>
          <w:cantSplit/>
        </w:trPr>
        <w:tc>
          <w:tcPr>
            <w:tcW w:w="6911" w:type="dxa"/>
          </w:tcPr>
          <w:p w:rsidR="001077AF" w:rsidRPr="00DD49DB" w:rsidRDefault="001077AF" w:rsidP="00B454DD">
            <w:pPr>
              <w:shd w:val="solid" w:color="FFFFFF" w:fill="FFFFFF"/>
              <w:spacing w:before="0"/>
              <w:ind w:left="1134" w:hanging="1134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DD49DB">
              <w:rPr>
                <w:rFonts w:ascii="Verdana" w:hAnsi="Verdana"/>
                <w:b/>
                <w:bCs/>
                <w:sz w:val="20"/>
                <w:lang w:val="fr-CH"/>
              </w:rPr>
              <w:t>SÉANCE PLÉNIÈRE</w:t>
            </w:r>
          </w:p>
          <w:p w:rsidR="00587A4E" w:rsidRPr="00DD49DB" w:rsidRDefault="00587A4E" w:rsidP="00B454D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587A4E" w:rsidRPr="00DD49DB" w:rsidRDefault="001077AF" w:rsidP="00B454DD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DD49DB">
              <w:rPr>
                <w:rFonts w:ascii="Verdana" w:hAnsi="Verdana"/>
                <w:b/>
                <w:sz w:val="20"/>
                <w:lang w:val="fr-CH"/>
              </w:rPr>
              <w:t>Addendum</w:t>
            </w:r>
            <w:r w:rsidR="0054185B" w:rsidRPr="00DD49DB">
              <w:rPr>
                <w:rFonts w:ascii="Verdana" w:hAnsi="Verdana"/>
                <w:b/>
                <w:sz w:val="20"/>
                <w:lang w:val="fr-CH"/>
              </w:rPr>
              <w:t xml:space="preserve"> </w:t>
            </w:r>
            <w:r w:rsidRPr="00DD49DB">
              <w:rPr>
                <w:rFonts w:ascii="Verdana" w:hAnsi="Verdana"/>
                <w:b/>
                <w:sz w:val="20"/>
                <w:lang w:val="fr-CH"/>
              </w:rPr>
              <w:t>4 au</w:t>
            </w:r>
            <w:r w:rsidRPr="00DD49DB">
              <w:rPr>
                <w:rFonts w:ascii="Verdana" w:hAnsi="Verdana"/>
                <w:b/>
                <w:sz w:val="20"/>
                <w:lang w:val="fr-CH"/>
              </w:rPr>
              <w:br/>
            </w:r>
            <w:r w:rsidR="00587A4E" w:rsidRPr="00DD49DB">
              <w:rPr>
                <w:rFonts w:ascii="Verdana" w:hAnsi="Verdana"/>
                <w:b/>
                <w:sz w:val="20"/>
                <w:lang w:val="fr-CH"/>
              </w:rPr>
              <w:t xml:space="preserve">Document </w:t>
            </w:r>
            <w:r w:rsidRPr="00DD49DB">
              <w:rPr>
                <w:rFonts w:ascii="Verdana" w:hAnsi="Verdana"/>
                <w:b/>
                <w:sz w:val="20"/>
                <w:lang w:val="fr-CH"/>
              </w:rPr>
              <w:t>10(Add.14)</w:t>
            </w:r>
            <w:r w:rsidR="00587A4E" w:rsidRPr="00DD49DB">
              <w:rPr>
                <w:rFonts w:ascii="Verdana" w:hAnsi="Verdana"/>
                <w:b/>
                <w:sz w:val="20"/>
                <w:lang w:val="fr-CH"/>
              </w:rPr>
              <w:t>-F</w:t>
            </w:r>
          </w:p>
        </w:tc>
      </w:tr>
      <w:bookmarkEnd w:id="1"/>
      <w:tr w:rsidR="00587A4E" w:rsidRPr="00DD49DB" w:rsidTr="00773113">
        <w:trPr>
          <w:cantSplit/>
        </w:trPr>
        <w:tc>
          <w:tcPr>
            <w:tcW w:w="6911" w:type="dxa"/>
          </w:tcPr>
          <w:p w:rsidR="00587A4E" w:rsidRPr="00DD49DB" w:rsidRDefault="00587A4E" w:rsidP="00B454D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587A4E" w:rsidRPr="00DD49DB" w:rsidRDefault="001077AF" w:rsidP="00B454D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D49DB">
              <w:rPr>
                <w:rFonts w:ascii="Verdana" w:hAnsi="Verdana"/>
                <w:b/>
                <w:sz w:val="20"/>
                <w:lang w:val="fr-CH"/>
              </w:rPr>
              <w:t xml:space="preserve">15 mai </w:t>
            </w:r>
            <w:r w:rsidR="00587A4E" w:rsidRPr="00DD49DB">
              <w:rPr>
                <w:rFonts w:ascii="Verdana" w:hAnsi="Verdana"/>
                <w:b/>
                <w:sz w:val="20"/>
                <w:lang w:val="fr-CH"/>
              </w:rPr>
              <w:t>201</w:t>
            </w:r>
            <w:r w:rsidR="009765A8" w:rsidRPr="00DD49DB">
              <w:rPr>
                <w:rFonts w:ascii="Verdana" w:hAnsi="Verdana"/>
                <w:b/>
                <w:sz w:val="20"/>
                <w:lang w:val="fr-CH"/>
              </w:rPr>
              <w:t>9</w:t>
            </w:r>
          </w:p>
        </w:tc>
      </w:tr>
      <w:tr w:rsidR="00587A4E" w:rsidRPr="00DD49DB" w:rsidTr="00773113">
        <w:trPr>
          <w:cantSplit/>
        </w:trPr>
        <w:tc>
          <w:tcPr>
            <w:tcW w:w="6911" w:type="dxa"/>
          </w:tcPr>
          <w:p w:rsidR="00587A4E" w:rsidRPr="00DD49DB" w:rsidRDefault="00587A4E" w:rsidP="00B454D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587A4E" w:rsidRPr="00DD49DB" w:rsidRDefault="00587A4E" w:rsidP="00B454D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D49DB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587A4E" w:rsidRPr="00DD49DB" w:rsidTr="00773113">
        <w:trPr>
          <w:cantSplit/>
        </w:trPr>
        <w:tc>
          <w:tcPr>
            <w:tcW w:w="10031" w:type="dxa"/>
            <w:gridSpan w:val="2"/>
          </w:tcPr>
          <w:p w:rsidR="00587A4E" w:rsidRPr="00DD49DB" w:rsidRDefault="00587A4E" w:rsidP="00B454D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587A4E" w:rsidRPr="00DD49DB" w:rsidTr="00773113">
        <w:trPr>
          <w:cantSplit/>
        </w:trPr>
        <w:tc>
          <w:tcPr>
            <w:tcW w:w="10031" w:type="dxa"/>
            <w:gridSpan w:val="2"/>
          </w:tcPr>
          <w:p w:rsidR="00587A4E" w:rsidRPr="00DD49DB" w:rsidRDefault="00105CC8" w:rsidP="00B454DD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DD49DB">
              <w:rPr>
                <w:lang w:val="fr-CH"/>
              </w:rPr>
              <w:t>États-Unis</w:t>
            </w:r>
            <w:r w:rsidR="001077AF" w:rsidRPr="00DD49DB">
              <w:rPr>
                <w:lang w:val="fr-CH"/>
              </w:rPr>
              <w:t xml:space="preserve"> d'Amérique</w:t>
            </w:r>
          </w:p>
        </w:tc>
      </w:tr>
      <w:tr w:rsidR="00587A4E" w:rsidRPr="00DD49DB" w:rsidTr="00773113">
        <w:trPr>
          <w:cantSplit/>
        </w:trPr>
        <w:tc>
          <w:tcPr>
            <w:tcW w:w="10031" w:type="dxa"/>
            <w:gridSpan w:val="2"/>
          </w:tcPr>
          <w:p w:rsidR="00587A4E" w:rsidRPr="00DD49DB" w:rsidRDefault="001077AF" w:rsidP="00B454DD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D49DB">
              <w:rPr>
                <w:lang w:val="fr-CH"/>
              </w:rPr>
              <w:t>Propositions pour les travaux de la Conférence</w:t>
            </w:r>
          </w:p>
        </w:tc>
      </w:tr>
      <w:tr w:rsidR="00587A4E" w:rsidRPr="00DD49DB" w:rsidTr="00773113">
        <w:trPr>
          <w:cantSplit/>
        </w:trPr>
        <w:tc>
          <w:tcPr>
            <w:tcW w:w="10031" w:type="dxa"/>
            <w:gridSpan w:val="2"/>
          </w:tcPr>
          <w:p w:rsidR="00587A4E" w:rsidRPr="00DD49DB" w:rsidRDefault="00587A4E" w:rsidP="00B454DD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587A4E" w:rsidRPr="00DD49DB" w:rsidTr="00773113">
        <w:trPr>
          <w:cantSplit/>
        </w:trPr>
        <w:tc>
          <w:tcPr>
            <w:tcW w:w="10031" w:type="dxa"/>
            <w:gridSpan w:val="2"/>
          </w:tcPr>
          <w:p w:rsidR="00587A4E" w:rsidRPr="00DD49DB" w:rsidRDefault="001077AF" w:rsidP="00B454DD">
            <w:pPr>
              <w:pStyle w:val="Agendaitem"/>
            </w:pPr>
            <w:bookmarkStart w:id="5" w:name="dtitle3" w:colFirst="0" w:colLast="0"/>
            <w:bookmarkEnd w:id="4"/>
            <w:r w:rsidRPr="00DD49DB">
              <w:t>Point 1.14 de l'ordre du jour</w:t>
            </w:r>
          </w:p>
        </w:tc>
      </w:tr>
    </w:tbl>
    <w:p w:rsidR="00267CFA" w:rsidRPr="00DD49DB" w:rsidRDefault="00267CFA" w:rsidP="000A6476">
      <w:pPr>
        <w:pStyle w:val="Normalaftertitle"/>
        <w:rPr>
          <w:lang w:val="fr-CH"/>
        </w:rPr>
      </w:pPr>
      <w:bookmarkStart w:id="6" w:name="_Toc455752914"/>
      <w:bookmarkStart w:id="7" w:name="_Toc455756153"/>
      <w:bookmarkEnd w:id="5"/>
      <w:r w:rsidRPr="00DD49DB">
        <w:rPr>
          <w:lang w:val="fr-CH"/>
        </w:rPr>
        <w:t>1.14</w:t>
      </w:r>
      <w:r w:rsidRPr="00DD49DB">
        <w:rPr>
          <w:lang w:val="fr-CH"/>
        </w:rPr>
        <w:tab/>
        <w:t xml:space="preserve">examiner, sur la base des études de l'UIT-R conformément à la Résolution </w:t>
      </w:r>
      <w:r w:rsidRPr="00DD49DB">
        <w:rPr>
          <w:b/>
          <w:bCs/>
          <w:lang w:val="fr-CH"/>
        </w:rPr>
        <w:t>160 (CMR</w:t>
      </w:r>
      <w:r w:rsidR="00B454DD" w:rsidRPr="00DD49DB">
        <w:rPr>
          <w:b/>
          <w:bCs/>
          <w:lang w:val="fr-CH"/>
        </w:rPr>
        <w:noBreakHyphen/>
      </w:r>
      <w:r w:rsidRPr="00DD49DB">
        <w:rPr>
          <w:b/>
          <w:bCs/>
          <w:lang w:val="fr-CH"/>
        </w:rPr>
        <w:t>15)</w:t>
      </w:r>
      <w:r w:rsidRPr="00DD49DB">
        <w:rPr>
          <w:lang w:val="fr-CH"/>
        </w:rPr>
        <w:t>, des mesures réglementaires appropriées pour les stations placées sur des plates-formes à haute altitude (HAPS), dans le cadre des attributions existantes au service fixe;</w:t>
      </w:r>
    </w:p>
    <w:p w:rsidR="00267CFA" w:rsidRPr="00DD49DB" w:rsidRDefault="00B454DD" w:rsidP="00B454DD">
      <w:pPr>
        <w:pStyle w:val="Part1"/>
        <w:rPr>
          <w:lang w:val="fr-CH"/>
        </w:rPr>
      </w:pPr>
      <w:r w:rsidRPr="00DD49DB">
        <w:rPr>
          <w:shd w:val="clear" w:color="auto" w:fill="FFFFFF"/>
          <w:lang w:val="fr-CH"/>
        </w:rPr>
        <w:t>Partie 4 –</w:t>
      </w:r>
      <w:r w:rsidR="00267CFA" w:rsidRPr="00DD49DB">
        <w:rPr>
          <w:shd w:val="clear" w:color="auto" w:fill="FFFFFF"/>
          <w:lang w:val="fr-CH"/>
        </w:rPr>
        <w:t xml:space="preserve"> Pour la gamme de fréquences 24,25-25,25 GHz</w:t>
      </w:r>
      <w:r w:rsidR="00267CFA" w:rsidRPr="00DD49DB">
        <w:rPr>
          <w:lang w:val="fr-CH"/>
        </w:rPr>
        <w:t xml:space="preserve"> </w:t>
      </w:r>
    </w:p>
    <w:p w:rsidR="00267CFA" w:rsidRPr="00DD49DB" w:rsidRDefault="00267CFA" w:rsidP="00B454DD">
      <w:pPr>
        <w:pStyle w:val="Headingb"/>
        <w:rPr>
          <w:lang w:val="fr-CH"/>
        </w:rPr>
      </w:pPr>
      <w:bookmarkStart w:id="8" w:name="_Hlk515974450"/>
      <w:r w:rsidRPr="00DD49DB">
        <w:rPr>
          <w:lang w:val="fr-CH"/>
        </w:rPr>
        <w:t>Introduction</w:t>
      </w:r>
    </w:p>
    <w:p w:rsidR="00267CFA" w:rsidRPr="00DD49DB" w:rsidRDefault="000E3E9B" w:rsidP="00B454DD">
      <w:pPr>
        <w:rPr>
          <w:lang w:val="fr-CH"/>
        </w:rPr>
      </w:pPr>
      <w:r w:rsidRPr="00DD49DB">
        <w:rPr>
          <w:lang w:val="fr-CH"/>
        </w:rPr>
        <w:t xml:space="preserve">On trouvera dans le présent </w:t>
      </w:r>
      <w:r w:rsidR="00267CFA" w:rsidRPr="00DD49DB">
        <w:rPr>
          <w:lang w:val="fr-CH"/>
        </w:rPr>
        <w:t xml:space="preserve">document </w:t>
      </w:r>
      <w:r w:rsidRPr="00DD49DB">
        <w:rPr>
          <w:lang w:val="fr-CH"/>
        </w:rPr>
        <w:t>une proposition des États-Unis au titre du point 1.14 de l'ordre du jour de la CMR</w:t>
      </w:r>
      <w:r w:rsidR="00267CFA" w:rsidRPr="00DD49DB">
        <w:rPr>
          <w:lang w:val="fr-CH"/>
        </w:rPr>
        <w:t xml:space="preserve">-19 </w:t>
      </w:r>
      <w:r w:rsidR="00447151" w:rsidRPr="00DD49DB">
        <w:rPr>
          <w:lang w:val="fr-CH"/>
        </w:rPr>
        <w:t xml:space="preserve">concernant la gamme de fréquences </w:t>
      </w:r>
      <w:r w:rsidR="00267CFA" w:rsidRPr="00DD49DB">
        <w:rPr>
          <w:lang w:val="fr-CH"/>
        </w:rPr>
        <w:t>24</w:t>
      </w:r>
      <w:r w:rsidR="00447151" w:rsidRPr="00DD49DB">
        <w:rPr>
          <w:lang w:val="fr-CH"/>
        </w:rPr>
        <w:t>,</w:t>
      </w:r>
      <w:r w:rsidR="00267CFA" w:rsidRPr="00DD49DB">
        <w:rPr>
          <w:lang w:val="fr-CH"/>
        </w:rPr>
        <w:t>25</w:t>
      </w:r>
      <w:r w:rsidR="00B454DD" w:rsidRPr="00DD49DB">
        <w:rPr>
          <w:lang w:val="fr-CH"/>
        </w:rPr>
        <w:t>-</w:t>
      </w:r>
      <w:r w:rsidR="00267CFA" w:rsidRPr="00DD49DB">
        <w:rPr>
          <w:lang w:val="fr-CH"/>
        </w:rPr>
        <w:t>25</w:t>
      </w:r>
      <w:r w:rsidR="00447151" w:rsidRPr="00DD49DB">
        <w:rPr>
          <w:lang w:val="fr-CH"/>
        </w:rPr>
        <w:t>,</w:t>
      </w:r>
      <w:r w:rsidR="00267CFA" w:rsidRPr="00DD49DB">
        <w:rPr>
          <w:lang w:val="fr-CH"/>
        </w:rPr>
        <w:t xml:space="preserve">25 GHz </w:t>
      </w:r>
      <w:r w:rsidR="00447151" w:rsidRPr="00DD49DB">
        <w:rPr>
          <w:lang w:val="fr-CH"/>
        </w:rPr>
        <w:t xml:space="preserve">pour examen par la </w:t>
      </w:r>
      <w:r w:rsidR="00267CFA" w:rsidRPr="00DD49DB">
        <w:rPr>
          <w:lang w:val="fr-CH"/>
        </w:rPr>
        <w:t>Conf</w:t>
      </w:r>
      <w:r w:rsidR="00447151" w:rsidRPr="00DD49DB">
        <w:rPr>
          <w:lang w:val="fr-CH"/>
        </w:rPr>
        <w:t>é</w:t>
      </w:r>
      <w:r w:rsidR="00267CFA" w:rsidRPr="00DD49DB">
        <w:rPr>
          <w:lang w:val="fr-CH"/>
        </w:rPr>
        <w:t>rence.</w:t>
      </w:r>
    </w:p>
    <w:bookmarkEnd w:id="8"/>
    <w:p w:rsidR="00267CFA" w:rsidRPr="00DD49DB" w:rsidRDefault="00267CFA" w:rsidP="00B454DD">
      <w:pPr>
        <w:pStyle w:val="Headingb"/>
        <w:rPr>
          <w:lang w:val="fr-CH"/>
        </w:rPr>
      </w:pPr>
      <w:r w:rsidRPr="00DD49DB">
        <w:rPr>
          <w:lang w:val="fr-CH"/>
        </w:rPr>
        <w:t>Contexte</w:t>
      </w:r>
    </w:p>
    <w:p w:rsidR="00670334" w:rsidRPr="00DD49DB" w:rsidRDefault="00670334" w:rsidP="00035278">
      <w:pPr>
        <w:rPr>
          <w:lang w:val="fr-CH"/>
        </w:rPr>
      </w:pPr>
      <w:r w:rsidRPr="00DD49DB">
        <w:rPr>
          <w:lang w:val="fr-CH"/>
        </w:rPr>
        <w:t xml:space="preserve">Le numéro </w:t>
      </w:r>
      <w:r w:rsidRPr="00DD49DB">
        <w:rPr>
          <w:b/>
          <w:bCs/>
          <w:lang w:val="fr-CH"/>
        </w:rPr>
        <w:t>1.66A</w:t>
      </w:r>
      <w:r w:rsidRPr="00DD49DB">
        <w:rPr>
          <w:lang w:val="fr-CH"/>
        </w:rPr>
        <w:t xml:space="preserve"> du Règlement des radiocommunications de l'UIT définit une station </w:t>
      </w:r>
      <w:r w:rsidR="00930DBB" w:rsidRPr="00DD49DB">
        <w:rPr>
          <w:lang w:val="fr-CH"/>
        </w:rPr>
        <w:t xml:space="preserve">placée sur une </w:t>
      </w:r>
      <w:r w:rsidRPr="00DD49DB">
        <w:rPr>
          <w:lang w:val="fr-CH"/>
        </w:rPr>
        <w:t xml:space="preserve">plate-forme à haute altitude (HAPS) comme </w:t>
      </w:r>
      <w:r w:rsidR="00930DBB" w:rsidRPr="00DD49DB">
        <w:rPr>
          <w:lang w:val="fr-CH"/>
        </w:rPr>
        <w:t xml:space="preserve">une </w:t>
      </w:r>
      <w:r w:rsidR="00035278">
        <w:rPr>
          <w:lang w:val="fr-CH"/>
        </w:rPr>
        <w:t>«</w:t>
      </w:r>
      <w:r w:rsidR="00930DBB" w:rsidRPr="00DD49DB">
        <w:rPr>
          <w:lang w:val="fr-CH"/>
        </w:rPr>
        <w:t>station installée sur un objet placé à une altitude comprise entre 20 et 50 km et en un point spécifié, nominal, fixe par rapport à la Terre</w:t>
      </w:r>
      <w:r w:rsidR="00035278">
        <w:rPr>
          <w:lang w:val="fr-CH"/>
        </w:rPr>
        <w:t>»</w:t>
      </w:r>
      <w:r w:rsidR="00930DBB" w:rsidRPr="00DD49DB">
        <w:rPr>
          <w:lang w:val="fr-CH"/>
        </w:rPr>
        <w:t xml:space="preserve">. </w:t>
      </w:r>
      <w:r w:rsidRPr="00DD49DB">
        <w:rPr>
          <w:lang w:val="fr-CH"/>
        </w:rPr>
        <w:t xml:space="preserve">Le point 1.14 de l'ordre du jour a été adopté par la CMR-15 </w:t>
      </w:r>
      <w:r w:rsidR="00930DBB" w:rsidRPr="00DD49DB">
        <w:rPr>
          <w:lang w:val="fr-CH"/>
        </w:rPr>
        <w:t>en vue d'</w:t>
      </w:r>
      <w:r w:rsidRPr="00DD49DB">
        <w:rPr>
          <w:lang w:val="fr-CH"/>
        </w:rPr>
        <w:t xml:space="preserve">examiner, conformément à la Résolution </w:t>
      </w:r>
      <w:r w:rsidRPr="00DD49DB">
        <w:rPr>
          <w:b/>
          <w:bCs/>
          <w:lang w:val="fr-CH"/>
        </w:rPr>
        <w:t>160 (CMR-15)</w:t>
      </w:r>
      <w:r w:rsidRPr="00DD49DB">
        <w:rPr>
          <w:lang w:val="fr-CH"/>
        </w:rPr>
        <w:t xml:space="preserve">, les mesures réglementaires susceptibles de faciliter le déploiement des </w:t>
      </w:r>
      <w:r w:rsidR="00930DBB" w:rsidRPr="00DD49DB">
        <w:rPr>
          <w:lang w:val="fr-CH"/>
        </w:rPr>
        <w:t xml:space="preserve">stations </w:t>
      </w:r>
      <w:r w:rsidRPr="00DD49DB">
        <w:rPr>
          <w:lang w:val="fr-CH"/>
        </w:rPr>
        <w:t xml:space="preserve">HAPS pour les applications large bande. </w:t>
      </w:r>
      <w:r w:rsidR="00930DBB" w:rsidRPr="00DD49DB">
        <w:rPr>
          <w:lang w:val="fr-CH"/>
        </w:rPr>
        <w:t>Aux termes de l</w:t>
      </w:r>
      <w:r w:rsidRPr="00DD49DB">
        <w:rPr>
          <w:lang w:val="fr-CH"/>
        </w:rPr>
        <w:t>a Résolution 160</w:t>
      </w:r>
      <w:r w:rsidR="00930DBB" w:rsidRPr="00DD49DB">
        <w:rPr>
          <w:lang w:val="fr-CH"/>
        </w:rPr>
        <w:t>, il a été décidé</w:t>
      </w:r>
      <w:r w:rsidRPr="00DD49DB">
        <w:rPr>
          <w:lang w:val="fr-CH"/>
        </w:rPr>
        <w:t xml:space="preserve"> d'inviter l'UIT-R à étudier les besoins de spectre </w:t>
      </w:r>
      <w:r w:rsidR="00930DBB" w:rsidRPr="00DD49DB">
        <w:rPr>
          <w:lang w:val="fr-CH"/>
        </w:rPr>
        <w:t xml:space="preserve">additionnels </w:t>
      </w:r>
      <w:r w:rsidR="00D31658" w:rsidRPr="00DD49DB">
        <w:rPr>
          <w:lang w:val="fr-CH"/>
        </w:rPr>
        <w:t xml:space="preserve">pour les stations </w:t>
      </w:r>
      <w:r w:rsidRPr="00DD49DB">
        <w:rPr>
          <w:lang w:val="fr-CH"/>
        </w:rPr>
        <w:t xml:space="preserve">HAPS, à examiner </w:t>
      </w:r>
      <w:r w:rsidR="00D31658" w:rsidRPr="00DD49DB">
        <w:rPr>
          <w:lang w:val="fr-CH"/>
        </w:rPr>
        <w:t>s'il est possible d'utiliser l</w:t>
      </w:r>
      <w:r w:rsidRPr="00DD49DB">
        <w:rPr>
          <w:lang w:val="fr-CH"/>
        </w:rPr>
        <w:t xml:space="preserve">es </w:t>
      </w:r>
      <w:r w:rsidR="00D31658" w:rsidRPr="00DD49DB">
        <w:rPr>
          <w:lang w:val="fr-CH"/>
        </w:rPr>
        <w:t xml:space="preserve">bandes actuellement désignées pour les stations HAPS </w:t>
      </w:r>
      <w:r w:rsidRPr="00DD49DB">
        <w:rPr>
          <w:lang w:val="fr-CH"/>
        </w:rPr>
        <w:t xml:space="preserve">et à </w:t>
      </w:r>
      <w:r w:rsidR="00D31658" w:rsidRPr="00DD49DB">
        <w:rPr>
          <w:lang w:val="fr-CH"/>
        </w:rPr>
        <w:t xml:space="preserve">réaliser </w:t>
      </w:r>
      <w:r w:rsidRPr="00DD49DB">
        <w:rPr>
          <w:lang w:val="fr-CH"/>
        </w:rPr>
        <w:t xml:space="preserve">des études de partage et de compatibilité </w:t>
      </w:r>
      <w:r w:rsidR="00D31658" w:rsidRPr="00DD49DB">
        <w:rPr>
          <w:lang w:val="fr-CH"/>
        </w:rPr>
        <w:t xml:space="preserve">concernant de nouvelles </w:t>
      </w:r>
      <w:r w:rsidRPr="00DD49DB">
        <w:rPr>
          <w:lang w:val="fr-CH"/>
        </w:rPr>
        <w:t xml:space="preserve">désignations dans </w:t>
      </w:r>
      <w:r w:rsidR="00D31658" w:rsidRPr="00DD49DB">
        <w:rPr>
          <w:lang w:val="fr-CH"/>
        </w:rPr>
        <w:t xml:space="preserve">le cadre des </w:t>
      </w:r>
      <w:r w:rsidRPr="00DD49DB">
        <w:rPr>
          <w:lang w:val="fr-CH"/>
        </w:rPr>
        <w:t xml:space="preserve">attributions existantes </w:t>
      </w:r>
      <w:r w:rsidR="00D31658" w:rsidRPr="00DD49DB">
        <w:rPr>
          <w:lang w:val="fr-CH"/>
        </w:rPr>
        <w:t xml:space="preserve">au </w:t>
      </w:r>
      <w:r w:rsidRPr="00DD49DB">
        <w:rPr>
          <w:lang w:val="fr-CH"/>
        </w:rPr>
        <w:t>service fixe dans la bande 38</w:t>
      </w:r>
      <w:r w:rsidR="00D31658" w:rsidRPr="00DD49DB">
        <w:rPr>
          <w:lang w:val="fr-CH"/>
        </w:rPr>
        <w:t>-</w:t>
      </w:r>
      <w:r w:rsidRPr="00DD49DB">
        <w:rPr>
          <w:lang w:val="fr-CH"/>
        </w:rPr>
        <w:t xml:space="preserve">39,5 GHz </w:t>
      </w:r>
      <w:r w:rsidR="00D31658" w:rsidRPr="00DD49DB">
        <w:rPr>
          <w:lang w:val="fr-CH"/>
        </w:rPr>
        <w:t xml:space="preserve">à l'échelle </w:t>
      </w:r>
      <w:r w:rsidRPr="00DD49DB">
        <w:rPr>
          <w:lang w:val="fr-CH"/>
        </w:rPr>
        <w:t xml:space="preserve">mondiale et </w:t>
      </w:r>
      <w:r w:rsidR="00D31658" w:rsidRPr="00DD49DB">
        <w:rPr>
          <w:lang w:val="fr-CH"/>
        </w:rPr>
        <w:t>dans les bandes 21,4-</w:t>
      </w:r>
      <w:r w:rsidRPr="00DD49DB">
        <w:rPr>
          <w:lang w:val="fr-CH"/>
        </w:rPr>
        <w:t xml:space="preserve">22 GHz et 24,25-27,5 GHz </w:t>
      </w:r>
      <w:r w:rsidR="00D31658" w:rsidRPr="00DD49DB">
        <w:rPr>
          <w:lang w:val="fr-CH"/>
        </w:rPr>
        <w:t xml:space="preserve">dans </w:t>
      </w:r>
      <w:r w:rsidRPr="00DD49DB">
        <w:rPr>
          <w:lang w:val="fr-CH"/>
        </w:rPr>
        <w:t>la Région 2</w:t>
      </w:r>
      <w:r w:rsidR="00D31658" w:rsidRPr="00DD49DB">
        <w:rPr>
          <w:lang w:val="fr-CH"/>
        </w:rPr>
        <w:t xml:space="preserve"> exclusivement</w:t>
      </w:r>
      <w:r w:rsidRPr="00DD49DB">
        <w:rPr>
          <w:lang w:val="fr-CH"/>
        </w:rPr>
        <w:t>.</w:t>
      </w:r>
    </w:p>
    <w:p w:rsidR="00670334" w:rsidRPr="00DD49DB" w:rsidRDefault="00670334" w:rsidP="0054185B">
      <w:pPr>
        <w:rPr>
          <w:lang w:val="fr-CH"/>
        </w:rPr>
      </w:pPr>
      <w:r w:rsidRPr="00DD49DB">
        <w:rPr>
          <w:lang w:val="fr-CH"/>
        </w:rPr>
        <w:t xml:space="preserve">Les </w:t>
      </w:r>
      <w:r w:rsidR="0054185B" w:rsidRPr="00DD49DB">
        <w:rPr>
          <w:lang w:val="fr-CH"/>
        </w:rPr>
        <w:t>avancées</w:t>
      </w:r>
      <w:r w:rsidRPr="00DD49DB">
        <w:rPr>
          <w:lang w:val="fr-CH"/>
        </w:rPr>
        <w:t xml:space="preserve"> </w:t>
      </w:r>
      <w:r w:rsidR="00C527E3" w:rsidRPr="00DD49DB">
        <w:rPr>
          <w:lang w:val="fr-CH"/>
        </w:rPr>
        <w:t xml:space="preserve">dans les domaines de </w:t>
      </w:r>
      <w:r w:rsidRPr="00DD49DB">
        <w:rPr>
          <w:lang w:val="fr-CH"/>
        </w:rPr>
        <w:t xml:space="preserve">l'aéronautique et des technologies de transmission ont </w:t>
      </w:r>
      <w:r w:rsidR="00C527E3" w:rsidRPr="00DD49DB">
        <w:rPr>
          <w:lang w:val="fr-CH"/>
        </w:rPr>
        <w:t xml:space="preserve">permis d'améliorer </w:t>
      </w:r>
      <w:r w:rsidRPr="00DD49DB">
        <w:rPr>
          <w:lang w:val="fr-CH"/>
        </w:rPr>
        <w:t xml:space="preserve">considérablement </w:t>
      </w:r>
      <w:r w:rsidR="00C527E3" w:rsidRPr="00DD49DB">
        <w:rPr>
          <w:lang w:val="fr-CH"/>
        </w:rPr>
        <w:t xml:space="preserve">les capacités des stations </w:t>
      </w:r>
      <w:r w:rsidRPr="00DD49DB">
        <w:rPr>
          <w:lang w:val="fr-CH"/>
        </w:rPr>
        <w:t xml:space="preserve">HAPS à fournir des solutions de connectivité efficaces et à répondre à la demande croissante de réseaux large bande de grande capacité, en particulier dans les régions actuellement mal desservies. Des vols d'essai </w:t>
      </w:r>
      <w:r w:rsidR="00C527E3" w:rsidRPr="00DD49DB">
        <w:rPr>
          <w:lang w:val="fr-CH"/>
        </w:rPr>
        <w:t xml:space="preserve">à grande échelle </w:t>
      </w:r>
      <w:r w:rsidRPr="00DD49DB">
        <w:rPr>
          <w:lang w:val="fr-CH"/>
        </w:rPr>
        <w:t xml:space="preserve">effectués </w:t>
      </w:r>
      <w:r w:rsidR="00C527E3" w:rsidRPr="00DD49DB">
        <w:rPr>
          <w:lang w:val="fr-CH"/>
        </w:rPr>
        <w:t xml:space="preserve">récemment </w:t>
      </w:r>
      <w:r w:rsidRPr="00DD49DB">
        <w:rPr>
          <w:lang w:val="fr-CH"/>
        </w:rPr>
        <w:t xml:space="preserve">ont montré </w:t>
      </w:r>
      <w:r w:rsidR="00C527E3" w:rsidRPr="00DD49DB">
        <w:rPr>
          <w:lang w:val="fr-CH"/>
        </w:rPr>
        <w:t xml:space="preserve">qu'il est maintenant possible </w:t>
      </w:r>
      <w:r w:rsidR="008C7333" w:rsidRPr="00DD49DB">
        <w:rPr>
          <w:lang w:val="fr-CH"/>
        </w:rPr>
        <w:t>d'utiliser d</w:t>
      </w:r>
      <w:r w:rsidRPr="00DD49DB">
        <w:rPr>
          <w:lang w:val="fr-CH"/>
        </w:rPr>
        <w:t xml:space="preserve">es plates-formes </w:t>
      </w:r>
      <w:r w:rsidR="008C7333" w:rsidRPr="00DD49DB">
        <w:rPr>
          <w:lang w:val="fr-CH"/>
        </w:rPr>
        <w:t>à alimentation</w:t>
      </w:r>
      <w:r w:rsidRPr="00DD49DB">
        <w:rPr>
          <w:lang w:val="fr-CH"/>
        </w:rPr>
        <w:t xml:space="preserve"> solaire dans la haute atmosphère pour transporter des charges utiles qui offrent une </w:t>
      </w:r>
      <w:r w:rsidRPr="00DD49DB">
        <w:rPr>
          <w:lang w:val="fr-CH"/>
        </w:rPr>
        <w:lastRenderedPageBreak/>
        <w:t xml:space="preserve">connectivité fiable et </w:t>
      </w:r>
      <w:r w:rsidR="008C7333" w:rsidRPr="00DD49DB">
        <w:rPr>
          <w:lang w:val="fr-CH"/>
        </w:rPr>
        <w:t>d'un bon rapport coût/efficacité</w:t>
      </w:r>
      <w:r w:rsidRPr="00DD49DB">
        <w:rPr>
          <w:lang w:val="fr-CH"/>
        </w:rPr>
        <w:t xml:space="preserve">, et un nombre croissant d'applications pour la nouvelle génération de </w:t>
      </w:r>
      <w:r w:rsidR="008C7333" w:rsidRPr="00DD49DB">
        <w:rPr>
          <w:lang w:val="fr-CH"/>
        </w:rPr>
        <w:t xml:space="preserve">stations </w:t>
      </w:r>
      <w:r w:rsidRPr="00DD49DB">
        <w:rPr>
          <w:lang w:val="fr-CH"/>
        </w:rPr>
        <w:t xml:space="preserve">HAPS sont en cours de développement. Cette technologie semble particulièrement bien adaptée pour compléter les réseaux </w:t>
      </w:r>
      <w:r w:rsidR="0054185B" w:rsidRPr="00DD49DB">
        <w:rPr>
          <w:lang w:val="fr-CH"/>
        </w:rPr>
        <w:t>de Terre</w:t>
      </w:r>
      <w:r w:rsidRPr="00DD49DB">
        <w:rPr>
          <w:lang w:val="fr-CH"/>
        </w:rPr>
        <w:t xml:space="preserve"> en assurant </w:t>
      </w:r>
      <w:r w:rsidR="008C7333" w:rsidRPr="00DD49DB">
        <w:rPr>
          <w:lang w:val="fr-CH"/>
        </w:rPr>
        <w:t>des liaisons de raccordement</w:t>
      </w:r>
      <w:r w:rsidRPr="00DD49DB">
        <w:rPr>
          <w:lang w:val="fr-CH"/>
        </w:rPr>
        <w:t xml:space="preserve">. </w:t>
      </w:r>
      <w:r w:rsidR="0002249E" w:rsidRPr="00DD49DB">
        <w:rPr>
          <w:lang w:val="fr-CH"/>
        </w:rPr>
        <w:t xml:space="preserve">Plusieurs avantages sont prévus concernant </w:t>
      </w:r>
      <w:r w:rsidRPr="00DD49DB">
        <w:rPr>
          <w:lang w:val="fr-CH"/>
        </w:rPr>
        <w:t xml:space="preserve">la nouvelle génération de </w:t>
      </w:r>
      <w:r w:rsidR="008C7333" w:rsidRPr="00DD49DB">
        <w:rPr>
          <w:lang w:val="fr-CH"/>
        </w:rPr>
        <w:t xml:space="preserve">stations </w:t>
      </w:r>
      <w:r w:rsidRPr="00DD49DB">
        <w:rPr>
          <w:lang w:val="fr-CH"/>
        </w:rPr>
        <w:t>HAPS:</w:t>
      </w:r>
    </w:p>
    <w:p w:rsidR="00670334" w:rsidRPr="00DD49DB" w:rsidRDefault="00B454DD" w:rsidP="00B454DD">
      <w:pPr>
        <w:pStyle w:val="enumlev1"/>
        <w:rPr>
          <w:lang w:val="fr-CH"/>
        </w:rPr>
      </w:pPr>
      <w:r w:rsidRPr="00DD49DB">
        <w:rPr>
          <w:b/>
          <w:bCs/>
          <w:lang w:val="fr-CH"/>
        </w:rPr>
        <w:t>•</w:t>
      </w:r>
      <w:r w:rsidRPr="00DD49DB">
        <w:rPr>
          <w:b/>
          <w:bCs/>
          <w:lang w:val="fr-CH"/>
        </w:rPr>
        <w:tab/>
      </w:r>
      <w:r w:rsidR="00670334" w:rsidRPr="00DD49DB">
        <w:rPr>
          <w:b/>
          <w:bCs/>
          <w:lang w:val="fr-CH"/>
        </w:rPr>
        <w:t>Portée</w:t>
      </w:r>
      <w:r w:rsidR="00267CFA" w:rsidRPr="000A6476">
        <w:rPr>
          <w:lang w:val="fr-CH"/>
        </w:rPr>
        <w:t>:</w:t>
      </w:r>
      <w:r w:rsidR="00267CFA" w:rsidRPr="00DD49DB">
        <w:rPr>
          <w:lang w:val="fr-CH"/>
        </w:rPr>
        <w:t xml:space="preserve"> </w:t>
      </w:r>
      <w:r w:rsidR="00670334" w:rsidRPr="00DD49DB">
        <w:rPr>
          <w:lang w:val="fr-CH"/>
        </w:rPr>
        <w:t xml:space="preserve">Les plates-formes HAPS peuvent fonctionner à environ 20 km au-dessus du sol, ce qui réduit leur vulnérabilité aux conditions météorologiques susceptibles d'affecter le service, </w:t>
      </w:r>
      <w:r w:rsidR="0002249E" w:rsidRPr="00DD49DB">
        <w:rPr>
          <w:lang w:val="fr-CH"/>
        </w:rPr>
        <w:t xml:space="preserve">offre </w:t>
      </w:r>
      <w:r w:rsidR="00670334" w:rsidRPr="00DD49DB">
        <w:rPr>
          <w:lang w:val="fr-CH"/>
        </w:rPr>
        <w:t xml:space="preserve">de grandes zones de couverture et contribue à atténuer les </w:t>
      </w:r>
      <w:r w:rsidR="0002249E" w:rsidRPr="00DD49DB">
        <w:rPr>
          <w:lang w:val="fr-CH"/>
        </w:rPr>
        <w:t>brouillages causé</w:t>
      </w:r>
      <w:r w:rsidR="00670334" w:rsidRPr="00DD49DB">
        <w:rPr>
          <w:lang w:val="fr-CH"/>
        </w:rPr>
        <w:t>s par les obstacles physiques.</w:t>
      </w:r>
    </w:p>
    <w:p w:rsidR="00670334" w:rsidRPr="00DD49DB" w:rsidRDefault="00B454DD" w:rsidP="0054185B">
      <w:pPr>
        <w:pStyle w:val="enumlev1"/>
        <w:rPr>
          <w:lang w:val="fr-CH"/>
        </w:rPr>
      </w:pPr>
      <w:r w:rsidRPr="00DD49DB">
        <w:rPr>
          <w:b/>
          <w:bCs/>
          <w:lang w:val="fr-CH"/>
        </w:rPr>
        <w:t>•</w:t>
      </w:r>
      <w:r w:rsidRPr="00DD49DB">
        <w:rPr>
          <w:b/>
          <w:bCs/>
          <w:lang w:val="fr-CH"/>
        </w:rPr>
        <w:tab/>
      </w:r>
      <w:r w:rsidR="00670334" w:rsidRPr="00DD49DB">
        <w:rPr>
          <w:b/>
          <w:bCs/>
          <w:lang w:val="fr-CH"/>
        </w:rPr>
        <w:t>Portée géographique</w:t>
      </w:r>
      <w:r w:rsidR="00267CFA" w:rsidRPr="000A6476">
        <w:rPr>
          <w:lang w:val="fr-CH"/>
        </w:rPr>
        <w:t>:</w:t>
      </w:r>
      <w:r w:rsidR="00267CFA" w:rsidRPr="00DD49DB">
        <w:rPr>
          <w:lang w:val="fr-CH"/>
        </w:rPr>
        <w:t xml:space="preserve"> </w:t>
      </w:r>
      <w:r w:rsidR="00670334" w:rsidRPr="00DD49DB">
        <w:rPr>
          <w:lang w:val="fr-CH"/>
        </w:rPr>
        <w:t xml:space="preserve">Les </w:t>
      </w:r>
      <w:r w:rsidR="0002249E" w:rsidRPr="00DD49DB">
        <w:rPr>
          <w:lang w:val="fr-CH"/>
        </w:rPr>
        <w:t xml:space="preserve">stations </w:t>
      </w:r>
      <w:r w:rsidR="00670334" w:rsidRPr="00DD49DB">
        <w:rPr>
          <w:lang w:val="fr-CH"/>
        </w:rPr>
        <w:t xml:space="preserve">HAPS qui utilisent l'architecture des plates-formes solaires peuvent également fournir une connectivité </w:t>
      </w:r>
      <w:r w:rsidR="0054185B" w:rsidRPr="00DD49DB">
        <w:rPr>
          <w:lang w:val="fr-CH"/>
        </w:rPr>
        <w:t>là où il</w:t>
      </w:r>
      <w:r w:rsidR="00670334" w:rsidRPr="00DD49DB">
        <w:rPr>
          <w:lang w:val="fr-CH"/>
        </w:rPr>
        <w:t xml:space="preserve"> est impossible de déploy</w:t>
      </w:r>
      <w:r w:rsidR="0002249E" w:rsidRPr="00DD49DB">
        <w:rPr>
          <w:lang w:val="fr-CH"/>
        </w:rPr>
        <w:t>er une infrastructure de Terre</w:t>
      </w:r>
      <w:r w:rsidR="00670334" w:rsidRPr="00DD49DB">
        <w:rPr>
          <w:lang w:val="fr-CH"/>
        </w:rPr>
        <w:t>: sites éloignés sur terre ou en mer.</w:t>
      </w:r>
    </w:p>
    <w:p w:rsidR="00670334" w:rsidRPr="00DD49DB" w:rsidRDefault="00B454DD" w:rsidP="00DD49DB">
      <w:pPr>
        <w:pStyle w:val="enumlev1"/>
        <w:rPr>
          <w:lang w:val="fr-CH"/>
        </w:rPr>
      </w:pPr>
      <w:r w:rsidRPr="00DD49DB">
        <w:rPr>
          <w:b/>
          <w:bCs/>
          <w:lang w:val="fr-CH"/>
        </w:rPr>
        <w:t>•</w:t>
      </w:r>
      <w:r w:rsidRPr="00DD49DB">
        <w:rPr>
          <w:b/>
          <w:bCs/>
          <w:lang w:val="fr-CH"/>
        </w:rPr>
        <w:tab/>
      </w:r>
      <w:r w:rsidR="00670334" w:rsidRPr="00DD49DB">
        <w:rPr>
          <w:b/>
          <w:bCs/>
          <w:lang w:val="fr-CH"/>
        </w:rPr>
        <w:t>Couverture d'une zone étendue</w:t>
      </w:r>
      <w:r w:rsidR="00267CFA" w:rsidRPr="000A6476">
        <w:rPr>
          <w:lang w:val="fr-CH"/>
        </w:rPr>
        <w:t>:</w:t>
      </w:r>
      <w:r w:rsidR="00267CFA" w:rsidRPr="00DD49DB">
        <w:rPr>
          <w:lang w:val="fr-CH"/>
        </w:rPr>
        <w:t xml:space="preserve"> </w:t>
      </w:r>
      <w:r w:rsidR="00670334" w:rsidRPr="00DD49DB">
        <w:rPr>
          <w:lang w:val="fr-CH"/>
        </w:rPr>
        <w:t>S</w:t>
      </w:r>
      <w:r w:rsidR="0002249E" w:rsidRPr="00DD49DB">
        <w:rPr>
          <w:lang w:val="fr-CH"/>
        </w:rPr>
        <w:t xml:space="preserve">uivant </w:t>
      </w:r>
      <w:r w:rsidR="00670334" w:rsidRPr="00DD49DB">
        <w:rPr>
          <w:lang w:val="fr-CH"/>
        </w:rPr>
        <w:t xml:space="preserve">le scénario </w:t>
      </w:r>
      <w:r w:rsidR="0002249E" w:rsidRPr="00DD49DB">
        <w:rPr>
          <w:lang w:val="fr-CH"/>
        </w:rPr>
        <w:t>d'exploitation</w:t>
      </w:r>
      <w:r w:rsidR="00670334" w:rsidRPr="00DD49DB">
        <w:rPr>
          <w:lang w:val="fr-CH"/>
        </w:rPr>
        <w:t xml:space="preserve">, une </w:t>
      </w:r>
      <w:r w:rsidR="0002249E" w:rsidRPr="00DD49DB">
        <w:rPr>
          <w:lang w:val="fr-CH"/>
        </w:rPr>
        <w:t xml:space="preserve">même </w:t>
      </w:r>
      <w:r w:rsidR="00670334" w:rsidRPr="00DD49DB">
        <w:rPr>
          <w:lang w:val="fr-CH"/>
        </w:rPr>
        <w:t>plate</w:t>
      </w:r>
      <w:r w:rsidR="00DD49DB">
        <w:rPr>
          <w:lang w:val="fr-CH"/>
        </w:rPr>
        <w:noBreakHyphen/>
      </w:r>
      <w:r w:rsidR="00670334" w:rsidRPr="00DD49DB">
        <w:rPr>
          <w:lang w:val="fr-CH"/>
        </w:rPr>
        <w:t xml:space="preserve">forme </w:t>
      </w:r>
      <w:r w:rsidR="0054185B" w:rsidRPr="00DD49DB">
        <w:rPr>
          <w:lang w:val="fr-CH"/>
        </w:rPr>
        <w:t>peut</w:t>
      </w:r>
      <w:r w:rsidR="00670334" w:rsidRPr="00DD49DB">
        <w:rPr>
          <w:lang w:val="fr-CH"/>
        </w:rPr>
        <w:t xml:space="preserve"> </w:t>
      </w:r>
      <w:r w:rsidR="0002249E" w:rsidRPr="00DD49DB">
        <w:rPr>
          <w:lang w:val="fr-CH"/>
        </w:rPr>
        <w:t xml:space="preserve">couvrir une zone </w:t>
      </w:r>
      <w:r w:rsidR="00670334" w:rsidRPr="00DD49DB">
        <w:rPr>
          <w:lang w:val="fr-CH"/>
        </w:rPr>
        <w:t>de l'ordre de 100</w:t>
      </w:r>
      <w:r w:rsidR="0002249E" w:rsidRPr="00DD49DB">
        <w:rPr>
          <w:lang w:val="fr-CH"/>
        </w:rPr>
        <w:t> </w:t>
      </w:r>
      <w:r w:rsidR="00670334" w:rsidRPr="00DD49DB">
        <w:rPr>
          <w:lang w:val="fr-CH"/>
        </w:rPr>
        <w:t>km de diamètre</w:t>
      </w:r>
      <w:r w:rsidR="0054185B" w:rsidRPr="00DD49DB">
        <w:rPr>
          <w:lang w:val="fr-CH"/>
        </w:rPr>
        <w:t xml:space="preserve"> et, grâce aux </w:t>
      </w:r>
      <w:r w:rsidR="0002249E" w:rsidRPr="00DD49DB">
        <w:rPr>
          <w:lang w:val="fr-CH"/>
        </w:rPr>
        <w:t xml:space="preserve">avancées </w:t>
      </w:r>
      <w:r w:rsidR="00670334" w:rsidRPr="00DD49DB">
        <w:rPr>
          <w:lang w:val="fr-CH"/>
        </w:rPr>
        <w:t>technologiques récent</w:t>
      </w:r>
      <w:r w:rsidR="0002249E" w:rsidRPr="00DD49DB">
        <w:rPr>
          <w:lang w:val="fr-CH"/>
        </w:rPr>
        <w:t>e</w:t>
      </w:r>
      <w:r w:rsidR="00670334" w:rsidRPr="00DD49DB">
        <w:rPr>
          <w:lang w:val="fr-CH"/>
        </w:rPr>
        <w:t xml:space="preserve">s </w:t>
      </w:r>
      <w:r w:rsidR="0002249E" w:rsidRPr="00DD49DB">
        <w:rPr>
          <w:lang w:val="fr-CH"/>
        </w:rPr>
        <w:t xml:space="preserve">concernant les </w:t>
      </w:r>
      <w:r w:rsidR="00670334" w:rsidRPr="00DD49DB">
        <w:rPr>
          <w:lang w:val="fr-CH"/>
        </w:rPr>
        <w:t xml:space="preserve">liaisons optiques </w:t>
      </w:r>
      <w:r w:rsidR="0002249E" w:rsidRPr="00DD49DB">
        <w:rPr>
          <w:lang w:val="fr-CH"/>
        </w:rPr>
        <w:t xml:space="preserve">entre stations </w:t>
      </w:r>
      <w:r w:rsidR="0054185B" w:rsidRPr="00DD49DB">
        <w:rPr>
          <w:lang w:val="fr-CH"/>
        </w:rPr>
        <w:t xml:space="preserve">HAPS, il est </w:t>
      </w:r>
      <w:r w:rsidR="00670334" w:rsidRPr="00DD49DB">
        <w:rPr>
          <w:lang w:val="fr-CH"/>
        </w:rPr>
        <w:t xml:space="preserve">désormais </w:t>
      </w:r>
      <w:r w:rsidR="0054185B" w:rsidRPr="00DD49DB">
        <w:rPr>
          <w:lang w:val="fr-CH"/>
        </w:rPr>
        <w:t xml:space="preserve">possible </w:t>
      </w:r>
      <w:r w:rsidR="00E847A0" w:rsidRPr="00DD49DB">
        <w:rPr>
          <w:lang w:val="fr-CH"/>
        </w:rPr>
        <w:t xml:space="preserve">de déployer plusieurs stations </w:t>
      </w:r>
      <w:r w:rsidR="00670334" w:rsidRPr="00DD49DB">
        <w:rPr>
          <w:lang w:val="fr-CH"/>
        </w:rPr>
        <w:t>HAPS</w:t>
      </w:r>
      <w:r w:rsidR="00E847A0" w:rsidRPr="00DD49DB">
        <w:rPr>
          <w:lang w:val="fr-CH"/>
        </w:rPr>
        <w:t xml:space="preserve"> reliées les unes aux autres</w:t>
      </w:r>
      <w:r w:rsidR="00670334" w:rsidRPr="00DD49DB">
        <w:rPr>
          <w:lang w:val="fr-CH"/>
        </w:rPr>
        <w:t xml:space="preserve">, dans des flottes qui </w:t>
      </w:r>
      <w:r w:rsidR="0054185B" w:rsidRPr="00DD49DB">
        <w:rPr>
          <w:lang w:val="fr-CH"/>
        </w:rPr>
        <w:t>permettent d'</w:t>
      </w:r>
      <w:r w:rsidR="00E847A0" w:rsidRPr="00DD49DB">
        <w:rPr>
          <w:lang w:val="fr-CH"/>
        </w:rPr>
        <w:t xml:space="preserve">assurer </w:t>
      </w:r>
      <w:r w:rsidR="00670334" w:rsidRPr="00DD49DB">
        <w:rPr>
          <w:lang w:val="fr-CH"/>
        </w:rPr>
        <w:t xml:space="preserve">une plus grande couverture dans un pays </w:t>
      </w:r>
      <w:r w:rsidR="0054185B" w:rsidRPr="00DD49DB">
        <w:rPr>
          <w:lang w:val="fr-CH"/>
        </w:rPr>
        <w:t xml:space="preserve">donné </w:t>
      </w:r>
      <w:r w:rsidR="00670334" w:rsidRPr="00DD49DB">
        <w:rPr>
          <w:lang w:val="fr-CH"/>
        </w:rPr>
        <w:t xml:space="preserve">selon les besoins. </w:t>
      </w:r>
    </w:p>
    <w:p w:rsidR="00670334" w:rsidRPr="00DD49DB" w:rsidRDefault="00B454DD" w:rsidP="0054185B">
      <w:pPr>
        <w:pStyle w:val="enumlev1"/>
        <w:rPr>
          <w:lang w:val="fr-CH"/>
        </w:rPr>
      </w:pPr>
      <w:r w:rsidRPr="00DD49DB">
        <w:rPr>
          <w:b/>
          <w:bCs/>
          <w:lang w:val="fr-CH"/>
        </w:rPr>
        <w:t>•</w:t>
      </w:r>
      <w:r w:rsidRPr="00DD49DB">
        <w:rPr>
          <w:b/>
          <w:bCs/>
          <w:lang w:val="fr-CH"/>
        </w:rPr>
        <w:tab/>
      </w:r>
      <w:r w:rsidR="00670334" w:rsidRPr="00DD49DB">
        <w:rPr>
          <w:b/>
          <w:bCs/>
          <w:lang w:val="fr-CH"/>
        </w:rPr>
        <w:t>Faible coût et aspects environnementaux</w:t>
      </w:r>
      <w:r w:rsidR="00267CFA" w:rsidRPr="000A6476">
        <w:rPr>
          <w:lang w:val="fr-CH"/>
        </w:rPr>
        <w:t>:</w:t>
      </w:r>
      <w:r w:rsidR="00267CFA" w:rsidRPr="00DD49DB">
        <w:rPr>
          <w:lang w:val="fr-CH"/>
        </w:rPr>
        <w:t xml:space="preserve"> </w:t>
      </w:r>
      <w:r w:rsidR="00670334" w:rsidRPr="00DD49DB">
        <w:rPr>
          <w:lang w:val="fr-CH"/>
        </w:rPr>
        <w:t>Le coût d'exploitation des plates-formes stratosphériques d</w:t>
      </w:r>
      <w:r w:rsidR="0054185B" w:rsidRPr="00DD49DB">
        <w:rPr>
          <w:lang w:val="fr-CH"/>
        </w:rPr>
        <w:t xml:space="preserve">evrait être inférieur à celui des </w:t>
      </w:r>
      <w:r w:rsidR="00670334" w:rsidRPr="00DD49DB">
        <w:rPr>
          <w:lang w:val="fr-CH"/>
        </w:rPr>
        <w:t>autres solutions de connectivité en fonction de la zone géographique, tandis que la production en série de</w:t>
      </w:r>
      <w:r w:rsidR="00897494" w:rsidRPr="00DD49DB">
        <w:rPr>
          <w:lang w:val="fr-CH"/>
        </w:rPr>
        <w:t xml:space="preserve">s aéronefs </w:t>
      </w:r>
      <w:r w:rsidR="0054185B" w:rsidRPr="00DD49DB">
        <w:rPr>
          <w:lang w:val="fr-CH"/>
        </w:rPr>
        <w:t>permettra de réduire</w:t>
      </w:r>
      <w:r w:rsidR="00670334" w:rsidRPr="00DD49DB">
        <w:rPr>
          <w:lang w:val="fr-CH"/>
        </w:rPr>
        <w:t xml:space="preserve"> considérablement les dépenses d'investissement </w:t>
      </w:r>
      <w:r w:rsidR="00897494" w:rsidRPr="00DD49DB">
        <w:rPr>
          <w:lang w:val="fr-CH"/>
        </w:rPr>
        <w:t xml:space="preserve">initiales pour le déploiement. Les stations </w:t>
      </w:r>
      <w:r w:rsidR="00670334" w:rsidRPr="00DD49DB">
        <w:rPr>
          <w:lang w:val="fr-CH"/>
        </w:rPr>
        <w:t>HAPS peu</w:t>
      </w:r>
      <w:r w:rsidR="007566DC" w:rsidRPr="00DD49DB">
        <w:rPr>
          <w:lang w:val="fr-CH"/>
        </w:rPr>
        <w:t>ven</w:t>
      </w:r>
      <w:r w:rsidR="00670334" w:rsidRPr="00DD49DB">
        <w:rPr>
          <w:lang w:val="fr-CH"/>
        </w:rPr>
        <w:t xml:space="preserve">t fonctionner exclusivement à l'énergie solaire pendant de longues périodes, </w:t>
      </w:r>
      <w:r w:rsidR="007566DC" w:rsidRPr="00DD49DB">
        <w:rPr>
          <w:lang w:val="fr-CH"/>
        </w:rPr>
        <w:t>et connecter</w:t>
      </w:r>
      <w:r w:rsidR="00670334" w:rsidRPr="00DD49DB">
        <w:rPr>
          <w:lang w:val="fr-CH"/>
        </w:rPr>
        <w:t xml:space="preserve"> </w:t>
      </w:r>
      <w:r w:rsidR="007566DC" w:rsidRPr="00DD49DB">
        <w:rPr>
          <w:lang w:val="fr-CH"/>
        </w:rPr>
        <w:t>l</w:t>
      </w:r>
      <w:r w:rsidR="00670334" w:rsidRPr="00DD49DB">
        <w:rPr>
          <w:lang w:val="fr-CH"/>
        </w:rPr>
        <w:t xml:space="preserve">es </w:t>
      </w:r>
      <w:r w:rsidR="007566DC" w:rsidRPr="00DD49DB">
        <w:rPr>
          <w:lang w:val="fr-CH"/>
        </w:rPr>
        <w:t xml:space="preserve">populations sans </w:t>
      </w:r>
      <w:r w:rsidR="00670334" w:rsidRPr="00DD49DB">
        <w:rPr>
          <w:lang w:val="fr-CH"/>
        </w:rPr>
        <w:t>pratiquement auc</w:t>
      </w:r>
      <w:r w:rsidR="0054185B" w:rsidRPr="00DD49DB">
        <w:rPr>
          <w:lang w:val="fr-CH"/>
        </w:rPr>
        <w:t>un impact sur l'environnement.</w:t>
      </w:r>
    </w:p>
    <w:p w:rsidR="00670334" w:rsidRPr="00DD49DB" w:rsidRDefault="00B454DD" w:rsidP="0054185B">
      <w:pPr>
        <w:pStyle w:val="enumlev1"/>
        <w:rPr>
          <w:lang w:val="fr-CH"/>
        </w:rPr>
      </w:pPr>
      <w:r w:rsidRPr="00DD49DB">
        <w:rPr>
          <w:b/>
          <w:bCs/>
          <w:lang w:val="fr-CH"/>
        </w:rPr>
        <w:t>•</w:t>
      </w:r>
      <w:r w:rsidRPr="00DD49DB">
        <w:rPr>
          <w:b/>
          <w:bCs/>
          <w:lang w:val="fr-CH"/>
        </w:rPr>
        <w:tab/>
      </w:r>
      <w:r w:rsidR="00670334" w:rsidRPr="00DD49DB">
        <w:rPr>
          <w:b/>
          <w:bCs/>
          <w:lang w:val="fr-CH"/>
        </w:rPr>
        <w:t>Rapidité de déploiement et souplesse</w:t>
      </w:r>
      <w:r w:rsidR="00267CFA" w:rsidRPr="000A6476">
        <w:rPr>
          <w:lang w:val="fr-CH"/>
        </w:rPr>
        <w:t>:</w:t>
      </w:r>
      <w:r w:rsidR="00267CFA" w:rsidRPr="00DD49DB">
        <w:rPr>
          <w:lang w:val="fr-CH"/>
        </w:rPr>
        <w:t xml:space="preserve"> </w:t>
      </w:r>
      <w:r w:rsidR="00670334" w:rsidRPr="00DD49DB">
        <w:rPr>
          <w:lang w:val="fr-CH"/>
        </w:rPr>
        <w:t xml:space="preserve">Il peut être possible de déployer </w:t>
      </w:r>
      <w:r w:rsidR="007566DC" w:rsidRPr="00DD49DB">
        <w:rPr>
          <w:lang w:val="fr-CH"/>
        </w:rPr>
        <w:t xml:space="preserve">rapidement </w:t>
      </w:r>
      <w:r w:rsidR="00670334" w:rsidRPr="00DD49DB">
        <w:rPr>
          <w:lang w:val="fr-CH"/>
        </w:rPr>
        <w:t xml:space="preserve">des services HAPS et il est relativement simple de </w:t>
      </w:r>
      <w:r w:rsidR="007566DC" w:rsidRPr="00DD49DB">
        <w:rPr>
          <w:lang w:val="fr-CH"/>
        </w:rPr>
        <w:t xml:space="preserve">faire revenir </w:t>
      </w:r>
      <w:r w:rsidR="00670334" w:rsidRPr="00DD49DB">
        <w:rPr>
          <w:lang w:val="fr-CH"/>
        </w:rPr>
        <w:t xml:space="preserve">les plates-formes solaires au sol pour </w:t>
      </w:r>
      <w:r w:rsidR="0054185B" w:rsidRPr="00DD49DB">
        <w:rPr>
          <w:lang w:val="fr-CH"/>
        </w:rPr>
        <w:t xml:space="preserve">en assurer la </w:t>
      </w:r>
      <w:r w:rsidR="00670334" w:rsidRPr="00DD49DB">
        <w:rPr>
          <w:lang w:val="fr-CH"/>
        </w:rPr>
        <w:t>maintenance ou reconfigur</w:t>
      </w:r>
      <w:r w:rsidR="0054185B" w:rsidRPr="00DD49DB">
        <w:rPr>
          <w:lang w:val="fr-CH"/>
        </w:rPr>
        <w:t>er</w:t>
      </w:r>
      <w:r w:rsidR="00670334" w:rsidRPr="00DD49DB">
        <w:rPr>
          <w:lang w:val="fr-CH"/>
        </w:rPr>
        <w:t xml:space="preserve"> la charge utile.</w:t>
      </w:r>
    </w:p>
    <w:p w:rsidR="00267CFA" w:rsidRPr="00DD49DB" w:rsidRDefault="007566DC" w:rsidP="00B454DD">
      <w:pPr>
        <w:rPr>
          <w:shd w:val="clear" w:color="auto" w:fill="FFFFFF"/>
          <w:lang w:val="fr-CH" w:eastAsia="pt-BR"/>
        </w:rPr>
      </w:pPr>
      <w:r w:rsidRPr="00DD49DB">
        <w:rPr>
          <w:shd w:val="clear" w:color="auto" w:fill="FFFFFF"/>
          <w:lang w:val="fr-CH" w:eastAsia="pt-BR"/>
        </w:rPr>
        <w:t>L'UIT</w:t>
      </w:r>
      <w:r w:rsidR="00267CFA" w:rsidRPr="00DD49DB">
        <w:rPr>
          <w:shd w:val="clear" w:color="auto" w:fill="FFFFFF"/>
          <w:lang w:val="fr-CH" w:eastAsia="pt-BR"/>
        </w:rPr>
        <w:t xml:space="preserve">-R </w:t>
      </w:r>
      <w:r w:rsidRPr="00DD49DB">
        <w:rPr>
          <w:shd w:val="clear" w:color="auto" w:fill="FFFFFF"/>
          <w:lang w:val="fr-CH" w:eastAsia="pt-BR"/>
        </w:rPr>
        <w:t>a mené des études de partage et de compatibilité</w:t>
      </w:r>
      <w:r w:rsidR="00267CFA" w:rsidRPr="00DD49DB">
        <w:rPr>
          <w:shd w:val="clear" w:color="auto" w:fill="FFFFFF"/>
          <w:lang w:val="fr-CH" w:eastAsia="pt-BR"/>
        </w:rPr>
        <w:t xml:space="preserve"> </w:t>
      </w:r>
      <w:r w:rsidRPr="00DD49DB">
        <w:rPr>
          <w:shd w:val="clear" w:color="auto" w:fill="FFFFFF"/>
          <w:lang w:val="fr-CH" w:eastAsia="pt-BR"/>
        </w:rPr>
        <w:t xml:space="preserve">pour évaluer la </w:t>
      </w:r>
      <w:r w:rsidR="00267CFA" w:rsidRPr="00DD49DB">
        <w:rPr>
          <w:shd w:val="clear" w:color="auto" w:fill="FFFFFF"/>
          <w:lang w:val="fr-CH" w:eastAsia="pt-BR"/>
        </w:rPr>
        <w:t xml:space="preserve">coexistence </w:t>
      </w:r>
      <w:r w:rsidRPr="00DD49DB">
        <w:rPr>
          <w:shd w:val="clear" w:color="auto" w:fill="FFFFFF"/>
          <w:lang w:val="fr-CH" w:eastAsia="pt-BR"/>
        </w:rPr>
        <w:t xml:space="preserve">entre les stations </w:t>
      </w:r>
      <w:r w:rsidR="00267CFA" w:rsidRPr="00DD49DB">
        <w:rPr>
          <w:shd w:val="clear" w:color="auto" w:fill="FFFFFF"/>
          <w:lang w:val="fr-CH" w:eastAsia="pt-BR"/>
        </w:rPr>
        <w:t xml:space="preserve">HAPS </w:t>
      </w:r>
      <w:r w:rsidRPr="00DD49DB">
        <w:rPr>
          <w:shd w:val="clear" w:color="auto" w:fill="FFFFFF"/>
          <w:lang w:val="fr-CH" w:eastAsia="pt-BR"/>
        </w:rPr>
        <w:t xml:space="preserve">et les systèmes et services existants ou en projet </w:t>
      </w:r>
      <w:r w:rsidR="00267CFA" w:rsidRPr="00DD49DB">
        <w:rPr>
          <w:shd w:val="clear" w:color="auto" w:fill="FFFFFF"/>
          <w:lang w:val="fr-CH" w:eastAsia="pt-BR"/>
        </w:rPr>
        <w:t>(</w:t>
      </w:r>
      <w:r w:rsidRPr="00DD49DB">
        <w:rPr>
          <w:shd w:val="clear" w:color="auto" w:fill="FFFFFF"/>
          <w:lang w:val="fr-CH" w:eastAsia="pt-BR"/>
        </w:rPr>
        <w:t>y compris les questions de chevauchement avec les points 1.6 et 1.13 de l'ordre du jour de la CMR</w:t>
      </w:r>
      <w:r w:rsidR="00267CFA" w:rsidRPr="00DD49DB">
        <w:rPr>
          <w:shd w:val="clear" w:color="auto" w:fill="FFFFFF"/>
          <w:lang w:val="fr-CH" w:eastAsia="pt-BR"/>
        </w:rPr>
        <w:t>-19</w:t>
      </w:r>
      <w:r w:rsidRPr="00DD49DB">
        <w:rPr>
          <w:shd w:val="clear" w:color="auto" w:fill="FFFFFF"/>
          <w:lang w:val="fr-CH" w:eastAsia="pt-BR"/>
        </w:rPr>
        <w:t>).</w:t>
      </w:r>
      <w:r w:rsidR="00267CFA" w:rsidRPr="00DD49DB">
        <w:rPr>
          <w:shd w:val="clear" w:color="auto" w:fill="FFFFFF"/>
          <w:lang w:val="fr-CH" w:eastAsia="pt-BR"/>
        </w:rPr>
        <w:t xml:space="preserve"> </w:t>
      </w:r>
      <w:r w:rsidR="004E087F" w:rsidRPr="00DD49DB">
        <w:rPr>
          <w:shd w:val="clear" w:color="auto" w:fill="FFFFFF"/>
          <w:lang w:val="fr-CH" w:eastAsia="pt-BR"/>
        </w:rPr>
        <w:t>Des dispositions réglementaires associées sont proposées</w:t>
      </w:r>
      <w:r w:rsidR="00267CFA" w:rsidRPr="00DD49DB">
        <w:rPr>
          <w:shd w:val="clear" w:color="auto" w:fill="FFFFFF"/>
          <w:lang w:val="fr-CH" w:eastAsia="pt-BR"/>
        </w:rPr>
        <w:t xml:space="preserve"> </w:t>
      </w:r>
      <w:r w:rsidR="004E087F" w:rsidRPr="00DD49DB">
        <w:rPr>
          <w:shd w:val="clear" w:color="auto" w:fill="FFFFFF"/>
          <w:lang w:val="fr-CH" w:eastAsia="pt-BR"/>
        </w:rPr>
        <w:t>ci-dessous sur la base des résultats des études de partage</w:t>
      </w:r>
      <w:r w:rsidR="00267CFA" w:rsidRPr="00DD49DB">
        <w:rPr>
          <w:shd w:val="clear" w:color="auto" w:fill="FFFFFF"/>
          <w:lang w:val="fr-CH" w:eastAsia="pt-BR"/>
        </w:rPr>
        <w:t>.</w:t>
      </w:r>
    </w:p>
    <w:p w:rsidR="00267CFA" w:rsidRPr="00DD49DB" w:rsidRDefault="00267CFA" w:rsidP="00B454DD">
      <w:pPr>
        <w:pStyle w:val="Headingb"/>
        <w:rPr>
          <w:lang w:val="fr-CH"/>
        </w:rPr>
      </w:pPr>
      <w:r w:rsidRPr="00DD49DB">
        <w:rPr>
          <w:lang w:val="fr-CH"/>
        </w:rPr>
        <w:t>Propos</w:t>
      </w:r>
      <w:r w:rsidR="000E3E9B" w:rsidRPr="00DD49DB">
        <w:rPr>
          <w:lang w:val="fr-CH"/>
        </w:rPr>
        <w:t>ition</w:t>
      </w:r>
    </w:p>
    <w:p w:rsidR="00670334" w:rsidRDefault="00670334" w:rsidP="0054185B">
      <w:pPr>
        <w:rPr>
          <w:lang w:val="fr-CH"/>
        </w:rPr>
      </w:pPr>
      <w:r w:rsidRPr="00DD49DB">
        <w:rPr>
          <w:lang w:val="fr-CH"/>
        </w:rPr>
        <w:t>S'agissant de la gamme de fréquences 24,25-25,25 GHz dans la Région 2, les États-Unis proposent de ne pas modifier (</w:t>
      </w:r>
      <w:r w:rsidRPr="00DD49DB">
        <w:rPr>
          <w:u w:val="single"/>
          <w:lang w:val="fr-CH"/>
        </w:rPr>
        <w:t>NOC</w:t>
      </w:r>
      <w:r w:rsidRPr="00DD49DB">
        <w:rPr>
          <w:lang w:val="fr-CH"/>
        </w:rPr>
        <w:t xml:space="preserve">) le Règlement des radiocommunications. En effet, dans la </w:t>
      </w:r>
      <w:r w:rsidRPr="00DD49DB">
        <w:rPr>
          <w:szCs w:val="24"/>
          <w:lang w:val="fr-CH"/>
        </w:rPr>
        <w:t xml:space="preserve">Résolution </w:t>
      </w:r>
      <w:r w:rsidRPr="00DD49DB">
        <w:rPr>
          <w:b/>
          <w:szCs w:val="24"/>
          <w:lang w:val="fr-CH"/>
        </w:rPr>
        <w:t>160 (CMR-15)</w:t>
      </w:r>
      <w:r w:rsidRPr="00DD49DB">
        <w:rPr>
          <w:szCs w:val="24"/>
          <w:lang w:val="fr-CH"/>
        </w:rPr>
        <w:t>, il est demandé d'identifier pour les stations HAPS des bandes de fréquences déjà attribuées au s</w:t>
      </w:r>
      <w:r w:rsidR="0054185B" w:rsidRPr="00DD49DB">
        <w:rPr>
          <w:szCs w:val="24"/>
          <w:lang w:val="fr-CH"/>
        </w:rPr>
        <w:t>ervice fixe à titre primaire. D</w:t>
      </w:r>
      <w:r w:rsidRPr="00DD49DB">
        <w:rPr>
          <w:szCs w:val="24"/>
          <w:lang w:val="fr-CH"/>
        </w:rPr>
        <w:t>ans la Région 2, les bandes de cette gamme de fréquences ne sont pas déjà attribuées au service fixe.</w:t>
      </w:r>
      <w:r w:rsidR="00930DBB" w:rsidRPr="00DD49DB">
        <w:rPr>
          <w:szCs w:val="24"/>
          <w:lang w:val="fr-CH"/>
        </w:rPr>
        <w:t xml:space="preserve"> L'UIT</w:t>
      </w:r>
      <w:r w:rsidR="00930DBB" w:rsidRPr="00DD49DB">
        <w:rPr>
          <w:szCs w:val="24"/>
          <w:lang w:val="fr-CH"/>
        </w:rPr>
        <w:noBreakHyphen/>
        <w:t>R n'a mené a</w:t>
      </w:r>
      <w:r w:rsidRPr="00DD49DB">
        <w:rPr>
          <w:lang w:val="fr-CH"/>
        </w:rPr>
        <w:t xml:space="preserve">ucune étude </w:t>
      </w:r>
      <w:r w:rsidR="00930DBB" w:rsidRPr="00DD49DB">
        <w:rPr>
          <w:lang w:val="fr-CH"/>
        </w:rPr>
        <w:t xml:space="preserve">de </w:t>
      </w:r>
      <w:r w:rsidR="000A6476">
        <w:rPr>
          <w:lang w:val="fr-CH"/>
        </w:rPr>
        <w:t>partage </w:t>
      </w:r>
      <w:r w:rsidR="0054185B" w:rsidRPr="00DD49DB">
        <w:rPr>
          <w:lang w:val="fr-CH"/>
        </w:rPr>
        <w:t>ou</w:t>
      </w:r>
      <w:r w:rsidR="000A6476">
        <w:rPr>
          <w:lang w:val="fr-CH"/>
        </w:rPr>
        <w:t> </w:t>
      </w:r>
      <w:r w:rsidR="00930DBB" w:rsidRPr="00DD49DB">
        <w:rPr>
          <w:lang w:val="fr-CH"/>
        </w:rPr>
        <w:t xml:space="preserve">de </w:t>
      </w:r>
      <w:r w:rsidRPr="00DD49DB">
        <w:rPr>
          <w:lang w:val="fr-CH"/>
        </w:rPr>
        <w:t xml:space="preserve">compatibilité </w:t>
      </w:r>
      <w:r w:rsidR="00930DBB" w:rsidRPr="00DD49DB">
        <w:rPr>
          <w:lang w:val="fr-CH"/>
        </w:rPr>
        <w:t xml:space="preserve">concernant </w:t>
      </w:r>
      <w:r w:rsidRPr="00DD49DB">
        <w:rPr>
          <w:lang w:val="fr-CH"/>
        </w:rPr>
        <w:t xml:space="preserve">l'ajout d'une nouvelle attribution </w:t>
      </w:r>
      <w:r w:rsidR="00930DBB" w:rsidRPr="00DD49DB">
        <w:rPr>
          <w:lang w:val="fr-CH"/>
        </w:rPr>
        <w:t xml:space="preserve">au </w:t>
      </w:r>
      <w:r w:rsidRPr="00DD49DB">
        <w:rPr>
          <w:lang w:val="fr-CH"/>
        </w:rPr>
        <w:t xml:space="preserve">service fixe </w:t>
      </w:r>
      <w:r w:rsidR="00930DBB" w:rsidRPr="00DD49DB">
        <w:rPr>
          <w:lang w:val="fr-CH"/>
        </w:rPr>
        <w:t xml:space="preserve">dans </w:t>
      </w:r>
      <w:r w:rsidR="000A6476">
        <w:rPr>
          <w:lang w:val="fr-CH"/>
        </w:rPr>
        <w:t>la bande 24,25</w:t>
      </w:r>
      <w:r w:rsidR="000A6476">
        <w:rPr>
          <w:lang w:val="fr-CH"/>
        </w:rPr>
        <w:noBreakHyphen/>
      </w:r>
      <w:r w:rsidRPr="00DD49DB">
        <w:rPr>
          <w:lang w:val="fr-CH"/>
        </w:rPr>
        <w:t xml:space="preserve">25,25 GHz dans la Région 2. </w:t>
      </w:r>
      <w:r w:rsidR="00105CC8" w:rsidRPr="00DD49DB">
        <w:rPr>
          <w:lang w:val="fr-CH"/>
        </w:rPr>
        <w:t>Étant</w:t>
      </w:r>
      <w:r w:rsidRPr="00DD49DB">
        <w:rPr>
          <w:lang w:val="fr-CH"/>
        </w:rPr>
        <w:t xml:space="preserve"> donné qu'une bande de fréquences ne peut </w:t>
      </w:r>
      <w:r w:rsidR="00930DBB" w:rsidRPr="00DD49DB">
        <w:rPr>
          <w:lang w:val="fr-CH"/>
        </w:rPr>
        <w:t xml:space="preserve">pas </w:t>
      </w:r>
      <w:r w:rsidRPr="00DD49DB">
        <w:rPr>
          <w:lang w:val="fr-CH"/>
        </w:rPr>
        <w:t xml:space="preserve">être désignée pour </w:t>
      </w:r>
      <w:r w:rsidR="0054185B" w:rsidRPr="00DD49DB">
        <w:rPr>
          <w:lang w:val="fr-CH"/>
        </w:rPr>
        <w:t>être utilisée par l</w:t>
      </w:r>
      <w:r w:rsidR="00930DBB" w:rsidRPr="00DD49DB">
        <w:rPr>
          <w:lang w:val="fr-CH"/>
        </w:rPr>
        <w:t xml:space="preserve">es stations </w:t>
      </w:r>
      <w:r w:rsidRPr="00DD49DB">
        <w:rPr>
          <w:lang w:val="fr-CH"/>
        </w:rPr>
        <w:t xml:space="preserve">HAPS </w:t>
      </w:r>
      <w:r w:rsidR="00930DBB" w:rsidRPr="00DD49DB">
        <w:rPr>
          <w:lang w:val="fr-CH"/>
        </w:rPr>
        <w:t xml:space="preserve">du service fixe si elle n'est pas attribuée au </w:t>
      </w:r>
      <w:r w:rsidRPr="00DD49DB">
        <w:rPr>
          <w:lang w:val="fr-CH"/>
        </w:rPr>
        <w:t xml:space="preserve">service fixe, </w:t>
      </w:r>
      <w:r w:rsidR="00930DBB" w:rsidRPr="00DD49DB">
        <w:rPr>
          <w:lang w:val="fr-CH"/>
        </w:rPr>
        <w:t xml:space="preserve">il est proposé de n'apporter </w:t>
      </w:r>
      <w:r w:rsidRPr="00DD49DB">
        <w:rPr>
          <w:lang w:val="fr-CH"/>
        </w:rPr>
        <w:t xml:space="preserve">aucune modification au </w:t>
      </w:r>
      <w:r w:rsidR="00930DBB" w:rsidRPr="00DD49DB">
        <w:rPr>
          <w:lang w:val="fr-CH"/>
        </w:rPr>
        <w:t xml:space="preserve">titre du point 1.14 de l'ordre du jour. </w:t>
      </w:r>
      <w:r w:rsidRPr="00DD49DB">
        <w:rPr>
          <w:lang w:val="fr-CH"/>
        </w:rPr>
        <w:t xml:space="preserve">Cette proposition </w:t>
      </w:r>
      <w:r w:rsidR="00930DBB" w:rsidRPr="00DD49DB">
        <w:rPr>
          <w:lang w:val="fr-CH"/>
        </w:rPr>
        <w:t xml:space="preserve">correspond à </w:t>
      </w:r>
      <w:r w:rsidRPr="00DD49DB">
        <w:rPr>
          <w:lang w:val="fr-CH"/>
        </w:rPr>
        <w:t xml:space="preserve">la </w:t>
      </w:r>
      <w:r w:rsidR="00930DBB" w:rsidRPr="00DD49DB">
        <w:rPr>
          <w:lang w:val="fr-CH"/>
        </w:rPr>
        <w:t>M</w:t>
      </w:r>
      <w:r w:rsidRPr="00DD49DB">
        <w:rPr>
          <w:lang w:val="fr-CH"/>
        </w:rPr>
        <w:t>éthode 4A du Rapport de la RPC à la CMR-19.</w:t>
      </w:r>
    </w:p>
    <w:p w:rsidR="000A6476" w:rsidRPr="00DD49DB" w:rsidRDefault="000A6476" w:rsidP="0054185B">
      <w:pPr>
        <w:rPr>
          <w:szCs w:val="24"/>
          <w:lang w:val="fr-CH"/>
        </w:rPr>
      </w:pPr>
    </w:p>
    <w:p w:rsidR="00267CFA" w:rsidRPr="00DD49DB" w:rsidRDefault="00267CFA" w:rsidP="00B454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D49DB">
        <w:rPr>
          <w:lang w:val="fr-CH"/>
        </w:rPr>
        <w:br w:type="page"/>
      </w:r>
    </w:p>
    <w:p w:rsidR="00267CFA" w:rsidRPr="00DD49DB" w:rsidRDefault="00267CFA" w:rsidP="00B454DD">
      <w:pPr>
        <w:pStyle w:val="ArtNo"/>
        <w:spacing w:before="0"/>
        <w:rPr>
          <w:lang w:val="fr-CH"/>
        </w:rPr>
      </w:pPr>
      <w:r w:rsidRPr="00DD49DB">
        <w:rPr>
          <w:lang w:val="fr-CH"/>
        </w:rPr>
        <w:lastRenderedPageBreak/>
        <w:t xml:space="preserve">ARTICLE </w:t>
      </w:r>
      <w:r w:rsidRPr="00DD49DB">
        <w:rPr>
          <w:rStyle w:val="href"/>
          <w:color w:val="000000"/>
          <w:lang w:val="fr-CH"/>
        </w:rPr>
        <w:t>5</w:t>
      </w:r>
      <w:bookmarkEnd w:id="6"/>
      <w:bookmarkEnd w:id="7"/>
    </w:p>
    <w:p w:rsidR="00267CFA" w:rsidRPr="00DD49DB" w:rsidRDefault="00267CFA" w:rsidP="00B454DD">
      <w:pPr>
        <w:pStyle w:val="Arttitle"/>
        <w:rPr>
          <w:lang w:val="fr-CH"/>
        </w:rPr>
      </w:pPr>
      <w:bookmarkStart w:id="9" w:name="_Toc455752915"/>
      <w:bookmarkStart w:id="10" w:name="_Toc455756154"/>
      <w:r w:rsidRPr="00DD49DB">
        <w:rPr>
          <w:lang w:val="fr-CH"/>
        </w:rPr>
        <w:t>Attribution des bandes de fréquences</w:t>
      </w:r>
      <w:bookmarkEnd w:id="9"/>
      <w:bookmarkEnd w:id="10"/>
    </w:p>
    <w:p w:rsidR="00267CFA" w:rsidRDefault="00267CFA" w:rsidP="000A6476">
      <w:pPr>
        <w:pStyle w:val="Section1"/>
        <w:keepNext/>
        <w:rPr>
          <w:b w:val="0"/>
          <w:bCs/>
          <w:lang w:val="fr-CH"/>
        </w:rPr>
      </w:pPr>
      <w:r w:rsidRPr="00DD49DB">
        <w:rPr>
          <w:lang w:val="fr-CH"/>
        </w:rPr>
        <w:t>Section IV – Tableau d'attribution des bandes de fréquences</w:t>
      </w:r>
      <w:r w:rsidRPr="00DD49DB">
        <w:rPr>
          <w:lang w:val="fr-CH"/>
        </w:rPr>
        <w:br/>
      </w:r>
      <w:r w:rsidRPr="00DD49DB">
        <w:rPr>
          <w:b w:val="0"/>
          <w:bCs/>
          <w:lang w:val="fr-CH"/>
        </w:rPr>
        <w:t xml:space="preserve">(Voir le numéro </w:t>
      </w:r>
      <w:r w:rsidRPr="00DD49DB">
        <w:rPr>
          <w:lang w:val="fr-CH"/>
        </w:rPr>
        <w:t>2.1</w:t>
      </w:r>
      <w:r w:rsidRPr="00DD49DB">
        <w:rPr>
          <w:b w:val="0"/>
          <w:bCs/>
          <w:lang w:val="fr-CH"/>
        </w:rPr>
        <w:t>)</w:t>
      </w:r>
    </w:p>
    <w:p w:rsidR="00267CFA" w:rsidRPr="00DD49DB" w:rsidRDefault="00267CFA" w:rsidP="00B454DD">
      <w:pPr>
        <w:pStyle w:val="Proposal"/>
        <w:rPr>
          <w:lang w:val="fr-CH"/>
        </w:rPr>
      </w:pPr>
      <w:r w:rsidRPr="00DD49DB">
        <w:rPr>
          <w:u w:val="single"/>
          <w:lang w:val="fr-CH"/>
        </w:rPr>
        <w:t>NOC</w:t>
      </w:r>
      <w:r w:rsidRPr="00DD49DB">
        <w:rPr>
          <w:lang w:val="fr-CH"/>
        </w:rPr>
        <w:tab/>
        <w:t>USA/10A14A4/1</w:t>
      </w:r>
    </w:p>
    <w:p w:rsidR="00267CFA" w:rsidRPr="00DD49DB" w:rsidRDefault="00267CFA" w:rsidP="00B454DD">
      <w:pPr>
        <w:pStyle w:val="Tabletitle"/>
        <w:spacing w:before="120"/>
        <w:rPr>
          <w:color w:val="000000"/>
          <w:lang w:val="fr-CH"/>
        </w:rPr>
      </w:pPr>
      <w:r w:rsidRPr="00DD49DB">
        <w:rPr>
          <w:color w:val="000000"/>
          <w:lang w:val="fr-CH"/>
        </w:rPr>
        <w:t>22-24,75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267CFA" w:rsidRPr="00DD49DB" w:rsidTr="00E13B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Attribution aux services</w:t>
            </w:r>
          </w:p>
        </w:tc>
      </w:tr>
      <w:tr w:rsidR="00267CFA" w:rsidRPr="00DD49DB" w:rsidTr="00E13B5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Région 3</w:t>
            </w:r>
          </w:p>
        </w:tc>
      </w:tr>
      <w:tr w:rsidR="00267CFA" w:rsidRPr="00DD49DB" w:rsidTr="00E13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24,25-24,45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24,25-24,45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RADIONAVIGATION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24,25-24,45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RADIONAVIGATION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MOBILE</w:t>
            </w:r>
          </w:p>
        </w:tc>
      </w:tr>
      <w:tr w:rsidR="00267CFA" w:rsidRPr="00DD49DB" w:rsidTr="00E13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24,45-24,65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INTER-SATELLITES</w:t>
            </w:r>
          </w:p>
        </w:tc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24,45-24,65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INTER-SATELLITES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RADIONAVIGATION</w:t>
            </w:r>
          </w:p>
        </w:tc>
        <w:tc>
          <w:tcPr>
            <w:tcW w:w="3102" w:type="dxa"/>
            <w:tcBorders>
              <w:top w:val="single" w:sz="4" w:space="0" w:color="auto"/>
              <w:bottom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24,45-24,65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INTER-SATELLITES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MOBILE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RADIONAVIGATION</w:t>
            </w:r>
          </w:p>
        </w:tc>
      </w:tr>
      <w:tr w:rsidR="00267CFA" w:rsidRPr="00DD49DB" w:rsidTr="00E13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</w:p>
        </w:tc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rStyle w:val="Artref"/>
                <w:color w:val="000000"/>
                <w:sz w:val="19"/>
                <w:szCs w:val="19"/>
                <w:lang w:val="fr-CH"/>
              </w:rPr>
              <w:t>5.533</w:t>
            </w:r>
          </w:p>
        </w:tc>
        <w:tc>
          <w:tcPr>
            <w:tcW w:w="3102" w:type="dxa"/>
            <w:tcBorders>
              <w:top w:val="nil"/>
              <w:bottom w:val="single" w:sz="4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rStyle w:val="Artref"/>
                <w:color w:val="000000"/>
                <w:sz w:val="19"/>
                <w:szCs w:val="19"/>
                <w:lang w:val="fr-CH"/>
              </w:rPr>
              <w:t>5.533</w:t>
            </w:r>
          </w:p>
        </w:tc>
      </w:tr>
      <w:tr w:rsidR="00267CFA" w:rsidRPr="00DD49DB" w:rsidTr="00E13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24,65-24,75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 PAR SATELLITE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ab/>
              <w:t>(Terre vers espace)</w:t>
            </w:r>
            <w:r w:rsidRPr="00DD49DB" w:rsidDel="008A03F1">
              <w:rPr>
                <w:color w:val="000000"/>
                <w:sz w:val="19"/>
                <w:szCs w:val="19"/>
                <w:lang w:val="fr-CH"/>
              </w:rPr>
              <w:t xml:space="preserve"> </w:t>
            </w:r>
            <w:r w:rsidRPr="00DD49DB">
              <w:rPr>
                <w:color w:val="000000"/>
                <w:sz w:val="19"/>
                <w:szCs w:val="19"/>
                <w:lang w:val="fr-CH"/>
              </w:rPr>
              <w:t>5.532B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INTER-SATELLITES</w:t>
            </w:r>
          </w:p>
        </w:tc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24,65-24,75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INTER-SATELLITES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RADIOLOCALISATION PAR</w:t>
            </w:r>
            <w:r w:rsidRPr="00DD49DB">
              <w:rPr>
                <w:color w:val="000000"/>
                <w:sz w:val="19"/>
                <w:szCs w:val="19"/>
                <w:lang w:val="fr-CH"/>
              </w:rPr>
              <w:br/>
              <w:t>SATELLITE (Terre vers espace)</w:t>
            </w:r>
          </w:p>
        </w:tc>
        <w:tc>
          <w:tcPr>
            <w:tcW w:w="3102" w:type="dxa"/>
            <w:tcBorders>
              <w:top w:val="single" w:sz="4" w:space="0" w:color="auto"/>
              <w:bottom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sz w:val="19"/>
                <w:szCs w:val="19"/>
                <w:lang w:val="fr-CH"/>
              </w:rPr>
            </w:pPr>
            <w:r w:rsidRPr="00DD49DB">
              <w:rPr>
                <w:rStyle w:val="Tablefreq"/>
                <w:sz w:val="19"/>
                <w:szCs w:val="19"/>
                <w:lang w:val="fr-CH"/>
              </w:rPr>
              <w:t>24,65-24,75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FIXE PAR SATELLITE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ab/>
              <w:t>(Terre vers espace) 5.532B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INTER-SATELLITES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color w:val="000000"/>
                <w:sz w:val="19"/>
                <w:szCs w:val="19"/>
                <w:lang w:val="fr-CH"/>
              </w:rPr>
              <w:t>MOBILE</w:t>
            </w:r>
          </w:p>
        </w:tc>
      </w:tr>
      <w:tr w:rsidR="00267CFA" w:rsidRPr="00DD49DB" w:rsidTr="00E13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sz w:val="19"/>
                <w:szCs w:val="19"/>
                <w:lang w:val="fr-CH"/>
              </w:rPr>
            </w:pPr>
            <w:r w:rsidRPr="00DD49DB">
              <w:rPr>
                <w:rStyle w:val="Artref"/>
                <w:color w:val="000000"/>
                <w:sz w:val="19"/>
                <w:szCs w:val="19"/>
                <w:lang w:val="fr-CH"/>
              </w:rPr>
              <w:t>5.533</w:t>
            </w:r>
          </w:p>
        </w:tc>
      </w:tr>
    </w:tbl>
    <w:p w:rsidR="00267CFA" w:rsidRPr="00DD49DB" w:rsidRDefault="00267CFA" w:rsidP="00B454DD">
      <w:pPr>
        <w:pStyle w:val="Reasons"/>
        <w:rPr>
          <w:lang w:val="fr-CH"/>
        </w:rPr>
      </w:pPr>
      <w:r w:rsidRPr="00DD49DB">
        <w:rPr>
          <w:b/>
          <w:lang w:val="fr-CH"/>
        </w:rPr>
        <w:t>Motifs:</w:t>
      </w:r>
      <w:r w:rsidRPr="00DD49DB">
        <w:rPr>
          <w:lang w:val="fr-CH"/>
        </w:rPr>
        <w:tab/>
      </w:r>
      <w:r w:rsidR="0053160C" w:rsidRPr="00DD49DB">
        <w:rPr>
          <w:lang w:val="fr-CH"/>
        </w:rPr>
        <w:t xml:space="preserve">Dans la </w:t>
      </w:r>
      <w:r w:rsidRPr="00DD49DB">
        <w:rPr>
          <w:szCs w:val="24"/>
          <w:lang w:val="fr-CH"/>
        </w:rPr>
        <w:t>R</w:t>
      </w:r>
      <w:r w:rsidR="0053160C" w:rsidRPr="00DD49DB">
        <w:rPr>
          <w:szCs w:val="24"/>
          <w:lang w:val="fr-CH"/>
        </w:rPr>
        <w:t>é</w:t>
      </w:r>
      <w:r w:rsidRPr="00DD49DB">
        <w:rPr>
          <w:szCs w:val="24"/>
          <w:lang w:val="fr-CH"/>
        </w:rPr>
        <w:t xml:space="preserve">solution </w:t>
      </w:r>
      <w:r w:rsidRPr="00DD49DB">
        <w:rPr>
          <w:b/>
          <w:szCs w:val="24"/>
          <w:lang w:val="fr-CH"/>
        </w:rPr>
        <w:t>160 (</w:t>
      </w:r>
      <w:r w:rsidR="0053160C" w:rsidRPr="00DD49DB">
        <w:rPr>
          <w:b/>
          <w:szCs w:val="24"/>
          <w:lang w:val="fr-CH"/>
        </w:rPr>
        <w:t>CMR</w:t>
      </w:r>
      <w:r w:rsidRPr="00DD49DB">
        <w:rPr>
          <w:b/>
          <w:szCs w:val="24"/>
          <w:lang w:val="fr-CH"/>
        </w:rPr>
        <w:t>-15)</w:t>
      </w:r>
      <w:r w:rsidR="0053160C" w:rsidRPr="00DD49DB">
        <w:rPr>
          <w:szCs w:val="24"/>
          <w:lang w:val="fr-CH"/>
        </w:rPr>
        <w:t xml:space="preserve">, il est demandé </w:t>
      </w:r>
      <w:r w:rsidR="00670334" w:rsidRPr="00DD49DB">
        <w:rPr>
          <w:szCs w:val="24"/>
          <w:lang w:val="fr-CH"/>
        </w:rPr>
        <w:t>d'</w:t>
      </w:r>
      <w:r w:rsidR="0053160C" w:rsidRPr="00DD49DB">
        <w:rPr>
          <w:szCs w:val="24"/>
          <w:lang w:val="fr-CH"/>
        </w:rPr>
        <w:t>identi</w:t>
      </w:r>
      <w:r w:rsidR="00670334" w:rsidRPr="00DD49DB">
        <w:rPr>
          <w:szCs w:val="24"/>
          <w:lang w:val="fr-CH"/>
        </w:rPr>
        <w:t>fier</w:t>
      </w:r>
      <w:r w:rsidR="0053160C" w:rsidRPr="00DD49DB">
        <w:rPr>
          <w:szCs w:val="24"/>
          <w:lang w:val="fr-CH"/>
        </w:rPr>
        <w:t xml:space="preserve"> pour les stations </w:t>
      </w:r>
      <w:r w:rsidRPr="00DD49DB">
        <w:rPr>
          <w:szCs w:val="24"/>
          <w:lang w:val="fr-CH"/>
        </w:rPr>
        <w:t xml:space="preserve">HAPS </w:t>
      </w:r>
      <w:r w:rsidR="0053160C" w:rsidRPr="00DD49DB">
        <w:rPr>
          <w:szCs w:val="24"/>
          <w:lang w:val="fr-CH"/>
        </w:rPr>
        <w:t>des bandes de fréquences déjà attribuées au service fixe à titre primaire</w:t>
      </w:r>
      <w:r w:rsidR="0054185B" w:rsidRPr="00DD49DB">
        <w:rPr>
          <w:szCs w:val="24"/>
          <w:lang w:val="fr-CH"/>
        </w:rPr>
        <w:t xml:space="preserve">. </w:t>
      </w:r>
      <w:r w:rsidR="0053160C" w:rsidRPr="00DD49DB">
        <w:rPr>
          <w:szCs w:val="24"/>
          <w:lang w:val="fr-CH"/>
        </w:rPr>
        <w:t xml:space="preserve">Dans la </w:t>
      </w:r>
      <w:r w:rsidRPr="00DD49DB">
        <w:rPr>
          <w:szCs w:val="24"/>
          <w:lang w:val="fr-CH"/>
        </w:rPr>
        <w:t>R</w:t>
      </w:r>
      <w:r w:rsidR="0053160C" w:rsidRPr="00DD49DB">
        <w:rPr>
          <w:szCs w:val="24"/>
          <w:lang w:val="fr-CH"/>
        </w:rPr>
        <w:t>é</w:t>
      </w:r>
      <w:r w:rsidRPr="00DD49DB">
        <w:rPr>
          <w:szCs w:val="24"/>
          <w:lang w:val="fr-CH"/>
        </w:rPr>
        <w:t xml:space="preserve">gion 2, </w:t>
      </w:r>
      <w:r w:rsidR="0053160C" w:rsidRPr="00DD49DB">
        <w:rPr>
          <w:szCs w:val="24"/>
          <w:lang w:val="fr-CH"/>
        </w:rPr>
        <w:t xml:space="preserve">les bandes de la gamme de fréquences </w:t>
      </w:r>
      <w:r w:rsidRPr="00DD49DB">
        <w:rPr>
          <w:szCs w:val="24"/>
          <w:lang w:val="fr-CH"/>
        </w:rPr>
        <w:t>24</w:t>
      </w:r>
      <w:r w:rsidR="0053160C" w:rsidRPr="00DD49DB">
        <w:rPr>
          <w:szCs w:val="24"/>
          <w:lang w:val="fr-CH"/>
        </w:rPr>
        <w:t>,</w:t>
      </w:r>
      <w:r w:rsidR="0054185B" w:rsidRPr="00DD49DB">
        <w:rPr>
          <w:szCs w:val="24"/>
          <w:lang w:val="fr-CH"/>
        </w:rPr>
        <w:t>25-</w:t>
      </w:r>
      <w:r w:rsidRPr="00DD49DB">
        <w:rPr>
          <w:szCs w:val="24"/>
          <w:lang w:val="fr-CH"/>
        </w:rPr>
        <w:t>25</w:t>
      </w:r>
      <w:r w:rsidR="0053160C" w:rsidRPr="00DD49DB">
        <w:rPr>
          <w:szCs w:val="24"/>
          <w:lang w:val="fr-CH"/>
        </w:rPr>
        <w:t>,</w:t>
      </w:r>
      <w:r w:rsidRPr="00DD49DB">
        <w:rPr>
          <w:szCs w:val="24"/>
          <w:lang w:val="fr-CH"/>
        </w:rPr>
        <w:t>25 GHz</w:t>
      </w:r>
      <w:r w:rsidR="0053160C" w:rsidRPr="00DD49DB">
        <w:rPr>
          <w:szCs w:val="24"/>
          <w:lang w:val="fr-CH"/>
        </w:rPr>
        <w:t xml:space="preserve"> ne sont pas attribuées au </w:t>
      </w:r>
      <w:r w:rsidRPr="00DD49DB">
        <w:rPr>
          <w:szCs w:val="24"/>
          <w:lang w:val="fr-CH"/>
        </w:rPr>
        <w:t>service</w:t>
      </w:r>
      <w:r w:rsidR="0053160C" w:rsidRPr="00DD49DB">
        <w:rPr>
          <w:szCs w:val="24"/>
          <w:lang w:val="fr-CH"/>
        </w:rPr>
        <w:t xml:space="preserve"> fixe</w:t>
      </w:r>
      <w:r w:rsidRPr="00DD49DB">
        <w:rPr>
          <w:szCs w:val="24"/>
          <w:lang w:val="fr-CH"/>
        </w:rPr>
        <w:t>.</w:t>
      </w:r>
    </w:p>
    <w:p w:rsidR="00267CFA" w:rsidRPr="00DD49DB" w:rsidRDefault="00267CFA" w:rsidP="00B454DD">
      <w:pPr>
        <w:pStyle w:val="Proposal"/>
        <w:rPr>
          <w:lang w:val="fr-CH"/>
        </w:rPr>
      </w:pPr>
      <w:r w:rsidRPr="00DD49DB">
        <w:rPr>
          <w:u w:val="single"/>
          <w:lang w:val="fr-CH"/>
        </w:rPr>
        <w:t>NOC</w:t>
      </w:r>
      <w:r w:rsidRPr="00DD49DB">
        <w:rPr>
          <w:lang w:val="fr-CH"/>
        </w:rPr>
        <w:tab/>
        <w:t>USA/10A14A4/2</w:t>
      </w:r>
    </w:p>
    <w:p w:rsidR="00267CFA" w:rsidRPr="00DD49DB" w:rsidRDefault="00267CFA" w:rsidP="00B454DD">
      <w:pPr>
        <w:pStyle w:val="Tabletitle"/>
        <w:spacing w:before="120"/>
        <w:rPr>
          <w:color w:val="000000"/>
          <w:lang w:val="fr-CH"/>
        </w:rPr>
      </w:pPr>
      <w:r w:rsidRPr="00DD49DB">
        <w:rPr>
          <w:color w:val="000000"/>
          <w:lang w:val="fr-CH"/>
        </w:rPr>
        <w:t>24,75-29,9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267CFA" w:rsidRPr="00DD49DB" w:rsidTr="00E13B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Attribution aux services</w:t>
            </w:r>
          </w:p>
        </w:tc>
      </w:tr>
      <w:tr w:rsidR="00267CFA" w:rsidRPr="00DD49DB" w:rsidTr="00E13B5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head"/>
              <w:spacing w:before="20" w:after="2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Région 3</w:t>
            </w:r>
          </w:p>
        </w:tc>
      </w:tr>
      <w:tr w:rsidR="00267CFA" w:rsidRPr="00DD49DB" w:rsidTr="00E13B54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DD49DB">
              <w:rPr>
                <w:rStyle w:val="Tablefreq"/>
                <w:lang w:val="fr-CH"/>
              </w:rPr>
              <w:t>24,75-25,25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FIXE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FIXE PAR SATELLITE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ab/>
              <w:t>(Terre vers espace) 5.532B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DD49DB">
              <w:rPr>
                <w:rStyle w:val="Tablefreq"/>
                <w:lang w:val="fr-CH"/>
              </w:rPr>
              <w:t>24,75-25,25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FIXE PAR SATELLITE</w:t>
            </w:r>
            <w:r w:rsidRPr="00DD49DB">
              <w:rPr>
                <w:color w:val="000000"/>
                <w:lang w:val="fr-CH"/>
              </w:rPr>
              <w:br/>
              <w:t xml:space="preserve">(Terre vers espace)  </w:t>
            </w:r>
            <w:r w:rsidRPr="00DD49DB">
              <w:rPr>
                <w:rStyle w:val="Artref"/>
                <w:color w:val="000000"/>
                <w:lang w:val="fr-CH"/>
              </w:rPr>
              <w:t>5.535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FA" w:rsidRPr="00DD49DB" w:rsidRDefault="00267CFA" w:rsidP="00B454DD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  <w:r w:rsidRPr="00DD49DB">
              <w:rPr>
                <w:rStyle w:val="Tablefreq"/>
                <w:lang w:val="fr-CH"/>
              </w:rPr>
              <w:t>24,75-25,25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FIXE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FIXE PAR SATELLITE</w:t>
            </w:r>
            <w:r w:rsidRPr="00DD49DB">
              <w:rPr>
                <w:color w:val="000000"/>
                <w:lang w:val="fr-CH"/>
              </w:rPr>
              <w:br/>
              <w:t xml:space="preserve">(Terre vers espace)  </w:t>
            </w:r>
            <w:r w:rsidRPr="00DD49DB">
              <w:rPr>
                <w:rStyle w:val="Artref"/>
                <w:color w:val="000000"/>
                <w:lang w:val="fr-CH"/>
              </w:rPr>
              <w:t>5.535</w:t>
            </w:r>
          </w:p>
          <w:p w:rsidR="00267CFA" w:rsidRPr="00DD49DB" w:rsidRDefault="00267CFA" w:rsidP="00B454DD">
            <w:pPr>
              <w:pStyle w:val="TableTextS5"/>
              <w:spacing w:before="30" w:after="30"/>
              <w:rPr>
                <w:color w:val="000000"/>
                <w:lang w:val="fr-CH"/>
              </w:rPr>
            </w:pPr>
            <w:r w:rsidRPr="00DD49DB">
              <w:rPr>
                <w:color w:val="000000"/>
                <w:lang w:val="fr-CH"/>
              </w:rPr>
              <w:t>MOBILE</w:t>
            </w:r>
          </w:p>
        </w:tc>
      </w:tr>
    </w:tbl>
    <w:p w:rsidR="00670334" w:rsidRPr="00DD49DB" w:rsidRDefault="00670334" w:rsidP="00B454DD">
      <w:pPr>
        <w:pStyle w:val="Reasons"/>
        <w:rPr>
          <w:lang w:val="fr-CH"/>
        </w:rPr>
      </w:pPr>
      <w:r w:rsidRPr="00DD49DB">
        <w:rPr>
          <w:b/>
          <w:lang w:val="fr-CH"/>
        </w:rPr>
        <w:t>Motifs:</w:t>
      </w:r>
      <w:r w:rsidRPr="00DD49DB">
        <w:rPr>
          <w:lang w:val="fr-CH"/>
        </w:rPr>
        <w:tab/>
        <w:t xml:space="preserve">Dans la </w:t>
      </w:r>
      <w:r w:rsidRPr="00DD49DB">
        <w:rPr>
          <w:szCs w:val="24"/>
          <w:lang w:val="fr-CH"/>
        </w:rPr>
        <w:t xml:space="preserve">Résolution </w:t>
      </w:r>
      <w:r w:rsidRPr="00DD49DB">
        <w:rPr>
          <w:b/>
          <w:szCs w:val="24"/>
          <w:lang w:val="fr-CH"/>
        </w:rPr>
        <w:t>160 (CMR-15)</w:t>
      </w:r>
      <w:r w:rsidRPr="00DD49DB">
        <w:rPr>
          <w:szCs w:val="24"/>
          <w:lang w:val="fr-CH"/>
        </w:rPr>
        <w:t xml:space="preserve">, il est demandé d'identifier pour les stations HAPS des bandes de fréquences déjà attribuées au </w:t>
      </w:r>
      <w:r w:rsidR="0054185B" w:rsidRPr="00DD49DB">
        <w:rPr>
          <w:szCs w:val="24"/>
          <w:lang w:val="fr-CH"/>
        </w:rPr>
        <w:t xml:space="preserve">service fixe à titre primaire. </w:t>
      </w:r>
      <w:r w:rsidRPr="00DD49DB">
        <w:rPr>
          <w:szCs w:val="24"/>
          <w:lang w:val="fr-CH"/>
        </w:rPr>
        <w:t>Dans la Région 2, les bandes de</w:t>
      </w:r>
      <w:r w:rsidR="0054185B" w:rsidRPr="00DD49DB">
        <w:rPr>
          <w:szCs w:val="24"/>
          <w:lang w:val="fr-CH"/>
        </w:rPr>
        <w:t xml:space="preserve"> la gamme de fréquences 24,25-</w:t>
      </w:r>
      <w:r w:rsidRPr="00DD49DB">
        <w:rPr>
          <w:szCs w:val="24"/>
          <w:lang w:val="fr-CH"/>
        </w:rPr>
        <w:t>25,25 GHz ne sont pas attribuées au service fixe.</w:t>
      </w:r>
    </w:p>
    <w:p w:rsidR="00267CFA" w:rsidRPr="00DD49DB" w:rsidRDefault="00267CFA" w:rsidP="00B454DD">
      <w:pPr>
        <w:pStyle w:val="Proposal"/>
        <w:rPr>
          <w:lang w:val="fr-CH"/>
        </w:rPr>
      </w:pPr>
      <w:r w:rsidRPr="00DD49DB">
        <w:rPr>
          <w:lang w:val="fr-CH"/>
        </w:rPr>
        <w:lastRenderedPageBreak/>
        <w:t>SUP</w:t>
      </w:r>
      <w:r w:rsidRPr="00DD49DB">
        <w:rPr>
          <w:lang w:val="fr-CH"/>
        </w:rPr>
        <w:tab/>
        <w:t>USA/10A14A4/3</w:t>
      </w:r>
    </w:p>
    <w:p w:rsidR="00267CFA" w:rsidRPr="00DD49DB" w:rsidRDefault="00267CFA" w:rsidP="00B454DD">
      <w:pPr>
        <w:pStyle w:val="ResNo"/>
        <w:rPr>
          <w:lang w:val="fr-CH"/>
        </w:rPr>
      </w:pPr>
      <w:r w:rsidRPr="00DD49DB">
        <w:rPr>
          <w:caps w:val="0"/>
          <w:lang w:val="fr-CH"/>
        </w:rPr>
        <w:t xml:space="preserve">RÉSOLUTION </w:t>
      </w:r>
      <w:r w:rsidRPr="00DD49DB">
        <w:rPr>
          <w:rStyle w:val="href"/>
          <w:caps w:val="0"/>
          <w:lang w:val="fr-CH"/>
        </w:rPr>
        <w:t>160</w:t>
      </w:r>
      <w:r w:rsidRPr="00DD49DB">
        <w:rPr>
          <w:caps w:val="0"/>
          <w:lang w:val="fr-CH"/>
        </w:rPr>
        <w:t xml:space="preserve"> (CMR-15)</w:t>
      </w:r>
    </w:p>
    <w:p w:rsidR="00267CFA" w:rsidRPr="00DD49DB" w:rsidRDefault="00267CFA" w:rsidP="00B454DD">
      <w:pPr>
        <w:pStyle w:val="Restitle"/>
        <w:rPr>
          <w:lang w:val="fr-CH"/>
        </w:rPr>
      </w:pPr>
      <w:bookmarkStart w:id="11" w:name="_Toc450208629"/>
      <w:r w:rsidRPr="00DD49DB">
        <w:rPr>
          <w:lang w:val="fr-CH"/>
        </w:rPr>
        <w:t xml:space="preserve">Faciliter l'accès aux applications large bande assurées par les stations </w:t>
      </w:r>
      <w:r w:rsidRPr="00DD49DB">
        <w:rPr>
          <w:lang w:val="fr-CH"/>
        </w:rPr>
        <w:br/>
        <w:t>placées sur des plates-formes à haute altitude</w:t>
      </w:r>
      <w:bookmarkEnd w:id="11"/>
    </w:p>
    <w:p w:rsidR="00267CFA" w:rsidRPr="00DD49DB" w:rsidRDefault="00267CFA" w:rsidP="00B454DD">
      <w:pPr>
        <w:pStyle w:val="Reasons"/>
        <w:rPr>
          <w:lang w:val="fr-CH"/>
        </w:rPr>
      </w:pPr>
      <w:r w:rsidRPr="00DD49DB">
        <w:rPr>
          <w:b/>
          <w:lang w:val="fr-CH"/>
        </w:rPr>
        <w:t>Motifs:</w:t>
      </w:r>
      <w:r w:rsidRPr="00DD49DB">
        <w:rPr>
          <w:lang w:val="fr-CH"/>
        </w:rPr>
        <w:tab/>
      </w:r>
      <w:r w:rsidR="0053160C" w:rsidRPr="00DD49DB">
        <w:rPr>
          <w:lang w:val="fr-CH"/>
        </w:rPr>
        <w:t xml:space="preserve">Les travaux associés à la </w:t>
      </w:r>
      <w:r w:rsidRPr="00DD49DB">
        <w:rPr>
          <w:lang w:val="fr-CH"/>
        </w:rPr>
        <w:t>R</w:t>
      </w:r>
      <w:r w:rsidR="0053160C" w:rsidRPr="00DD49DB">
        <w:rPr>
          <w:lang w:val="fr-CH"/>
        </w:rPr>
        <w:t>é</w:t>
      </w:r>
      <w:r w:rsidRPr="00DD49DB">
        <w:rPr>
          <w:lang w:val="fr-CH"/>
        </w:rPr>
        <w:t xml:space="preserve">solution </w:t>
      </w:r>
      <w:r w:rsidRPr="00DD49DB">
        <w:rPr>
          <w:b/>
          <w:lang w:val="fr-CH"/>
        </w:rPr>
        <w:t>160 (</w:t>
      </w:r>
      <w:r w:rsidR="0053160C" w:rsidRPr="00DD49DB">
        <w:rPr>
          <w:b/>
          <w:lang w:val="fr-CH"/>
        </w:rPr>
        <w:t>CMR</w:t>
      </w:r>
      <w:r w:rsidR="00390229">
        <w:rPr>
          <w:b/>
          <w:lang w:val="fr-CH"/>
        </w:rPr>
        <w:t>-15</w:t>
      </w:r>
      <w:bookmarkStart w:id="12" w:name="_GoBack"/>
      <w:bookmarkEnd w:id="12"/>
      <w:r w:rsidRPr="00DD49DB">
        <w:rPr>
          <w:b/>
          <w:lang w:val="fr-CH"/>
        </w:rPr>
        <w:t>)</w:t>
      </w:r>
      <w:r w:rsidRPr="00DD49DB">
        <w:rPr>
          <w:lang w:val="fr-CH"/>
        </w:rPr>
        <w:t xml:space="preserve"> </w:t>
      </w:r>
      <w:r w:rsidR="0053160C" w:rsidRPr="00DD49DB">
        <w:rPr>
          <w:lang w:val="fr-CH"/>
        </w:rPr>
        <w:t>ont été achevés</w:t>
      </w:r>
      <w:r w:rsidRPr="00DD49DB">
        <w:rPr>
          <w:lang w:val="fr-CH"/>
        </w:rPr>
        <w:t>.</w:t>
      </w:r>
    </w:p>
    <w:p w:rsidR="0054185B" w:rsidRPr="00DD49DB" w:rsidRDefault="0054185B" w:rsidP="0054185B">
      <w:pPr>
        <w:rPr>
          <w:lang w:val="fr-CH"/>
        </w:rPr>
      </w:pPr>
    </w:p>
    <w:p w:rsidR="004F1F8E" w:rsidRPr="00DD49DB" w:rsidRDefault="0054185B" w:rsidP="000A6476">
      <w:pPr>
        <w:jc w:val="center"/>
        <w:rPr>
          <w:lang w:val="fr-CH"/>
        </w:rPr>
      </w:pPr>
      <w:r w:rsidRPr="00DD49DB">
        <w:rPr>
          <w:lang w:val="fr-CH"/>
        </w:rPr>
        <w:t>______________</w:t>
      </w:r>
    </w:p>
    <w:sectPr w:rsidR="004F1F8E" w:rsidRPr="00DD49D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AF" w:rsidRDefault="001077AF">
      <w:r>
        <w:separator/>
      </w:r>
    </w:p>
  </w:endnote>
  <w:endnote w:type="continuationSeparator" w:id="0">
    <w:p w:rsidR="001077AF" w:rsidRDefault="0010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49DB">
      <w:rPr>
        <w:noProof/>
        <w:lang w:val="en-US"/>
      </w:rPr>
      <w:t>P:\FRA\ITU-R\CONF-R\CMR19\000\010ADD14ADD04F.docx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0229">
      <w:rPr>
        <w:noProof/>
      </w:rPr>
      <w:t>04.06.19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9DB">
      <w:rPr>
        <w:noProof/>
      </w:rPr>
      <w:t>04.06.19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4DD" w:rsidRDefault="00B454DD" w:rsidP="00B454D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49DB">
      <w:rPr>
        <w:lang w:val="en-US"/>
      </w:rPr>
      <w:t>P:\FRA\ITU-R\CONF-R\CMR19\000\010ADD14ADD04F.docx</w:t>
    </w:r>
    <w:r>
      <w:fldChar w:fldCharType="end"/>
    </w:r>
    <w:r>
      <w:t xml:space="preserve"> (455275)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B454D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49DB">
      <w:rPr>
        <w:lang w:val="en-US"/>
      </w:rPr>
      <w:t>P:\FRA\ITU-R\CONF-R\CMR19\000\010ADD14ADD04F.docx</w:t>
    </w:r>
    <w:r>
      <w:fldChar w:fldCharType="end"/>
    </w:r>
    <w:r w:rsidR="00B454DD">
      <w:t xml:space="preserve"> (455275)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AF" w:rsidRDefault="001077AF">
      <w:r>
        <w:rPr>
          <w:b/>
        </w:rPr>
        <w:t>_______________</w:t>
      </w:r>
    </w:p>
  </w:footnote>
  <w:footnote w:type="continuationSeparator" w:id="0">
    <w:p w:rsidR="001077AF" w:rsidRDefault="00107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0229">
      <w:rPr>
        <w:noProof/>
      </w:rPr>
      <w:t>3</w:t>
    </w:r>
    <w:r>
      <w:fldChar w:fldCharType="end"/>
    </w:r>
  </w:p>
  <w:p w:rsidR="004F1F8E" w:rsidRDefault="004F1F8E" w:rsidP="00B454DD">
    <w:pPr>
      <w:pStyle w:val="Header"/>
    </w:pPr>
    <w:r>
      <w:t>CMR1</w:t>
    </w:r>
    <w:r w:rsidR="00587A4E">
      <w:t>9</w:t>
    </w:r>
    <w:r>
      <w:t>/</w:t>
    </w:r>
    <w:r w:rsidR="00B454DD">
      <w:t>10(Add.14)(Add.4)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6D26489"/>
    <w:multiLevelType w:val="hybridMultilevel"/>
    <w:tmpl w:val="42225CD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AF"/>
    <w:rsid w:val="00016648"/>
    <w:rsid w:val="0002249E"/>
    <w:rsid w:val="0003522F"/>
    <w:rsid w:val="00035278"/>
    <w:rsid w:val="00080E2C"/>
    <w:rsid w:val="000A4755"/>
    <w:rsid w:val="000A6476"/>
    <w:rsid w:val="000B2E0C"/>
    <w:rsid w:val="000B3D0C"/>
    <w:rsid w:val="000E3E9B"/>
    <w:rsid w:val="00105CC8"/>
    <w:rsid w:val="001077AF"/>
    <w:rsid w:val="001167B9"/>
    <w:rsid w:val="001267A0"/>
    <w:rsid w:val="00134655"/>
    <w:rsid w:val="00160C64"/>
    <w:rsid w:val="0019352B"/>
    <w:rsid w:val="001960D0"/>
    <w:rsid w:val="00232FD2"/>
    <w:rsid w:val="0026666D"/>
    <w:rsid w:val="00267CFA"/>
    <w:rsid w:val="002A4622"/>
    <w:rsid w:val="002B17E5"/>
    <w:rsid w:val="002C0EBF"/>
    <w:rsid w:val="002C5FCD"/>
    <w:rsid w:val="00315AFE"/>
    <w:rsid w:val="003606A6"/>
    <w:rsid w:val="0036650C"/>
    <w:rsid w:val="00390229"/>
    <w:rsid w:val="003A583E"/>
    <w:rsid w:val="003E112B"/>
    <w:rsid w:val="00416F68"/>
    <w:rsid w:val="00447151"/>
    <w:rsid w:val="00457428"/>
    <w:rsid w:val="00466211"/>
    <w:rsid w:val="004D01FC"/>
    <w:rsid w:val="004E087F"/>
    <w:rsid w:val="004E28C3"/>
    <w:rsid w:val="004F1F8E"/>
    <w:rsid w:val="0053160C"/>
    <w:rsid w:val="0054185B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70334"/>
    <w:rsid w:val="00701BAE"/>
    <w:rsid w:val="00730E95"/>
    <w:rsid w:val="007566DC"/>
    <w:rsid w:val="00774362"/>
    <w:rsid w:val="007A04E8"/>
    <w:rsid w:val="0084553F"/>
    <w:rsid w:val="00897494"/>
    <w:rsid w:val="008A3120"/>
    <w:rsid w:val="008C000E"/>
    <w:rsid w:val="008C7333"/>
    <w:rsid w:val="008D41BE"/>
    <w:rsid w:val="008D58D3"/>
    <w:rsid w:val="00923064"/>
    <w:rsid w:val="00930DBB"/>
    <w:rsid w:val="00936D25"/>
    <w:rsid w:val="00941EA5"/>
    <w:rsid w:val="00966C16"/>
    <w:rsid w:val="009765A8"/>
    <w:rsid w:val="0098732F"/>
    <w:rsid w:val="009C7E7C"/>
    <w:rsid w:val="00A00473"/>
    <w:rsid w:val="00A03C9B"/>
    <w:rsid w:val="00A606C3"/>
    <w:rsid w:val="00A83B09"/>
    <w:rsid w:val="00A84541"/>
    <w:rsid w:val="00AE36A0"/>
    <w:rsid w:val="00B00294"/>
    <w:rsid w:val="00B151B1"/>
    <w:rsid w:val="00B454DD"/>
    <w:rsid w:val="00B64FD0"/>
    <w:rsid w:val="00BF26E7"/>
    <w:rsid w:val="00C01C69"/>
    <w:rsid w:val="00C2461E"/>
    <w:rsid w:val="00C527E3"/>
    <w:rsid w:val="00C814B9"/>
    <w:rsid w:val="00CD516F"/>
    <w:rsid w:val="00CE2C8D"/>
    <w:rsid w:val="00CE6A1C"/>
    <w:rsid w:val="00D119A7"/>
    <w:rsid w:val="00D25FBA"/>
    <w:rsid w:val="00D31658"/>
    <w:rsid w:val="00D66EAC"/>
    <w:rsid w:val="00D730DF"/>
    <w:rsid w:val="00D772F0"/>
    <w:rsid w:val="00D77BDC"/>
    <w:rsid w:val="00D8241C"/>
    <w:rsid w:val="00DC402B"/>
    <w:rsid w:val="00DD49DB"/>
    <w:rsid w:val="00DE0932"/>
    <w:rsid w:val="00E049F1"/>
    <w:rsid w:val="00E37A25"/>
    <w:rsid w:val="00E70A31"/>
    <w:rsid w:val="00E847A0"/>
    <w:rsid w:val="00E977A2"/>
    <w:rsid w:val="00EA3F38"/>
    <w:rsid w:val="00EA5AB6"/>
    <w:rsid w:val="00EC7615"/>
    <w:rsid w:val="00ED16AA"/>
    <w:rsid w:val="00EF662E"/>
    <w:rsid w:val="00F148F1"/>
    <w:rsid w:val="00F9722E"/>
    <w:rsid w:val="00FA1320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19000D3-4C58-41DF-A5A3-900B9B49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customStyle="1" w:styleId="href">
    <w:name w:val="href"/>
    <w:basedOn w:val="DefaultParagraphFont"/>
    <w:rsid w:val="00267CFA"/>
  </w:style>
  <w:style w:type="character" w:styleId="Hyperlink">
    <w:name w:val="Hyperlink"/>
    <w:basedOn w:val="DefaultParagraphFont"/>
    <w:unhideWhenUsed/>
    <w:rsid w:val="00670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41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7750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Bouchard, Isabelle</dc:creator>
  <cp:keywords/>
  <cp:lastModifiedBy>Bonnici, Adrienne</cp:lastModifiedBy>
  <cp:revision>7</cp:revision>
  <cp:lastPrinted>2019-06-04T06:27:00Z</cp:lastPrinted>
  <dcterms:created xsi:type="dcterms:W3CDTF">2019-06-04T06:11:00Z</dcterms:created>
  <dcterms:modified xsi:type="dcterms:W3CDTF">2019-06-06T07:03:00Z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