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00" w:firstRow="0" w:lastRow="0" w:firstColumn="0" w:lastColumn="0" w:noHBand="0" w:noVBand="0"/>
      </w:tblPr>
      <w:tblGrid>
        <w:gridCol w:w="1384"/>
        <w:gridCol w:w="5103"/>
        <w:gridCol w:w="1843"/>
        <w:gridCol w:w="1559"/>
      </w:tblGrid>
      <w:tr w:rsidR="00722527" w:rsidTr="00815BD5">
        <w:trPr>
          <w:cantSplit/>
        </w:trPr>
        <w:tc>
          <w:tcPr>
            <w:tcW w:w="1384" w:type="dxa"/>
            <w:vAlign w:val="center"/>
          </w:tcPr>
          <w:p w:rsidR="00722527" w:rsidRPr="0051782D" w:rsidRDefault="00722527" w:rsidP="00815BD5">
            <w:pPr>
              <w:shd w:val="solid" w:color="FFFFFF" w:fill="FFFFFF"/>
              <w:rPr>
                <w:rFonts w:ascii="Verdana" w:hAnsi="Verdana" w:cs="Times New Roman Bold"/>
                <w:b/>
                <w:bCs/>
              </w:rPr>
            </w:pPr>
            <w:r w:rsidRPr="002B0BE0">
              <w:rPr>
                <w:rFonts w:ascii="Verdana" w:hAnsi="Verdana" w:cs="Times New Roman Bold"/>
                <w:b/>
                <w:bCs/>
                <w:noProof/>
                <w:sz w:val="20"/>
                <w:szCs w:val="26"/>
                <w:lang w:eastAsia="zh-CN"/>
              </w:rPr>
              <w:drawing>
                <wp:inline distT="0" distB="0" distL="0" distR="0" wp14:anchorId="5392D2F2" wp14:editId="42B368CD">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722527" w:rsidRPr="0051782D" w:rsidRDefault="00722527" w:rsidP="00815BD5">
            <w:pPr>
              <w:shd w:val="solid" w:color="FFFFFF" w:fill="FFFFFF"/>
              <w:tabs>
                <w:tab w:val="left" w:pos="601"/>
              </w:tabs>
              <w:spacing w:before="360" w:after="240"/>
              <w:jc w:val="left"/>
              <w:rPr>
                <w:rFonts w:ascii="Verdana" w:hAnsi="Verdana" w:cs="Times New Roman Bold"/>
                <w:b/>
                <w:bCs/>
              </w:rPr>
            </w:pPr>
            <w:r>
              <w:rPr>
                <w:rFonts w:ascii="Verdana" w:hAnsi="Verdana" w:cs="Times New Roman Bold"/>
                <w:b/>
                <w:sz w:val="26"/>
                <w:szCs w:val="26"/>
              </w:rPr>
              <w:tab/>
            </w:r>
            <w:r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Pr="0051782D">
              <w:rPr>
                <w:rFonts w:ascii="Verdana" w:hAnsi="Verdana" w:cs="Times New Roman Bold"/>
                <w:b/>
                <w:bCs/>
                <w:sz w:val="20"/>
              </w:rPr>
              <w:t xml:space="preserve">Geneva, </w:t>
            </w:r>
            <w:r>
              <w:rPr>
                <w:rFonts w:ascii="Verdana" w:hAnsi="Verdana" w:cs="Times New Roman Bold"/>
                <w:b/>
                <w:bCs/>
                <w:sz w:val="20"/>
              </w:rPr>
              <w:t>10-13 May 2016</w:t>
            </w:r>
          </w:p>
        </w:tc>
        <w:tc>
          <w:tcPr>
            <w:tcW w:w="1559" w:type="dxa"/>
            <w:vAlign w:val="center"/>
          </w:tcPr>
          <w:p w:rsidR="00722527" w:rsidRDefault="00722527" w:rsidP="00815BD5">
            <w:pPr>
              <w:shd w:val="solid" w:color="FFFFFF" w:fill="FFFFFF"/>
              <w:spacing w:line="240" w:lineRule="atLeast"/>
              <w:jc w:val="right"/>
            </w:pPr>
            <w:r w:rsidRPr="00975D6F">
              <w:rPr>
                <w:rFonts w:cs="Arial"/>
                <w:noProof/>
                <w:lang w:eastAsia="zh-CN"/>
              </w:rPr>
              <w:drawing>
                <wp:inline distT="0" distB="0" distL="0" distR="0" wp14:anchorId="77C866F9" wp14:editId="5E234AE0">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722527" w:rsidRPr="0051782D" w:rsidTr="00815BD5">
        <w:trPr>
          <w:cantSplit/>
        </w:trPr>
        <w:tc>
          <w:tcPr>
            <w:tcW w:w="6487" w:type="dxa"/>
            <w:gridSpan w:val="2"/>
            <w:tcBorders>
              <w:bottom w:val="single" w:sz="12" w:space="0" w:color="auto"/>
            </w:tcBorders>
          </w:tcPr>
          <w:p w:rsidR="00722527" w:rsidRPr="0051782D" w:rsidRDefault="00722527" w:rsidP="00815BD5">
            <w:pPr>
              <w:shd w:val="solid" w:color="FFFFFF" w:fill="FFFFFF"/>
              <w:spacing w:after="48"/>
              <w:rPr>
                <w:rFonts w:ascii="Verdana" w:hAnsi="Verdana" w:cs="Times New Roman Bold"/>
                <w:b/>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722527" w:rsidRPr="0051782D" w:rsidRDefault="00722527" w:rsidP="00815BD5">
            <w:pPr>
              <w:shd w:val="solid" w:color="FFFFFF" w:fill="FFFFFF"/>
              <w:spacing w:after="48" w:line="240" w:lineRule="atLeast"/>
            </w:pPr>
          </w:p>
        </w:tc>
      </w:tr>
      <w:tr w:rsidR="00722527" w:rsidTr="00815BD5">
        <w:trPr>
          <w:cantSplit/>
        </w:trPr>
        <w:tc>
          <w:tcPr>
            <w:tcW w:w="6487" w:type="dxa"/>
            <w:gridSpan w:val="2"/>
            <w:tcBorders>
              <w:top w:val="single" w:sz="12" w:space="0" w:color="auto"/>
            </w:tcBorders>
          </w:tcPr>
          <w:p w:rsidR="00722527" w:rsidRPr="0051782D" w:rsidRDefault="00722527" w:rsidP="00815BD5">
            <w:pPr>
              <w:shd w:val="solid" w:color="FFFFFF" w:fill="FFFFFF"/>
              <w:spacing w:after="48"/>
              <w:rPr>
                <w:rFonts w:ascii="Verdana" w:hAnsi="Verdana" w:cs="Times New Roman Bold"/>
                <w:bCs/>
              </w:rPr>
            </w:pPr>
          </w:p>
        </w:tc>
        <w:tc>
          <w:tcPr>
            <w:tcW w:w="3402" w:type="dxa"/>
            <w:gridSpan w:val="2"/>
            <w:tcBorders>
              <w:top w:val="single" w:sz="12" w:space="0" w:color="auto"/>
            </w:tcBorders>
          </w:tcPr>
          <w:p w:rsidR="00722527" w:rsidRPr="00710D66" w:rsidRDefault="00722527" w:rsidP="00815BD5">
            <w:pPr>
              <w:shd w:val="solid" w:color="FFFFFF" w:fill="FFFFFF"/>
              <w:spacing w:after="48" w:line="240" w:lineRule="atLeast"/>
            </w:pPr>
          </w:p>
        </w:tc>
      </w:tr>
      <w:tr w:rsidR="00722527" w:rsidTr="00815BD5">
        <w:trPr>
          <w:cantSplit/>
        </w:trPr>
        <w:tc>
          <w:tcPr>
            <w:tcW w:w="6487" w:type="dxa"/>
            <w:gridSpan w:val="2"/>
            <w:vMerge w:val="restart"/>
          </w:tcPr>
          <w:p w:rsidR="00722527" w:rsidRDefault="00722527" w:rsidP="00815BD5">
            <w:pPr>
              <w:shd w:val="solid" w:color="FFFFFF" w:fill="FFFFFF"/>
              <w:spacing w:after="240"/>
              <w:rPr>
                <w:sz w:val="20"/>
              </w:rPr>
            </w:pPr>
          </w:p>
        </w:tc>
        <w:tc>
          <w:tcPr>
            <w:tcW w:w="3402" w:type="dxa"/>
            <w:gridSpan w:val="2"/>
          </w:tcPr>
          <w:p w:rsidR="00722527" w:rsidRPr="00442884" w:rsidRDefault="00E303B1" w:rsidP="00815BD5">
            <w:pPr>
              <w:shd w:val="solid" w:color="FFFFFF" w:fill="FFFFFF"/>
              <w:spacing w:after="0" w:line="240" w:lineRule="auto"/>
              <w:rPr>
                <w:rFonts w:ascii="Verdana" w:hAnsi="Verdana"/>
                <w:sz w:val="20"/>
              </w:rPr>
            </w:pPr>
            <w:r>
              <w:rPr>
                <w:rFonts w:ascii="Verdana" w:hAnsi="Verdana"/>
                <w:b/>
                <w:sz w:val="20"/>
              </w:rPr>
              <w:t>Document RAG16/16</w:t>
            </w:r>
            <w:bookmarkStart w:id="0" w:name="_GoBack"/>
            <w:bookmarkEnd w:id="0"/>
            <w:r w:rsidR="00722527">
              <w:rPr>
                <w:rFonts w:ascii="Verdana" w:hAnsi="Verdana"/>
                <w:b/>
                <w:sz w:val="20"/>
              </w:rPr>
              <w:t>-E</w:t>
            </w:r>
          </w:p>
        </w:tc>
      </w:tr>
      <w:tr w:rsidR="00722527" w:rsidTr="00815BD5">
        <w:trPr>
          <w:cantSplit/>
        </w:trPr>
        <w:tc>
          <w:tcPr>
            <w:tcW w:w="6487" w:type="dxa"/>
            <w:gridSpan w:val="2"/>
            <w:vMerge/>
          </w:tcPr>
          <w:p w:rsidR="00722527" w:rsidRDefault="00722527" w:rsidP="00815BD5">
            <w:pPr>
              <w:spacing w:before="60"/>
              <w:jc w:val="center"/>
              <w:rPr>
                <w:b/>
                <w:smallCaps/>
                <w:sz w:val="32"/>
              </w:rPr>
            </w:pPr>
          </w:p>
        </w:tc>
        <w:tc>
          <w:tcPr>
            <w:tcW w:w="3402" w:type="dxa"/>
            <w:gridSpan w:val="2"/>
          </w:tcPr>
          <w:p w:rsidR="00722527" w:rsidRPr="00442884" w:rsidRDefault="00722527" w:rsidP="00C51E42">
            <w:pPr>
              <w:shd w:val="solid" w:color="FFFFFF" w:fill="FFFFFF"/>
              <w:spacing w:after="0" w:line="240" w:lineRule="auto"/>
              <w:rPr>
                <w:rFonts w:ascii="Verdana" w:hAnsi="Verdana"/>
                <w:sz w:val="20"/>
              </w:rPr>
            </w:pPr>
            <w:r>
              <w:rPr>
                <w:rFonts w:ascii="Verdana" w:hAnsi="Verdana"/>
                <w:b/>
                <w:sz w:val="20"/>
              </w:rPr>
              <w:t>1</w:t>
            </w:r>
            <w:r w:rsidR="00C51E42">
              <w:rPr>
                <w:rFonts w:ascii="Verdana" w:hAnsi="Verdana"/>
                <w:b/>
                <w:sz w:val="20"/>
              </w:rPr>
              <w:t xml:space="preserve">0 May </w:t>
            </w:r>
            <w:r>
              <w:rPr>
                <w:rFonts w:ascii="Verdana" w:hAnsi="Verdana"/>
                <w:b/>
                <w:sz w:val="20"/>
              </w:rPr>
              <w:t>2016</w:t>
            </w:r>
          </w:p>
        </w:tc>
      </w:tr>
      <w:tr w:rsidR="00722527" w:rsidTr="00815BD5">
        <w:trPr>
          <w:cantSplit/>
        </w:trPr>
        <w:tc>
          <w:tcPr>
            <w:tcW w:w="6487" w:type="dxa"/>
            <w:gridSpan w:val="2"/>
            <w:vMerge/>
          </w:tcPr>
          <w:p w:rsidR="00722527" w:rsidRDefault="00722527" w:rsidP="00815BD5">
            <w:pPr>
              <w:spacing w:before="60"/>
              <w:jc w:val="center"/>
              <w:rPr>
                <w:b/>
                <w:smallCaps/>
                <w:sz w:val="32"/>
              </w:rPr>
            </w:pPr>
          </w:p>
        </w:tc>
        <w:tc>
          <w:tcPr>
            <w:tcW w:w="3402" w:type="dxa"/>
            <w:gridSpan w:val="2"/>
          </w:tcPr>
          <w:p w:rsidR="00722527" w:rsidRPr="00442884" w:rsidRDefault="00722527" w:rsidP="00815BD5">
            <w:pPr>
              <w:shd w:val="solid" w:color="FFFFFF" w:fill="FFFFFF"/>
              <w:spacing w:after="0" w:line="240" w:lineRule="auto"/>
              <w:rPr>
                <w:rFonts w:ascii="Verdana" w:hAnsi="Verdana"/>
                <w:sz w:val="20"/>
              </w:rPr>
            </w:pPr>
            <w:r>
              <w:rPr>
                <w:rFonts w:ascii="Verdana" w:hAnsi="Verdana"/>
                <w:b/>
                <w:sz w:val="20"/>
              </w:rPr>
              <w:t>English</w:t>
            </w:r>
            <w:r w:rsidR="00C51E42">
              <w:rPr>
                <w:rFonts w:ascii="Verdana" w:hAnsi="Verdana"/>
                <w:b/>
                <w:sz w:val="20"/>
              </w:rPr>
              <w:t xml:space="preserve"> only</w:t>
            </w:r>
          </w:p>
        </w:tc>
      </w:tr>
      <w:tr w:rsidR="00722527" w:rsidTr="00815BD5">
        <w:trPr>
          <w:cantSplit/>
        </w:trPr>
        <w:tc>
          <w:tcPr>
            <w:tcW w:w="9889" w:type="dxa"/>
            <w:gridSpan w:val="4"/>
          </w:tcPr>
          <w:p w:rsidR="00722527" w:rsidRPr="00815BD5" w:rsidRDefault="00815BD5" w:rsidP="00815BD5">
            <w:pPr>
              <w:pStyle w:val="Source"/>
              <w:spacing w:before="840" w:after="200"/>
              <w:jc w:val="center"/>
              <w:rPr>
                <w:rFonts w:asciiTheme="majorBidi" w:hAnsiTheme="majorBidi" w:cstheme="majorBidi"/>
                <w:sz w:val="28"/>
                <w:szCs w:val="28"/>
              </w:rPr>
            </w:pPr>
            <w:r w:rsidRPr="00815BD5">
              <w:rPr>
                <w:rFonts w:asciiTheme="majorBidi" w:hAnsiTheme="majorBidi" w:cstheme="majorBidi"/>
                <w:caps/>
                <w:sz w:val="28"/>
                <w:szCs w:val="28"/>
              </w:rPr>
              <w:t>Tdag</w:t>
            </w:r>
          </w:p>
        </w:tc>
      </w:tr>
      <w:tr w:rsidR="00722527" w:rsidTr="00815BD5">
        <w:trPr>
          <w:cantSplit/>
        </w:trPr>
        <w:tc>
          <w:tcPr>
            <w:tcW w:w="9889" w:type="dxa"/>
            <w:gridSpan w:val="4"/>
          </w:tcPr>
          <w:p w:rsidR="00722527" w:rsidRPr="00815BD5" w:rsidRDefault="00815BD5" w:rsidP="00815BD5">
            <w:pPr>
              <w:pStyle w:val="Title1"/>
              <w:jc w:val="center"/>
              <w:rPr>
                <w:rFonts w:asciiTheme="majorBidi" w:hAnsiTheme="majorBidi" w:cstheme="majorBidi"/>
                <w:sz w:val="28"/>
                <w:szCs w:val="28"/>
              </w:rPr>
            </w:pPr>
            <w:r w:rsidRPr="00815BD5">
              <w:rPr>
                <w:rFonts w:asciiTheme="majorBidi" w:hAnsiTheme="majorBidi" w:cstheme="majorBidi"/>
                <w:b w:val="0"/>
                <w:bCs/>
                <w:sz w:val="28"/>
                <w:szCs w:val="28"/>
                <w:lang w:val="en-US"/>
              </w:rPr>
              <w:t xml:space="preserve">LIAISON STATEMENT FROM TDAG TO RAG AND TSAG </w:t>
            </w:r>
            <w:r w:rsidRPr="00815BD5">
              <w:rPr>
                <w:rFonts w:asciiTheme="majorBidi" w:hAnsiTheme="majorBidi" w:cstheme="majorBidi"/>
                <w:b w:val="0"/>
                <w:bCs/>
                <w:sz w:val="28"/>
                <w:szCs w:val="28"/>
                <w:lang w:val="en-US"/>
              </w:rPr>
              <w:br/>
              <w:t>ON INTER-SECTOR COORDINATION TEAM ON ISSUES OF MUTUAL INTEREST</w:t>
            </w:r>
          </w:p>
        </w:tc>
      </w:tr>
    </w:tbl>
    <w:p w:rsidR="00722527" w:rsidRDefault="00722527" w:rsidP="00A611D5"/>
    <w:p w:rsidR="00722527" w:rsidRDefault="00722527" w:rsidP="00722527"/>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722527" w:rsidRPr="00255C09" w:rsidTr="00722527">
        <w:trPr>
          <w:trHeight w:val="1701"/>
        </w:trPr>
        <w:tc>
          <w:tcPr>
            <w:tcW w:w="8931" w:type="dxa"/>
            <w:tcBorders>
              <w:top w:val="single" w:sz="12" w:space="0" w:color="auto"/>
              <w:left w:val="single" w:sz="12" w:space="0" w:color="auto"/>
              <w:bottom w:val="single" w:sz="12" w:space="0" w:color="auto"/>
              <w:right w:val="single" w:sz="12" w:space="0" w:color="auto"/>
            </w:tcBorders>
            <w:hideMark/>
          </w:tcPr>
          <w:p w:rsidR="00955A5F" w:rsidRPr="00955A5F" w:rsidRDefault="00955A5F" w:rsidP="00955A5F">
            <w:pPr>
              <w:keepNext/>
              <w:keepLines/>
              <w:tabs>
                <w:tab w:val="left" w:pos="567"/>
                <w:tab w:val="left" w:pos="1134"/>
                <w:tab w:val="left" w:pos="1701"/>
                <w:tab w:val="left" w:pos="2268"/>
                <w:tab w:val="left" w:pos="2835"/>
              </w:tabs>
              <w:spacing w:after="120"/>
              <w:ind w:left="567" w:hanging="567"/>
              <w:outlineLvl w:val="0"/>
              <w:rPr>
                <w:rFonts w:asciiTheme="majorBidi" w:hAnsiTheme="majorBidi" w:cstheme="majorBidi"/>
                <w:b/>
                <w:sz w:val="24"/>
                <w:szCs w:val="24"/>
              </w:rPr>
            </w:pPr>
            <w:r w:rsidRPr="00955A5F">
              <w:rPr>
                <w:rFonts w:asciiTheme="majorBidi" w:hAnsiTheme="majorBidi" w:cstheme="majorBidi"/>
                <w:b/>
                <w:sz w:val="24"/>
                <w:szCs w:val="24"/>
              </w:rPr>
              <w:t>Summary</w:t>
            </w:r>
          </w:p>
          <w:p w:rsidR="00955A5F" w:rsidRPr="00955A5F" w:rsidRDefault="00955A5F" w:rsidP="00955A5F">
            <w:pPr>
              <w:tabs>
                <w:tab w:val="left" w:pos="567"/>
                <w:tab w:val="left" w:pos="1134"/>
                <w:tab w:val="left" w:pos="1701"/>
                <w:tab w:val="left" w:pos="2268"/>
                <w:tab w:val="left" w:pos="2835"/>
              </w:tabs>
              <w:spacing w:after="120"/>
              <w:rPr>
                <w:rFonts w:asciiTheme="majorBidi" w:eastAsia="Calibri" w:hAnsiTheme="majorBidi" w:cstheme="majorBidi"/>
                <w:sz w:val="24"/>
                <w:szCs w:val="24"/>
              </w:rPr>
            </w:pPr>
            <w:r w:rsidRPr="00955A5F">
              <w:rPr>
                <w:rFonts w:asciiTheme="majorBidi" w:eastAsia="Calibri" w:hAnsiTheme="majorBidi" w:cstheme="majorBidi"/>
                <w:sz w:val="24"/>
                <w:szCs w:val="24"/>
              </w:rPr>
              <w:t>Th</w:t>
            </w:r>
            <w:r>
              <w:rPr>
                <w:rFonts w:asciiTheme="majorBidi" w:eastAsia="Calibri" w:hAnsiTheme="majorBidi" w:cstheme="majorBidi"/>
                <w:sz w:val="24"/>
                <w:szCs w:val="24"/>
              </w:rPr>
              <w:t>e attached TD</w:t>
            </w:r>
            <w:r w:rsidRPr="00955A5F">
              <w:rPr>
                <w:rFonts w:asciiTheme="majorBidi" w:eastAsia="Calibri" w:hAnsiTheme="majorBidi" w:cstheme="majorBidi"/>
                <w:sz w:val="24"/>
                <w:szCs w:val="24"/>
              </w:rPr>
              <w:t>AG document presents the liaison statement from TSAG on on inter-sector coordination team on issues of mutual interest.</w:t>
            </w:r>
          </w:p>
          <w:p w:rsidR="00955A5F" w:rsidRPr="00955A5F" w:rsidRDefault="00955A5F" w:rsidP="00955A5F">
            <w:pPr>
              <w:keepNext/>
              <w:keepLines/>
              <w:tabs>
                <w:tab w:val="left" w:pos="567"/>
                <w:tab w:val="left" w:pos="1134"/>
                <w:tab w:val="left" w:pos="1701"/>
                <w:tab w:val="left" w:pos="2268"/>
                <w:tab w:val="left" w:pos="2835"/>
              </w:tabs>
              <w:spacing w:after="120"/>
              <w:ind w:left="567" w:hanging="567"/>
              <w:outlineLvl w:val="0"/>
              <w:rPr>
                <w:rFonts w:asciiTheme="majorBidi" w:hAnsiTheme="majorBidi" w:cstheme="majorBidi"/>
                <w:b/>
                <w:sz w:val="24"/>
                <w:szCs w:val="24"/>
              </w:rPr>
            </w:pPr>
            <w:r w:rsidRPr="00955A5F">
              <w:rPr>
                <w:rFonts w:asciiTheme="majorBidi" w:hAnsiTheme="majorBidi" w:cstheme="majorBidi"/>
                <w:b/>
                <w:sz w:val="24"/>
                <w:szCs w:val="24"/>
              </w:rPr>
              <w:t>Action required</w:t>
            </w:r>
          </w:p>
          <w:p w:rsidR="00722527" w:rsidRPr="00255C09" w:rsidRDefault="00955A5F" w:rsidP="00891B0B">
            <w:pPr>
              <w:tabs>
                <w:tab w:val="left" w:pos="567"/>
                <w:tab w:val="left" w:pos="1134"/>
                <w:tab w:val="left" w:pos="1701"/>
                <w:tab w:val="left" w:pos="2268"/>
                <w:tab w:val="left" w:pos="2835"/>
              </w:tabs>
              <w:spacing w:after="120"/>
              <w:rPr>
                <w:rFonts w:ascii="Calibri" w:hAnsi="Calibri"/>
                <w:i/>
                <w:iCs/>
              </w:rPr>
            </w:pPr>
            <w:r w:rsidRPr="00955A5F">
              <w:rPr>
                <w:rFonts w:asciiTheme="majorBidi" w:hAnsiTheme="majorBidi" w:cstheme="majorBidi"/>
                <w:sz w:val="24"/>
                <w:szCs w:val="24"/>
              </w:rPr>
              <w:t xml:space="preserve">RAG is invited to </w:t>
            </w:r>
            <w:r w:rsidR="00891B0B">
              <w:rPr>
                <w:rFonts w:asciiTheme="majorBidi" w:hAnsiTheme="majorBidi" w:cstheme="majorBidi"/>
                <w:sz w:val="24"/>
                <w:szCs w:val="24"/>
              </w:rPr>
              <w:t>note</w:t>
            </w:r>
            <w:r w:rsidRPr="00955A5F">
              <w:rPr>
                <w:rFonts w:asciiTheme="majorBidi" w:hAnsiTheme="majorBidi" w:cstheme="majorBidi"/>
                <w:sz w:val="24"/>
                <w:szCs w:val="24"/>
              </w:rPr>
              <w:t xml:space="preserve"> </w:t>
            </w:r>
            <w:r w:rsidR="00891B0B">
              <w:rPr>
                <w:rFonts w:asciiTheme="majorBidi" w:hAnsiTheme="majorBidi" w:cstheme="majorBidi"/>
                <w:sz w:val="24"/>
                <w:szCs w:val="24"/>
              </w:rPr>
              <w:t>this document.</w:t>
            </w:r>
          </w:p>
        </w:tc>
      </w:tr>
    </w:tbl>
    <w:p w:rsidR="00722527" w:rsidRDefault="00722527" w:rsidP="00722527"/>
    <w:p w:rsidR="00815BD5" w:rsidRDefault="00815BD5" w:rsidP="00722527"/>
    <w:p w:rsidR="00815BD5" w:rsidRDefault="00815BD5" w:rsidP="00722527"/>
    <w:p w:rsidR="00815BD5" w:rsidRDefault="00815BD5">
      <w:pPr>
        <w:jc w:val="left"/>
      </w:pPr>
      <w:r>
        <w:br w:type="page"/>
      </w:r>
    </w:p>
    <w:p w:rsidR="00815BD5" w:rsidRDefault="00815BD5" w:rsidP="00815BD5">
      <w:pPr>
        <w:spacing w:after="200" w:line="276" w:lineRule="auto"/>
        <w:ind w:right="142"/>
        <w:rPr>
          <w:bCs/>
          <w:szCs w:val="24"/>
        </w:rPr>
      </w:pPr>
      <w:bookmarkStart w:id="1" w:name="dbreak"/>
      <w:bookmarkEnd w:id="1"/>
    </w:p>
    <w:tbl>
      <w:tblPr>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15BD5" w:rsidTr="00815BD5">
        <w:trPr>
          <w:cantSplit/>
        </w:trPr>
        <w:tc>
          <w:tcPr>
            <w:tcW w:w="6379" w:type="dxa"/>
          </w:tcPr>
          <w:p w:rsidR="00815BD5" w:rsidRPr="003325DD" w:rsidRDefault="00815BD5" w:rsidP="00815BD5">
            <w:pPr>
              <w:jc w:val="left"/>
              <w:rPr>
                <w:sz w:val="32"/>
                <w:szCs w:val="32"/>
              </w:rPr>
            </w:pPr>
            <w:bookmarkStart w:id="2" w:name="dtitle1" w:colFirst="1" w:colLast="1"/>
            <w:r w:rsidRPr="003325DD">
              <w:rPr>
                <w:b/>
                <w:bCs/>
                <w:sz w:val="32"/>
                <w:szCs w:val="32"/>
              </w:rPr>
              <w:t xml:space="preserve">Telecommunication Development </w:t>
            </w:r>
            <w:r w:rsidRPr="003325DD">
              <w:rPr>
                <w:b/>
                <w:bCs/>
                <w:sz w:val="32"/>
                <w:szCs w:val="32"/>
              </w:rPr>
              <w:br/>
              <w:t>Advisory Group (TDAG)</w:t>
            </w:r>
          </w:p>
          <w:p w:rsidR="00815BD5" w:rsidRPr="00844A56" w:rsidRDefault="00815BD5" w:rsidP="00815BD5">
            <w:pPr>
              <w:spacing w:after="40"/>
              <w:rPr>
                <w:rFonts w:ascii="Verdana" w:hAnsi="Verdana"/>
                <w:sz w:val="28"/>
                <w:szCs w:val="28"/>
              </w:rPr>
            </w:pPr>
          </w:p>
        </w:tc>
        <w:tc>
          <w:tcPr>
            <w:tcW w:w="3509" w:type="dxa"/>
          </w:tcPr>
          <w:p w:rsidR="00815BD5" w:rsidRPr="00683C32" w:rsidRDefault="00815BD5" w:rsidP="00815BD5">
            <w:pPr>
              <w:spacing w:before="40" w:after="80"/>
            </w:pPr>
            <w:bookmarkStart w:id="3" w:name="dlogo"/>
            <w:bookmarkEnd w:id="3"/>
            <w:r>
              <w:rPr>
                <w:noProof/>
                <w:lang w:eastAsia="zh-CN"/>
              </w:rPr>
              <w:drawing>
                <wp:inline distT="0" distB="0" distL="0" distR="0" wp14:anchorId="0AE9BEEC" wp14:editId="444E0AC6">
                  <wp:extent cx="1760220" cy="746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6760"/>
                          </a:xfrm>
                          <a:prstGeom prst="rect">
                            <a:avLst/>
                          </a:prstGeom>
                          <a:noFill/>
                          <a:ln>
                            <a:noFill/>
                          </a:ln>
                        </pic:spPr>
                      </pic:pic>
                    </a:graphicData>
                  </a:graphic>
                </wp:inline>
              </w:drawing>
            </w:r>
          </w:p>
        </w:tc>
      </w:tr>
      <w:tr w:rsidR="00815BD5" w:rsidRPr="008419B1" w:rsidTr="00815BD5">
        <w:trPr>
          <w:cantSplit/>
        </w:trPr>
        <w:tc>
          <w:tcPr>
            <w:tcW w:w="9888" w:type="dxa"/>
            <w:gridSpan w:val="2"/>
            <w:tcBorders>
              <w:bottom w:val="single" w:sz="12" w:space="0" w:color="auto"/>
            </w:tcBorders>
            <w:vAlign w:val="center"/>
          </w:tcPr>
          <w:p w:rsidR="00815BD5" w:rsidRPr="008419B1" w:rsidRDefault="00815BD5" w:rsidP="00815BD5">
            <w:pPr>
              <w:rPr>
                <w:b/>
                <w:bCs/>
                <w:szCs w:val="24"/>
              </w:rPr>
            </w:pPr>
            <w:r w:rsidRPr="001C1B69">
              <w:rPr>
                <w:b/>
                <w:bCs/>
                <w:sz w:val="26"/>
                <w:szCs w:val="26"/>
              </w:rPr>
              <w:t>2</w:t>
            </w:r>
            <w:r>
              <w:rPr>
                <w:b/>
                <w:bCs/>
                <w:sz w:val="26"/>
                <w:szCs w:val="26"/>
              </w:rPr>
              <w:t>1st</w:t>
            </w:r>
            <w:r w:rsidRPr="001C1B69">
              <w:rPr>
                <w:b/>
                <w:bCs/>
                <w:sz w:val="26"/>
                <w:szCs w:val="26"/>
              </w:rPr>
              <w:t xml:space="preserve"> Meeting, Geneva</w:t>
            </w:r>
            <w:r>
              <w:rPr>
                <w:b/>
                <w:bCs/>
                <w:sz w:val="26"/>
                <w:szCs w:val="26"/>
              </w:rPr>
              <w:t xml:space="preserve">, </w:t>
            </w:r>
            <w:r w:rsidRPr="00010827">
              <w:rPr>
                <w:b/>
                <w:bCs/>
                <w:sz w:val="26"/>
                <w:szCs w:val="26"/>
              </w:rPr>
              <w:t>16-18 March 2016</w:t>
            </w:r>
          </w:p>
        </w:tc>
      </w:tr>
      <w:tr w:rsidR="00815BD5" w:rsidRPr="00997358" w:rsidTr="00815BD5">
        <w:trPr>
          <w:cantSplit/>
        </w:trPr>
        <w:tc>
          <w:tcPr>
            <w:tcW w:w="6379" w:type="dxa"/>
          </w:tcPr>
          <w:p w:rsidR="00815BD5" w:rsidRPr="00997358" w:rsidRDefault="00815BD5" w:rsidP="00815BD5">
            <w:pPr>
              <w:rPr>
                <w:rFonts w:cs="Arial"/>
                <w:b/>
                <w:bCs/>
                <w:sz w:val="20"/>
              </w:rPr>
            </w:pPr>
          </w:p>
        </w:tc>
        <w:tc>
          <w:tcPr>
            <w:tcW w:w="3509" w:type="dxa"/>
          </w:tcPr>
          <w:p w:rsidR="00815BD5" w:rsidRPr="00997358" w:rsidRDefault="00815BD5" w:rsidP="00815BD5">
            <w:pPr>
              <w:rPr>
                <w:b/>
                <w:bCs/>
                <w:sz w:val="20"/>
              </w:rPr>
            </w:pPr>
          </w:p>
        </w:tc>
      </w:tr>
      <w:tr w:rsidR="00815BD5" w:rsidRPr="009E319E" w:rsidTr="00815BD5">
        <w:trPr>
          <w:cantSplit/>
        </w:trPr>
        <w:tc>
          <w:tcPr>
            <w:tcW w:w="6379" w:type="dxa"/>
            <w:vMerge w:val="restart"/>
          </w:tcPr>
          <w:p w:rsidR="00815BD5" w:rsidRPr="00997358" w:rsidRDefault="00815BD5" w:rsidP="00815BD5">
            <w:pPr>
              <w:rPr>
                <w:rFonts w:cs="Arial"/>
                <w:b/>
                <w:bCs/>
                <w:sz w:val="20"/>
              </w:rPr>
            </w:pPr>
            <w:bookmarkStart w:id="4" w:name="dspace"/>
          </w:p>
        </w:tc>
        <w:tc>
          <w:tcPr>
            <w:tcW w:w="3509" w:type="dxa"/>
          </w:tcPr>
          <w:p w:rsidR="00815BD5" w:rsidRPr="00815BD5" w:rsidRDefault="00815BD5" w:rsidP="00815BD5">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z w:val="24"/>
                <w:szCs w:val="24"/>
                <w:lang w:val="fr-CH"/>
              </w:rPr>
            </w:pPr>
            <w:r w:rsidRPr="00815BD5">
              <w:rPr>
                <w:rFonts w:eastAsia="Times New Roman" w:cs="Times New Roman"/>
                <w:b/>
                <w:bCs/>
                <w:sz w:val="24"/>
                <w:szCs w:val="24"/>
                <w:lang w:val="fr-CH"/>
              </w:rPr>
              <w:t>Document TDAG16-21/LS/1-E</w:t>
            </w:r>
          </w:p>
        </w:tc>
      </w:tr>
      <w:tr w:rsidR="00815BD5" w:rsidRPr="009E319E" w:rsidTr="00815BD5">
        <w:trPr>
          <w:cantSplit/>
        </w:trPr>
        <w:tc>
          <w:tcPr>
            <w:tcW w:w="6379" w:type="dxa"/>
            <w:vMerge/>
          </w:tcPr>
          <w:p w:rsidR="00815BD5" w:rsidRPr="009E319E" w:rsidRDefault="00815BD5" w:rsidP="00815BD5">
            <w:pPr>
              <w:pStyle w:val="Committee"/>
              <w:rPr>
                <w:b w:val="0"/>
                <w:lang w:val="fr-CH"/>
              </w:rPr>
            </w:pPr>
            <w:bookmarkStart w:id="5" w:name="dmeeting" w:colFirst="0" w:colLast="0"/>
            <w:bookmarkStart w:id="6" w:name="dnum" w:colFirst="1" w:colLast="1"/>
            <w:bookmarkEnd w:id="4"/>
          </w:p>
        </w:tc>
        <w:tc>
          <w:tcPr>
            <w:tcW w:w="3509" w:type="dxa"/>
          </w:tcPr>
          <w:p w:rsidR="00815BD5" w:rsidRPr="00815BD5" w:rsidRDefault="00815BD5" w:rsidP="00815BD5">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z w:val="24"/>
                <w:szCs w:val="24"/>
                <w:lang w:val="fr-CH"/>
              </w:rPr>
            </w:pPr>
            <w:r w:rsidRPr="00815BD5">
              <w:rPr>
                <w:rFonts w:eastAsia="Times New Roman" w:cs="Times New Roman"/>
                <w:b/>
                <w:bCs/>
                <w:sz w:val="24"/>
                <w:szCs w:val="24"/>
                <w:lang w:val="fr-CH"/>
              </w:rPr>
              <w:t>10 May 2016</w:t>
            </w:r>
          </w:p>
        </w:tc>
      </w:tr>
      <w:tr w:rsidR="00815BD5" w:rsidTr="00815BD5">
        <w:trPr>
          <w:cantSplit/>
          <w:trHeight w:val="826"/>
        </w:trPr>
        <w:tc>
          <w:tcPr>
            <w:tcW w:w="6379" w:type="dxa"/>
            <w:vMerge/>
          </w:tcPr>
          <w:p w:rsidR="00815BD5" w:rsidRPr="009E319E" w:rsidRDefault="00815BD5" w:rsidP="00815BD5">
            <w:pPr>
              <w:spacing w:after="120"/>
              <w:rPr>
                <w:b/>
                <w:bCs/>
                <w:smallCaps/>
                <w:lang w:val="fr-CH"/>
              </w:rPr>
            </w:pPr>
            <w:bookmarkStart w:id="7" w:name="ddate" w:colFirst="1" w:colLast="1"/>
            <w:bookmarkEnd w:id="5"/>
            <w:bookmarkEnd w:id="6"/>
          </w:p>
        </w:tc>
        <w:tc>
          <w:tcPr>
            <w:tcW w:w="3509" w:type="dxa"/>
          </w:tcPr>
          <w:p w:rsidR="00815BD5" w:rsidRPr="00815BD5" w:rsidRDefault="00815BD5" w:rsidP="00815BD5">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z w:val="24"/>
                <w:szCs w:val="24"/>
                <w:lang w:val="fr-CH"/>
              </w:rPr>
            </w:pPr>
            <w:r w:rsidRPr="00815BD5">
              <w:rPr>
                <w:rFonts w:eastAsia="Times New Roman" w:cs="Times New Roman"/>
                <w:b/>
                <w:bCs/>
                <w:sz w:val="24"/>
                <w:szCs w:val="24"/>
                <w:lang w:val="fr-CH"/>
              </w:rPr>
              <w:t>English only</w:t>
            </w:r>
          </w:p>
        </w:tc>
      </w:tr>
      <w:tr w:rsidR="00815BD5" w:rsidTr="00815BD5">
        <w:trPr>
          <w:cantSplit/>
          <w:trHeight w:val="852"/>
        </w:trPr>
        <w:tc>
          <w:tcPr>
            <w:tcW w:w="9888" w:type="dxa"/>
            <w:gridSpan w:val="2"/>
          </w:tcPr>
          <w:p w:rsidR="00815BD5" w:rsidRPr="003604FB" w:rsidRDefault="00815BD5" w:rsidP="00815BD5">
            <w:pPr>
              <w:pStyle w:val="Source"/>
              <w:jc w:val="center"/>
              <w:rPr>
                <w:sz w:val="28"/>
                <w:szCs w:val="28"/>
              </w:rPr>
            </w:pPr>
            <w:bookmarkStart w:id="8" w:name="dsource" w:colFirst="1" w:colLast="1"/>
            <w:bookmarkEnd w:id="7"/>
            <w:r w:rsidRPr="00340C35">
              <w:rPr>
                <w:rFonts w:ascii="Calibri" w:hAnsi="Calibri"/>
                <w:caps/>
                <w:sz w:val="28"/>
                <w:szCs w:val="28"/>
              </w:rPr>
              <w:t>T</w:t>
            </w:r>
            <w:r w:rsidRPr="00CE0C41">
              <w:rPr>
                <w:rFonts w:ascii="Calibri" w:hAnsi="Calibri"/>
                <w:sz w:val="28"/>
                <w:szCs w:val="28"/>
              </w:rPr>
              <w:t xml:space="preserve">elecommunication </w:t>
            </w:r>
            <w:r>
              <w:rPr>
                <w:rFonts w:ascii="Calibri" w:hAnsi="Calibri"/>
                <w:sz w:val="28"/>
                <w:szCs w:val="28"/>
              </w:rPr>
              <w:t>D</w:t>
            </w:r>
            <w:r w:rsidRPr="00CE0C41">
              <w:rPr>
                <w:rFonts w:ascii="Calibri" w:hAnsi="Calibri"/>
                <w:sz w:val="28"/>
                <w:szCs w:val="28"/>
              </w:rPr>
              <w:t xml:space="preserve">evelopment </w:t>
            </w:r>
            <w:r>
              <w:rPr>
                <w:rFonts w:ascii="Calibri" w:hAnsi="Calibri"/>
                <w:sz w:val="28"/>
                <w:szCs w:val="28"/>
              </w:rPr>
              <w:t>Advisory Group</w:t>
            </w:r>
            <w:r>
              <w:rPr>
                <w:caps/>
                <w:sz w:val="28"/>
                <w:szCs w:val="28"/>
              </w:rPr>
              <w:t xml:space="preserve"> (Tdag)</w:t>
            </w:r>
          </w:p>
        </w:tc>
      </w:tr>
      <w:tr w:rsidR="00815BD5" w:rsidRPr="004A2A35" w:rsidTr="00815BD5">
        <w:trPr>
          <w:cantSplit/>
          <w:trHeight w:val="852"/>
        </w:trPr>
        <w:tc>
          <w:tcPr>
            <w:tcW w:w="9888" w:type="dxa"/>
            <w:gridSpan w:val="2"/>
          </w:tcPr>
          <w:p w:rsidR="00815BD5" w:rsidRPr="00F31C35" w:rsidRDefault="00815BD5" w:rsidP="00815BD5">
            <w:pPr>
              <w:pStyle w:val="Source"/>
              <w:jc w:val="center"/>
              <w:rPr>
                <w:b w:val="0"/>
                <w:bCs/>
                <w:sz w:val="28"/>
                <w:szCs w:val="28"/>
              </w:rPr>
            </w:pPr>
            <w:r w:rsidRPr="00F31C35">
              <w:rPr>
                <w:b w:val="0"/>
                <w:bCs/>
                <w:sz w:val="28"/>
                <w:szCs w:val="28"/>
                <w:lang w:val="en-US"/>
              </w:rPr>
              <w:t xml:space="preserve">LIAISON STATEMENT FROM TDAG TO RAG AND TSAG </w:t>
            </w:r>
            <w:r>
              <w:rPr>
                <w:b w:val="0"/>
                <w:bCs/>
                <w:sz w:val="28"/>
                <w:szCs w:val="28"/>
                <w:lang w:val="en-US"/>
              </w:rPr>
              <w:br/>
            </w:r>
            <w:r w:rsidRPr="00F31C35">
              <w:rPr>
                <w:b w:val="0"/>
                <w:bCs/>
                <w:sz w:val="28"/>
                <w:szCs w:val="28"/>
                <w:lang w:val="en-US"/>
              </w:rPr>
              <w:t xml:space="preserve">ON </w:t>
            </w:r>
            <w:r>
              <w:rPr>
                <w:b w:val="0"/>
                <w:bCs/>
                <w:sz w:val="28"/>
                <w:szCs w:val="28"/>
                <w:lang w:val="en-US"/>
              </w:rPr>
              <w:t xml:space="preserve">INTER-SECTOR COORDINATION TEAM ON </w:t>
            </w:r>
            <w:r w:rsidRPr="00F31C35">
              <w:rPr>
                <w:b w:val="0"/>
                <w:bCs/>
                <w:sz w:val="28"/>
                <w:szCs w:val="28"/>
                <w:lang w:val="en-US"/>
              </w:rPr>
              <w:t xml:space="preserve">ISSUES OF MUTUAL INTEREST </w:t>
            </w:r>
          </w:p>
        </w:tc>
      </w:tr>
      <w:bookmarkEnd w:id="2"/>
      <w:bookmarkEnd w:id="8"/>
    </w:tbl>
    <w:p w:rsidR="00815BD5" w:rsidRPr="004A2A35" w:rsidRDefault="00815BD5" w:rsidP="00815BD5">
      <w:pPr>
        <w:spacing w:after="200" w:line="276" w:lineRule="auto"/>
        <w:ind w:right="142"/>
        <w:rPr>
          <w:bCs/>
          <w:szCs w:val="24"/>
        </w:rPr>
      </w:pPr>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10517"/>
      </w:tblGrid>
      <w:tr w:rsidR="00815BD5" w:rsidRPr="009B0A80" w:rsidTr="00EE16DA">
        <w:trPr>
          <w:trHeight w:val="20"/>
        </w:trPr>
        <w:tc>
          <w:tcPr>
            <w:tcW w:w="5000" w:type="pct"/>
          </w:tcPr>
          <w:p w:rsidR="00815BD5" w:rsidRPr="00755BF8" w:rsidRDefault="00815BD5" w:rsidP="00EE16DA">
            <w:pPr>
              <w:pStyle w:val="Banner"/>
              <w:tabs>
                <w:tab w:val="left" w:pos="928"/>
              </w:tabs>
              <w:spacing w:before="120" w:after="120"/>
              <w:ind w:left="0" w:firstLine="0"/>
              <w:rPr>
                <w:rFonts w:asciiTheme="minorHAnsi" w:hAnsiTheme="minorHAnsi"/>
                <w:b/>
                <w:sz w:val="24"/>
                <w:szCs w:val="24"/>
                <w:lang w:val="en-US"/>
              </w:rPr>
            </w:pPr>
            <w:r w:rsidRPr="00755BF8">
              <w:rPr>
                <w:rFonts w:asciiTheme="minorHAnsi" w:hAnsiTheme="minorHAnsi"/>
                <w:b/>
                <w:sz w:val="24"/>
                <w:szCs w:val="24"/>
                <w:lang w:val="en-US"/>
              </w:rPr>
              <w:t>Summary:</w:t>
            </w:r>
          </w:p>
          <w:p w:rsidR="00815BD5" w:rsidRDefault="00815BD5" w:rsidP="00EE16DA">
            <w:pPr>
              <w:pStyle w:val="Banner"/>
              <w:tabs>
                <w:tab w:val="left" w:pos="928"/>
              </w:tabs>
              <w:spacing w:before="120" w:after="120"/>
              <w:ind w:left="0" w:firstLine="0"/>
              <w:rPr>
                <w:rFonts w:asciiTheme="minorHAnsi" w:hAnsiTheme="minorHAnsi"/>
                <w:bCs/>
                <w:sz w:val="24"/>
                <w:szCs w:val="24"/>
                <w:lang w:val="en-US"/>
              </w:rPr>
            </w:pPr>
            <w:r>
              <w:rPr>
                <w:rFonts w:asciiTheme="minorHAnsi" w:hAnsiTheme="minorHAnsi"/>
                <w:bCs/>
                <w:sz w:val="24"/>
                <w:szCs w:val="24"/>
                <w:lang w:val="en-US"/>
              </w:rPr>
              <w:t>TDAG, at its 21</w:t>
            </w:r>
            <w:r w:rsidRPr="00BD53FD">
              <w:rPr>
                <w:rFonts w:asciiTheme="minorHAnsi" w:hAnsiTheme="minorHAnsi"/>
                <w:bCs/>
                <w:sz w:val="24"/>
                <w:szCs w:val="24"/>
                <w:vertAlign w:val="superscript"/>
                <w:lang w:val="en-US"/>
              </w:rPr>
              <w:t>st</w:t>
            </w:r>
            <w:r>
              <w:rPr>
                <w:rFonts w:asciiTheme="minorHAnsi" w:hAnsiTheme="minorHAnsi"/>
                <w:bCs/>
                <w:sz w:val="24"/>
                <w:szCs w:val="24"/>
                <w:lang w:val="en-US"/>
              </w:rPr>
              <w:t xml:space="preserve"> meeting, approved the revised Terms of Reference of the Inter-Sector Team on Issues of Mutual Interest (attached as Annex 1) with the appointment of the new chairman. In addition, TDAG agreed to send the list of proposed areas of mutual interest (attached as Annex 2), based on the inputs from the three Sector advisory groups, and the revised Terms of Reference, together with the report by the chairman of the team to other two advisory groups.  An updated calendar of ITU events is also attached (as Annex 3) for reference.</w:t>
            </w:r>
          </w:p>
          <w:p w:rsidR="00815BD5" w:rsidRPr="00755BF8" w:rsidRDefault="00815BD5" w:rsidP="00EE16DA">
            <w:pPr>
              <w:pStyle w:val="Banner"/>
              <w:tabs>
                <w:tab w:val="left" w:pos="928"/>
              </w:tabs>
              <w:spacing w:before="120" w:after="120"/>
              <w:ind w:left="0" w:firstLine="0"/>
              <w:rPr>
                <w:rFonts w:asciiTheme="minorHAnsi" w:hAnsiTheme="minorHAnsi"/>
                <w:b/>
                <w:sz w:val="24"/>
                <w:szCs w:val="24"/>
                <w:lang w:val="en-US"/>
              </w:rPr>
            </w:pPr>
            <w:r w:rsidRPr="00755BF8">
              <w:rPr>
                <w:rFonts w:asciiTheme="minorHAnsi" w:hAnsiTheme="minorHAnsi"/>
                <w:b/>
                <w:sz w:val="24"/>
                <w:szCs w:val="24"/>
                <w:lang w:val="en-US"/>
              </w:rPr>
              <w:t>Summary:</w:t>
            </w:r>
          </w:p>
          <w:p w:rsidR="00815BD5" w:rsidRPr="00F31C35" w:rsidRDefault="00815BD5" w:rsidP="00EE16DA">
            <w:pPr>
              <w:pStyle w:val="Banner"/>
              <w:tabs>
                <w:tab w:val="left" w:pos="928"/>
              </w:tabs>
              <w:spacing w:before="120" w:after="120"/>
              <w:ind w:left="0" w:firstLine="0"/>
              <w:rPr>
                <w:rFonts w:asciiTheme="minorHAnsi" w:hAnsiTheme="minorHAnsi"/>
                <w:bCs/>
                <w:sz w:val="24"/>
                <w:szCs w:val="24"/>
                <w:lang w:val="en-US"/>
              </w:rPr>
            </w:pPr>
            <w:r>
              <w:rPr>
                <w:rFonts w:asciiTheme="minorHAnsi" w:hAnsiTheme="minorHAnsi"/>
                <w:bCs/>
                <w:sz w:val="24"/>
                <w:szCs w:val="24"/>
                <w:lang w:val="en-US"/>
              </w:rPr>
              <w:t>RAG and TSAG are invited to note the above mentioned documents.</w:t>
            </w:r>
          </w:p>
        </w:tc>
      </w:tr>
    </w:tbl>
    <w:p w:rsidR="00815BD5" w:rsidRDefault="00815BD5" w:rsidP="00815BD5"/>
    <w:p w:rsidR="00815BD5" w:rsidRDefault="00815BD5" w:rsidP="00815BD5">
      <w:r>
        <w:br w:type="page"/>
      </w:r>
    </w:p>
    <w:tbl>
      <w:tblPr>
        <w:tblW w:w="1034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804"/>
        <w:gridCol w:w="3544"/>
      </w:tblGrid>
      <w:tr w:rsidR="00815BD5" w:rsidTr="00815BD5">
        <w:trPr>
          <w:cantSplit/>
        </w:trPr>
        <w:tc>
          <w:tcPr>
            <w:tcW w:w="6804" w:type="dxa"/>
          </w:tcPr>
          <w:p w:rsidR="00815BD5" w:rsidRPr="001C1B69" w:rsidRDefault="00815BD5" w:rsidP="00815BD5">
            <w:pPr>
              <w:jc w:val="left"/>
              <w:rPr>
                <w:rFonts w:ascii="Verdana" w:hAnsi="Verdana"/>
                <w:sz w:val="26"/>
                <w:szCs w:val="26"/>
              </w:rPr>
            </w:pPr>
            <w:r w:rsidRPr="001C1B69">
              <w:rPr>
                <w:b/>
                <w:bCs/>
                <w:sz w:val="32"/>
                <w:szCs w:val="32"/>
              </w:rPr>
              <w:t xml:space="preserve">Telecommunication Development </w:t>
            </w:r>
            <w:r>
              <w:rPr>
                <w:b/>
                <w:bCs/>
                <w:sz w:val="32"/>
                <w:szCs w:val="32"/>
              </w:rPr>
              <w:br/>
            </w:r>
            <w:r w:rsidRPr="001C1B69">
              <w:rPr>
                <w:b/>
                <w:bCs/>
                <w:sz w:val="32"/>
                <w:szCs w:val="32"/>
              </w:rPr>
              <w:t>Advisory Group (TDAG)</w:t>
            </w:r>
          </w:p>
        </w:tc>
        <w:tc>
          <w:tcPr>
            <w:tcW w:w="3544" w:type="dxa"/>
          </w:tcPr>
          <w:p w:rsidR="00815BD5" w:rsidRPr="00683C32" w:rsidRDefault="00815BD5" w:rsidP="00815BD5">
            <w:pPr>
              <w:spacing w:before="40" w:after="80"/>
            </w:pPr>
            <w:r>
              <w:rPr>
                <w:noProof/>
                <w:lang w:eastAsia="zh-CN"/>
              </w:rPr>
              <w:drawing>
                <wp:inline distT="0" distB="0" distL="0" distR="0" wp14:anchorId="7E97D883" wp14:editId="225A1643">
                  <wp:extent cx="176022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6760"/>
                          </a:xfrm>
                          <a:prstGeom prst="rect">
                            <a:avLst/>
                          </a:prstGeom>
                          <a:noFill/>
                          <a:ln>
                            <a:noFill/>
                          </a:ln>
                        </pic:spPr>
                      </pic:pic>
                    </a:graphicData>
                  </a:graphic>
                </wp:inline>
              </w:drawing>
            </w:r>
          </w:p>
        </w:tc>
      </w:tr>
      <w:tr w:rsidR="00815BD5" w:rsidRPr="008419B1" w:rsidTr="00815BD5">
        <w:trPr>
          <w:cantSplit/>
        </w:trPr>
        <w:tc>
          <w:tcPr>
            <w:tcW w:w="10348" w:type="dxa"/>
            <w:gridSpan w:val="2"/>
            <w:tcBorders>
              <w:bottom w:val="single" w:sz="12" w:space="0" w:color="auto"/>
            </w:tcBorders>
            <w:vAlign w:val="center"/>
          </w:tcPr>
          <w:p w:rsidR="00815BD5" w:rsidRPr="008419B1" w:rsidRDefault="00815BD5" w:rsidP="00815BD5">
            <w:pPr>
              <w:rPr>
                <w:b/>
                <w:bCs/>
                <w:szCs w:val="24"/>
              </w:rPr>
            </w:pPr>
            <w:r>
              <w:rPr>
                <w:b/>
                <w:bCs/>
                <w:szCs w:val="24"/>
              </w:rPr>
              <w:t>21</w:t>
            </w:r>
            <w:r w:rsidRPr="002D4A3E">
              <w:rPr>
                <w:b/>
                <w:bCs/>
                <w:szCs w:val="24"/>
                <w:vertAlign w:val="superscript"/>
              </w:rPr>
              <w:t>st</w:t>
            </w:r>
            <w:r>
              <w:rPr>
                <w:b/>
                <w:bCs/>
                <w:szCs w:val="24"/>
              </w:rPr>
              <w:t xml:space="preserve"> Meeting, Geneva, 16-18 March 2016</w:t>
            </w:r>
          </w:p>
        </w:tc>
      </w:tr>
      <w:tr w:rsidR="00815BD5" w:rsidRPr="00997358" w:rsidTr="00815BD5">
        <w:trPr>
          <w:cantSplit/>
        </w:trPr>
        <w:tc>
          <w:tcPr>
            <w:tcW w:w="6804" w:type="dxa"/>
          </w:tcPr>
          <w:p w:rsidR="00815BD5" w:rsidRPr="00997358" w:rsidRDefault="00815BD5" w:rsidP="00815BD5">
            <w:pPr>
              <w:rPr>
                <w:rFonts w:cs="Arial"/>
                <w:b/>
                <w:bCs/>
                <w:sz w:val="20"/>
              </w:rPr>
            </w:pPr>
          </w:p>
        </w:tc>
        <w:tc>
          <w:tcPr>
            <w:tcW w:w="3544" w:type="dxa"/>
          </w:tcPr>
          <w:p w:rsidR="00815BD5" w:rsidRPr="00997358" w:rsidRDefault="00815BD5" w:rsidP="00815BD5">
            <w:pPr>
              <w:rPr>
                <w:b/>
                <w:bCs/>
                <w:sz w:val="20"/>
              </w:rPr>
            </w:pPr>
          </w:p>
        </w:tc>
      </w:tr>
      <w:tr w:rsidR="00815BD5" w:rsidRPr="00002716" w:rsidTr="00815BD5">
        <w:trPr>
          <w:cantSplit/>
        </w:trPr>
        <w:tc>
          <w:tcPr>
            <w:tcW w:w="6804" w:type="dxa"/>
            <w:vMerge w:val="restart"/>
          </w:tcPr>
          <w:p w:rsidR="00815BD5" w:rsidRPr="002E6963" w:rsidRDefault="00815BD5" w:rsidP="00815BD5">
            <w:pPr>
              <w:pStyle w:val="Committee"/>
              <w:rPr>
                <w:b w:val="0"/>
              </w:rPr>
            </w:pPr>
          </w:p>
        </w:tc>
        <w:tc>
          <w:tcPr>
            <w:tcW w:w="3544" w:type="dxa"/>
          </w:tcPr>
          <w:p w:rsidR="00815BD5" w:rsidRPr="00815BD5" w:rsidRDefault="00815BD5" w:rsidP="00815BD5">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z w:val="24"/>
                <w:szCs w:val="24"/>
                <w:lang w:val="fr-CH"/>
              </w:rPr>
            </w:pPr>
            <w:r w:rsidRPr="00815BD5">
              <w:rPr>
                <w:rFonts w:eastAsia="Times New Roman" w:cs="Times New Roman"/>
                <w:b/>
                <w:bCs/>
                <w:sz w:val="24"/>
                <w:szCs w:val="24"/>
                <w:lang w:val="fr-CH"/>
              </w:rPr>
              <w:t>Document TDAG16-21/12-E</w:t>
            </w:r>
          </w:p>
        </w:tc>
      </w:tr>
      <w:tr w:rsidR="00815BD5" w:rsidTr="00815BD5">
        <w:trPr>
          <w:cantSplit/>
        </w:trPr>
        <w:tc>
          <w:tcPr>
            <w:tcW w:w="6804" w:type="dxa"/>
            <w:vMerge/>
          </w:tcPr>
          <w:p w:rsidR="00815BD5" w:rsidRPr="00002716" w:rsidRDefault="00815BD5" w:rsidP="00815BD5">
            <w:pPr>
              <w:spacing w:after="120"/>
              <w:rPr>
                <w:b/>
                <w:bCs/>
                <w:smallCaps/>
              </w:rPr>
            </w:pPr>
          </w:p>
        </w:tc>
        <w:tc>
          <w:tcPr>
            <w:tcW w:w="3544" w:type="dxa"/>
          </w:tcPr>
          <w:p w:rsidR="00815BD5" w:rsidRPr="00815BD5" w:rsidRDefault="00815BD5" w:rsidP="00815BD5">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z w:val="24"/>
                <w:szCs w:val="24"/>
                <w:lang w:val="fr-CH"/>
              </w:rPr>
            </w:pPr>
            <w:r w:rsidRPr="00815BD5">
              <w:rPr>
                <w:rFonts w:eastAsia="Times New Roman" w:cs="Times New Roman"/>
                <w:b/>
                <w:bCs/>
                <w:sz w:val="24"/>
                <w:szCs w:val="24"/>
                <w:lang w:val="fr-CH"/>
              </w:rPr>
              <w:t>15 March 2016</w:t>
            </w:r>
          </w:p>
        </w:tc>
      </w:tr>
      <w:tr w:rsidR="00815BD5" w:rsidTr="00815BD5">
        <w:trPr>
          <w:cantSplit/>
        </w:trPr>
        <w:tc>
          <w:tcPr>
            <w:tcW w:w="6804" w:type="dxa"/>
            <w:vMerge/>
          </w:tcPr>
          <w:p w:rsidR="00815BD5" w:rsidRDefault="00815BD5" w:rsidP="00815BD5">
            <w:pPr>
              <w:spacing w:after="120"/>
              <w:rPr>
                <w:b/>
                <w:bCs/>
                <w:smallCaps/>
              </w:rPr>
            </w:pPr>
          </w:p>
        </w:tc>
        <w:tc>
          <w:tcPr>
            <w:tcW w:w="3544" w:type="dxa"/>
          </w:tcPr>
          <w:p w:rsidR="00815BD5" w:rsidRPr="00815BD5" w:rsidRDefault="00815BD5" w:rsidP="00815BD5">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z w:val="24"/>
                <w:szCs w:val="24"/>
                <w:lang w:val="fr-CH"/>
              </w:rPr>
            </w:pPr>
            <w:r w:rsidRPr="00815BD5">
              <w:rPr>
                <w:rFonts w:eastAsia="Times New Roman" w:cs="Times New Roman"/>
                <w:b/>
                <w:bCs/>
                <w:sz w:val="24"/>
                <w:szCs w:val="24"/>
                <w:lang w:val="fr-CH"/>
              </w:rPr>
              <w:t>Original: English</w:t>
            </w:r>
          </w:p>
        </w:tc>
      </w:tr>
      <w:tr w:rsidR="00815BD5" w:rsidTr="00815BD5">
        <w:trPr>
          <w:cantSplit/>
          <w:trHeight w:val="852"/>
        </w:trPr>
        <w:tc>
          <w:tcPr>
            <w:tcW w:w="10348" w:type="dxa"/>
            <w:gridSpan w:val="2"/>
          </w:tcPr>
          <w:p w:rsidR="00815BD5" w:rsidRPr="003604FB" w:rsidRDefault="00815BD5" w:rsidP="006437EF">
            <w:pPr>
              <w:pStyle w:val="Source"/>
              <w:spacing w:after="120"/>
              <w:jc w:val="center"/>
              <w:rPr>
                <w:sz w:val="28"/>
                <w:szCs w:val="28"/>
              </w:rPr>
            </w:pPr>
            <w:r>
              <w:rPr>
                <w:sz w:val="28"/>
                <w:szCs w:val="28"/>
              </w:rPr>
              <w:t>Chairman, Inter-Sector Coordination Team on Issues of Mutual Interest</w:t>
            </w:r>
          </w:p>
        </w:tc>
      </w:tr>
      <w:tr w:rsidR="00815BD5" w:rsidRPr="002E6963" w:rsidTr="00815BD5">
        <w:trPr>
          <w:cantSplit/>
        </w:trPr>
        <w:tc>
          <w:tcPr>
            <w:tcW w:w="10348" w:type="dxa"/>
            <w:gridSpan w:val="2"/>
          </w:tcPr>
          <w:p w:rsidR="00815BD5" w:rsidRPr="000E55F0" w:rsidRDefault="00815BD5" w:rsidP="00815BD5">
            <w:pPr>
              <w:pStyle w:val="Title1"/>
              <w:jc w:val="center"/>
              <w:rPr>
                <w:b w:val="0"/>
                <w:sz w:val="28"/>
                <w:szCs w:val="28"/>
              </w:rPr>
            </w:pPr>
            <w:r>
              <w:rPr>
                <w:b w:val="0"/>
                <w:sz w:val="28"/>
                <w:szCs w:val="28"/>
              </w:rPr>
              <w:t>PROGRESS REPORT BY THE CHAIRMAN OF THE INTER-SECTOR COORDINATION TEAM</w:t>
            </w:r>
            <w:r>
              <w:rPr>
                <w:b w:val="0"/>
                <w:sz w:val="28"/>
                <w:szCs w:val="28"/>
              </w:rPr>
              <w:br/>
              <w:t xml:space="preserve"> ON ISSUES OF MUTUAL INTEREST</w:t>
            </w:r>
          </w:p>
        </w:tc>
      </w:tr>
    </w:tbl>
    <w:p w:rsidR="00815BD5" w:rsidRDefault="00815BD5" w:rsidP="00815BD5">
      <w:pPr>
        <w:pStyle w:val="Normalaftertitle"/>
        <w:pBdr>
          <w:top w:val="single" w:sz="4" w:space="1" w:color="auto"/>
          <w:left w:val="single" w:sz="4" w:space="0" w:color="auto"/>
          <w:bottom w:val="single" w:sz="4" w:space="1" w:color="auto"/>
          <w:right w:val="single" w:sz="4" w:space="4" w:color="auto"/>
        </w:pBdr>
        <w:ind w:left="284"/>
        <w:rPr>
          <w:b/>
          <w:bCs/>
        </w:rPr>
      </w:pPr>
      <w:r w:rsidRPr="005E090D">
        <w:rPr>
          <w:b/>
          <w:bCs/>
        </w:rPr>
        <w:t xml:space="preserve">Summary: </w:t>
      </w:r>
    </w:p>
    <w:p w:rsidR="00815BD5" w:rsidRPr="005E090D" w:rsidRDefault="00815BD5" w:rsidP="00815BD5">
      <w:pPr>
        <w:pStyle w:val="Normalaftertitle"/>
        <w:pBdr>
          <w:top w:val="single" w:sz="4" w:space="1" w:color="auto"/>
          <w:left w:val="single" w:sz="4" w:space="0" w:color="auto"/>
          <w:bottom w:val="single" w:sz="4" w:space="1" w:color="auto"/>
          <w:right w:val="single" w:sz="4" w:space="4" w:color="auto"/>
        </w:pBdr>
        <w:spacing w:before="120"/>
        <w:ind w:left="284"/>
        <w:rPr>
          <w:b/>
          <w:bCs/>
        </w:rPr>
      </w:pPr>
      <w:r w:rsidRPr="009B1F2F">
        <w:t xml:space="preserve">This document reports on </w:t>
      </w:r>
      <w:r>
        <w:t>inter-Sectoral coordination activities that have been undertaken in the Sector advisory groups since the last TDAG meeting in April 2015.</w:t>
      </w:r>
    </w:p>
    <w:p w:rsidR="00815BD5" w:rsidRDefault="00815BD5" w:rsidP="00815BD5">
      <w:pPr>
        <w:pStyle w:val="Normalaftertitle"/>
        <w:pBdr>
          <w:top w:val="single" w:sz="4" w:space="1" w:color="auto"/>
          <w:left w:val="single" w:sz="4" w:space="0" w:color="auto"/>
          <w:bottom w:val="single" w:sz="4" w:space="1" w:color="auto"/>
          <w:right w:val="single" w:sz="4" w:space="4" w:color="auto"/>
        </w:pBdr>
        <w:spacing w:before="120"/>
        <w:ind w:left="284"/>
        <w:rPr>
          <w:b/>
          <w:bCs/>
        </w:rPr>
      </w:pPr>
      <w:r w:rsidRPr="005E090D">
        <w:rPr>
          <w:b/>
          <w:bCs/>
        </w:rPr>
        <w:t>Action required:</w:t>
      </w:r>
    </w:p>
    <w:p w:rsidR="00815BD5" w:rsidRPr="005E090D" w:rsidRDefault="00815BD5" w:rsidP="00815BD5">
      <w:pPr>
        <w:pStyle w:val="Normalaftertitle"/>
        <w:pBdr>
          <w:top w:val="single" w:sz="4" w:space="1" w:color="auto"/>
          <w:left w:val="single" w:sz="4" w:space="0" w:color="auto"/>
          <w:bottom w:val="single" w:sz="4" w:space="1" w:color="auto"/>
          <w:right w:val="single" w:sz="4" w:space="4" w:color="auto"/>
        </w:pBdr>
        <w:spacing w:before="120"/>
        <w:ind w:left="284"/>
        <w:rPr>
          <w:b/>
          <w:bCs/>
        </w:rPr>
      </w:pPr>
      <w:r>
        <w:t>TDAG is invited to note this document and to provide guidance as deemed appropriate.</w:t>
      </w:r>
    </w:p>
    <w:p w:rsidR="00815BD5" w:rsidRPr="00DA0B53" w:rsidRDefault="00815BD5" w:rsidP="00815BD5">
      <w:pPr>
        <w:pStyle w:val="Normalaftertitle"/>
        <w:pBdr>
          <w:top w:val="single" w:sz="4" w:space="1" w:color="auto"/>
          <w:left w:val="single" w:sz="4" w:space="0" w:color="auto"/>
          <w:bottom w:val="single" w:sz="4" w:space="1" w:color="auto"/>
          <w:right w:val="single" w:sz="4" w:space="4" w:color="auto"/>
        </w:pBdr>
        <w:spacing w:before="120"/>
        <w:ind w:left="284"/>
        <w:jc w:val="center"/>
      </w:pPr>
      <w:r>
        <w:t>______________</w:t>
      </w:r>
    </w:p>
    <w:p w:rsidR="00815BD5" w:rsidRPr="005E090D" w:rsidRDefault="00815BD5" w:rsidP="00815BD5">
      <w:pPr>
        <w:pBdr>
          <w:top w:val="single" w:sz="4" w:space="1" w:color="auto"/>
          <w:left w:val="single" w:sz="4" w:space="0" w:color="auto"/>
          <w:bottom w:val="single" w:sz="4" w:space="1" w:color="auto"/>
          <w:right w:val="single" w:sz="4" w:space="4" w:color="auto"/>
        </w:pBdr>
        <w:spacing w:before="240"/>
        <w:ind w:left="284"/>
        <w:rPr>
          <w:b/>
          <w:bCs/>
        </w:rPr>
      </w:pPr>
      <w:r w:rsidRPr="005E090D">
        <w:rPr>
          <w:b/>
          <w:bCs/>
        </w:rPr>
        <w:t>References:</w:t>
      </w:r>
    </w:p>
    <w:p w:rsidR="00815BD5" w:rsidRDefault="00E303B1" w:rsidP="00815BD5">
      <w:pPr>
        <w:pBdr>
          <w:top w:val="single" w:sz="4" w:space="1" w:color="auto"/>
          <w:left w:val="single" w:sz="4" w:space="0" w:color="auto"/>
          <w:bottom w:val="single" w:sz="4" w:space="1" w:color="auto"/>
          <w:right w:val="single" w:sz="4" w:space="4" w:color="auto"/>
        </w:pBdr>
        <w:ind w:left="284"/>
      </w:pPr>
      <w:hyperlink r:id="rId11" w:history="1">
        <w:r w:rsidR="00815BD5" w:rsidRPr="002D00BA">
          <w:rPr>
            <w:rStyle w:val="Hyperlink"/>
          </w:rPr>
          <w:t>TDAG15-20/32</w:t>
        </w:r>
      </w:hyperlink>
      <w:r w:rsidR="00815BD5">
        <w:t xml:space="preserve">, </w:t>
      </w:r>
      <w:hyperlink r:id="rId12" w:history="1">
        <w:r w:rsidR="00815BD5" w:rsidRPr="00672324">
          <w:rPr>
            <w:rStyle w:val="Hyperlink"/>
          </w:rPr>
          <w:t>RAG-15 Summary of conclusions</w:t>
        </w:r>
      </w:hyperlink>
      <w:r w:rsidR="00815BD5">
        <w:t xml:space="preserve">, </w:t>
      </w:r>
      <w:hyperlink r:id="rId13" w:history="1">
        <w:r w:rsidR="00815BD5" w:rsidRPr="00672324">
          <w:rPr>
            <w:rStyle w:val="Hyperlink"/>
          </w:rPr>
          <w:t>TSAG-R 4</w:t>
        </w:r>
      </w:hyperlink>
    </w:p>
    <w:p w:rsidR="00815BD5" w:rsidRDefault="00815BD5" w:rsidP="00815BD5">
      <w:pPr>
        <w:rPr>
          <w:b/>
        </w:rPr>
      </w:pPr>
      <w:r>
        <w:br w:type="page"/>
      </w:r>
    </w:p>
    <w:p w:rsidR="00815BD5" w:rsidRPr="006437EF" w:rsidRDefault="00815BD5" w:rsidP="00815BD5">
      <w:pPr>
        <w:keepNext/>
        <w:tabs>
          <w:tab w:val="left" w:pos="567"/>
        </w:tabs>
        <w:spacing w:before="240"/>
        <w:rPr>
          <w:b/>
          <w:bCs/>
          <w:sz w:val="24"/>
          <w:szCs w:val="24"/>
        </w:rPr>
      </w:pPr>
      <w:r w:rsidRPr="006437EF">
        <w:rPr>
          <w:b/>
          <w:bCs/>
          <w:sz w:val="24"/>
          <w:szCs w:val="24"/>
        </w:rPr>
        <w:t>1.</w:t>
      </w:r>
      <w:r w:rsidRPr="006437EF">
        <w:rPr>
          <w:b/>
          <w:bCs/>
          <w:sz w:val="24"/>
          <w:szCs w:val="24"/>
        </w:rPr>
        <w:tab/>
        <w:t>Meetings of the Sector advisory groups</w:t>
      </w:r>
    </w:p>
    <w:p w:rsidR="00815BD5" w:rsidRPr="006437EF" w:rsidRDefault="00815BD5" w:rsidP="00815BD5">
      <w:pPr>
        <w:rPr>
          <w:sz w:val="24"/>
          <w:szCs w:val="24"/>
        </w:rPr>
      </w:pPr>
      <w:r w:rsidRPr="006437EF">
        <w:rPr>
          <w:sz w:val="24"/>
          <w:szCs w:val="24"/>
        </w:rPr>
        <w:t>In the period since the last TDAG meeting in April 2015, the advisory groups of the Radiocommunication and Standardization Sectors met:</w:t>
      </w:r>
    </w:p>
    <w:p w:rsidR="00815BD5" w:rsidRPr="006437EF" w:rsidRDefault="00815BD5" w:rsidP="00815BD5">
      <w:pPr>
        <w:pStyle w:val="ListParagraph"/>
        <w:numPr>
          <w:ilvl w:val="0"/>
          <w:numId w:val="35"/>
        </w:numPr>
        <w:tabs>
          <w:tab w:val="left" w:pos="1191"/>
          <w:tab w:val="left" w:pos="1588"/>
          <w:tab w:val="left" w:pos="1985"/>
        </w:tabs>
        <w:overflowPunct w:val="0"/>
        <w:autoSpaceDE w:val="0"/>
        <w:autoSpaceDN w:val="0"/>
        <w:adjustRightInd w:val="0"/>
        <w:spacing w:before="120" w:after="0" w:line="240" w:lineRule="auto"/>
        <w:ind w:left="567" w:hanging="567"/>
        <w:contextualSpacing w:val="0"/>
        <w:jc w:val="left"/>
        <w:textAlignment w:val="baseline"/>
        <w:rPr>
          <w:sz w:val="24"/>
          <w:szCs w:val="24"/>
        </w:rPr>
      </w:pPr>
      <w:r w:rsidRPr="006437EF">
        <w:rPr>
          <w:sz w:val="24"/>
          <w:szCs w:val="24"/>
        </w:rPr>
        <w:t>RAG, Geneva, 5-8 May 2015</w:t>
      </w:r>
    </w:p>
    <w:p w:rsidR="00815BD5" w:rsidRPr="006437EF" w:rsidRDefault="00815BD5" w:rsidP="00815BD5">
      <w:pPr>
        <w:pStyle w:val="ListParagraph"/>
        <w:numPr>
          <w:ilvl w:val="0"/>
          <w:numId w:val="35"/>
        </w:numPr>
        <w:tabs>
          <w:tab w:val="left" w:pos="1191"/>
          <w:tab w:val="left" w:pos="1588"/>
          <w:tab w:val="left" w:pos="1985"/>
        </w:tabs>
        <w:overflowPunct w:val="0"/>
        <w:autoSpaceDE w:val="0"/>
        <w:autoSpaceDN w:val="0"/>
        <w:adjustRightInd w:val="0"/>
        <w:spacing w:before="120" w:after="0" w:line="240" w:lineRule="auto"/>
        <w:ind w:left="567" w:hanging="567"/>
        <w:contextualSpacing w:val="0"/>
        <w:jc w:val="left"/>
        <w:textAlignment w:val="baseline"/>
        <w:rPr>
          <w:sz w:val="24"/>
          <w:szCs w:val="24"/>
        </w:rPr>
      </w:pPr>
      <w:r w:rsidRPr="006437EF">
        <w:rPr>
          <w:sz w:val="24"/>
          <w:szCs w:val="24"/>
        </w:rPr>
        <w:t>TSAG, Geneva, 2-5 June 2015</w:t>
      </w:r>
    </w:p>
    <w:p w:rsidR="00815BD5" w:rsidRPr="006437EF" w:rsidRDefault="00815BD5" w:rsidP="00815BD5">
      <w:pPr>
        <w:pStyle w:val="ListParagraph"/>
        <w:numPr>
          <w:ilvl w:val="0"/>
          <w:numId w:val="35"/>
        </w:numPr>
        <w:tabs>
          <w:tab w:val="left" w:pos="1191"/>
          <w:tab w:val="left" w:pos="1588"/>
          <w:tab w:val="left" w:pos="1985"/>
        </w:tabs>
        <w:overflowPunct w:val="0"/>
        <w:autoSpaceDE w:val="0"/>
        <w:autoSpaceDN w:val="0"/>
        <w:adjustRightInd w:val="0"/>
        <w:spacing w:before="120" w:after="0" w:line="240" w:lineRule="auto"/>
        <w:ind w:left="567" w:hanging="567"/>
        <w:contextualSpacing w:val="0"/>
        <w:jc w:val="left"/>
        <w:textAlignment w:val="baseline"/>
        <w:rPr>
          <w:sz w:val="24"/>
          <w:szCs w:val="24"/>
        </w:rPr>
      </w:pPr>
      <w:r w:rsidRPr="006437EF">
        <w:rPr>
          <w:sz w:val="24"/>
          <w:szCs w:val="24"/>
        </w:rPr>
        <w:t>TSAG, Geneva, 1-5 February 2016</w:t>
      </w:r>
    </w:p>
    <w:p w:rsidR="00815BD5" w:rsidRPr="006437EF" w:rsidRDefault="00815BD5" w:rsidP="00815BD5">
      <w:pPr>
        <w:rPr>
          <w:sz w:val="24"/>
          <w:szCs w:val="24"/>
        </w:rPr>
      </w:pPr>
      <w:r w:rsidRPr="006437EF">
        <w:rPr>
          <w:sz w:val="24"/>
          <w:szCs w:val="24"/>
        </w:rPr>
        <w:t xml:space="preserve">The </w:t>
      </w:r>
      <w:hyperlink r:id="rId14" w:history="1">
        <w:r w:rsidRPr="006437EF">
          <w:rPr>
            <w:rStyle w:val="Hyperlink"/>
            <w:sz w:val="24"/>
            <w:szCs w:val="24"/>
          </w:rPr>
          <w:t>summary of conclusions of the RAG-15 meeting</w:t>
        </w:r>
      </w:hyperlink>
      <w:r w:rsidRPr="006437EF">
        <w:rPr>
          <w:sz w:val="24"/>
          <w:szCs w:val="24"/>
        </w:rPr>
        <w:t xml:space="preserve"> and </w:t>
      </w:r>
      <w:hyperlink r:id="rId15" w:history="1">
        <w:r w:rsidRPr="006437EF">
          <w:rPr>
            <w:rStyle w:val="Hyperlink"/>
            <w:sz w:val="24"/>
            <w:szCs w:val="24"/>
          </w:rPr>
          <w:t>report of the TSAG-15 meeting</w:t>
        </w:r>
      </w:hyperlink>
      <w:r w:rsidRPr="006437EF">
        <w:rPr>
          <w:sz w:val="24"/>
          <w:szCs w:val="24"/>
        </w:rPr>
        <w:t xml:space="preserve"> are available electronically on the respective websites of the two advisory groups.  The report of the 2016 meeting of TSAG will be available on this  </w:t>
      </w:r>
      <w:hyperlink r:id="rId16" w:history="1">
        <w:r w:rsidRPr="006437EF">
          <w:rPr>
            <w:rStyle w:val="Hyperlink"/>
            <w:sz w:val="24"/>
            <w:szCs w:val="24"/>
          </w:rPr>
          <w:t>web page</w:t>
        </w:r>
      </w:hyperlink>
      <w:r w:rsidRPr="006437EF">
        <w:rPr>
          <w:sz w:val="24"/>
          <w:szCs w:val="24"/>
        </w:rPr>
        <w:t xml:space="preserve"> in due course, as it is not available at the time of the publication of this report.</w:t>
      </w:r>
    </w:p>
    <w:p w:rsidR="00815BD5" w:rsidRPr="006437EF" w:rsidRDefault="00815BD5" w:rsidP="00815BD5">
      <w:pPr>
        <w:rPr>
          <w:sz w:val="24"/>
          <w:szCs w:val="24"/>
        </w:rPr>
      </w:pPr>
      <w:r w:rsidRPr="006437EF">
        <w:rPr>
          <w:sz w:val="24"/>
          <w:szCs w:val="24"/>
        </w:rPr>
        <w:t xml:space="preserve">The Terms of Reference that had been agreed to by TDAG were in turn agreed to by RAG and TSAG with some amendments.  New TSAG representatives were also nominated. It has now been agreed that the Chairman of ISCT will be Mr Fabio Bigi (Italy). The composition of the Team is available on the </w:t>
      </w:r>
      <w:hyperlink r:id="rId17" w:history="1">
        <w:r w:rsidRPr="006437EF">
          <w:rPr>
            <w:rStyle w:val="Hyperlink"/>
            <w:sz w:val="24"/>
            <w:szCs w:val="24"/>
          </w:rPr>
          <w:t>web page</w:t>
        </w:r>
      </w:hyperlink>
      <w:r w:rsidRPr="006437EF">
        <w:rPr>
          <w:sz w:val="24"/>
          <w:szCs w:val="24"/>
        </w:rPr>
        <w:t xml:space="preserve"> of the Team.</w:t>
      </w:r>
    </w:p>
    <w:p w:rsidR="00815BD5" w:rsidRPr="006437EF" w:rsidRDefault="00815BD5" w:rsidP="00815BD5">
      <w:pPr>
        <w:rPr>
          <w:sz w:val="24"/>
          <w:szCs w:val="24"/>
        </w:rPr>
      </w:pPr>
      <w:r w:rsidRPr="006437EF">
        <w:rPr>
          <w:sz w:val="24"/>
          <w:szCs w:val="24"/>
        </w:rPr>
        <w:t xml:space="preserve">The two advisory groups sent liaison statements to this meeting of TDAG, as follows, for consideration: </w:t>
      </w:r>
    </w:p>
    <w:p w:rsidR="00815BD5" w:rsidRPr="006437EF" w:rsidRDefault="00E303B1" w:rsidP="00815BD5">
      <w:pPr>
        <w:pStyle w:val="ListParagraph"/>
        <w:numPr>
          <w:ilvl w:val="0"/>
          <w:numId w:val="40"/>
        </w:numPr>
        <w:tabs>
          <w:tab w:val="left" w:pos="1191"/>
          <w:tab w:val="left" w:pos="1588"/>
          <w:tab w:val="left" w:pos="1985"/>
        </w:tabs>
        <w:overflowPunct w:val="0"/>
        <w:autoSpaceDE w:val="0"/>
        <w:autoSpaceDN w:val="0"/>
        <w:adjustRightInd w:val="0"/>
        <w:spacing w:before="120" w:after="0" w:line="240" w:lineRule="auto"/>
        <w:ind w:left="567" w:hanging="567"/>
        <w:jc w:val="left"/>
        <w:textAlignment w:val="baseline"/>
        <w:rPr>
          <w:sz w:val="24"/>
          <w:szCs w:val="24"/>
        </w:rPr>
      </w:pPr>
      <w:hyperlink r:id="rId18" w:history="1">
        <w:r w:rsidR="00815BD5" w:rsidRPr="006437EF">
          <w:rPr>
            <w:rStyle w:val="Hyperlink"/>
            <w:sz w:val="24"/>
            <w:szCs w:val="24"/>
          </w:rPr>
          <w:t>TDAG16-21/25</w:t>
        </w:r>
      </w:hyperlink>
      <w:r w:rsidR="00815BD5" w:rsidRPr="006437EF">
        <w:rPr>
          <w:sz w:val="24"/>
          <w:szCs w:val="24"/>
        </w:rPr>
        <w:t xml:space="preserve"> from RAG - Inter-Sector Coordination Team on issues of mutual interest, including two annexes:</w:t>
      </w:r>
    </w:p>
    <w:p w:rsidR="00815BD5" w:rsidRPr="006437EF" w:rsidRDefault="00815BD5" w:rsidP="00815BD5">
      <w:pPr>
        <w:tabs>
          <w:tab w:val="left" w:pos="1134"/>
        </w:tabs>
        <w:spacing w:before="60"/>
        <w:ind w:left="567"/>
        <w:rPr>
          <w:sz w:val="24"/>
          <w:szCs w:val="24"/>
        </w:rPr>
      </w:pPr>
      <w:r w:rsidRPr="006437EF">
        <w:rPr>
          <w:sz w:val="24"/>
          <w:szCs w:val="24"/>
        </w:rPr>
        <w:t>Annex 1</w:t>
      </w:r>
      <w:r w:rsidRPr="006437EF">
        <w:rPr>
          <w:sz w:val="24"/>
          <w:szCs w:val="24"/>
        </w:rPr>
        <w:tab/>
        <w:t>Terms of Reference, and</w:t>
      </w:r>
    </w:p>
    <w:p w:rsidR="00815BD5" w:rsidRPr="006437EF" w:rsidRDefault="00815BD5" w:rsidP="00815BD5">
      <w:pPr>
        <w:tabs>
          <w:tab w:val="left" w:pos="1134"/>
        </w:tabs>
        <w:spacing w:before="60"/>
        <w:ind w:left="567"/>
        <w:rPr>
          <w:sz w:val="24"/>
          <w:szCs w:val="24"/>
        </w:rPr>
      </w:pPr>
      <w:r w:rsidRPr="006437EF">
        <w:rPr>
          <w:sz w:val="24"/>
          <w:szCs w:val="24"/>
        </w:rPr>
        <w:t>Annex 2</w:t>
      </w:r>
      <w:r w:rsidRPr="006437EF">
        <w:rPr>
          <w:sz w:val="24"/>
          <w:szCs w:val="24"/>
        </w:rPr>
        <w:tab/>
        <w:t>Indicative list of issues of mutual interest.</w:t>
      </w:r>
    </w:p>
    <w:p w:rsidR="00815BD5" w:rsidRPr="006437EF" w:rsidRDefault="00E303B1" w:rsidP="00815BD5">
      <w:pPr>
        <w:pStyle w:val="ListParagraph"/>
        <w:numPr>
          <w:ilvl w:val="0"/>
          <w:numId w:val="36"/>
        </w:numPr>
        <w:tabs>
          <w:tab w:val="left" w:pos="1191"/>
          <w:tab w:val="left" w:pos="1588"/>
          <w:tab w:val="left" w:pos="1985"/>
        </w:tabs>
        <w:overflowPunct w:val="0"/>
        <w:autoSpaceDE w:val="0"/>
        <w:autoSpaceDN w:val="0"/>
        <w:adjustRightInd w:val="0"/>
        <w:spacing w:before="120" w:after="0" w:line="240" w:lineRule="auto"/>
        <w:ind w:left="567" w:hanging="567"/>
        <w:jc w:val="left"/>
        <w:textAlignment w:val="baseline"/>
        <w:rPr>
          <w:sz w:val="24"/>
          <w:szCs w:val="24"/>
        </w:rPr>
      </w:pPr>
      <w:hyperlink r:id="rId19" w:history="1">
        <w:r w:rsidR="00815BD5" w:rsidRPr="006437EF">
          <w:rPr>
            <w:rStyle w:val="Hyperlink"/>
            <w:sz w:val="24"/>
            <w:szCs w:val="24"/>
          </w:rPr>
          <w:t>TDAG16-21/26</w:t>
        </w:r>
      </w:hyperlink>
      <w:r w:rsidR="00815BD5" w:rsidRPr="006437EF">
        <w:rPr>
          <w:sz w:val="24"/>
          <w:szCs w:val="24"/>
        </w:rPr>
        <w:t xml:space="preserve"> from TSAG - Candidate topics on working methods for ITU inter-Sector coordination, including an annex on this same topic.</w:t>
      </w:r>
    </w:p>
    <w:p w:rsidR="00815BD5" w:rsidRPr="006437EF" w:rsidRDefault="00E303B1" w:rsidP="00815BD5">
      <w:pPr>
        <w:pStyle w:val="ListParagraph"/>
        <w:numPr>
          <w:ilvl w:val="0"/>
          <w:numId w:val="36"/>
        </w:numPr>
        <w:tabs>
          <w:tab w:val="left" w:pos="1191"/>
          <w:tab w:val="left" w:pos="1588"/>
          <w:tab w:val="left" w:pos="1985"/>
        </w:tabs>
        <w:overflowPunct w:val="0"/>
        <w:autoSpaceDE w:val="0"/>
        <w:autoSpaceDN w:val="0"/>
        <w:adjustRightInd w:val="0"/>
        <w:spacing w:before="120" w:after="0" w:line="240" w:lineRule="auto"/>
        <w:ind w:left="567" w:hanging="567"/>
        <w:jc w:val="left"/>
        <w:textAlignment w:val="baseline"/>
        <w:rPr>
          <w:sz w:val="24"/>
          <w:szCs w:val="24"/>
        </w:rPr>
      </w:pPr>
      <w:hyperlink r:id="rId20" w:history="1">
        <w:r w:rsidR="00815BD5" w:rsidRPr="006437EF">
          <w:rPr>
            <w:rStyle w:val="Hyperlink"/>
            <w:sz w:val="24"/>
            <w:szCs w:val="24"/>
          </w:rPr>
          <w:t>TDAG16-21/27</w:t>
        </w:r>
      </w:hyperlink>
      <w:r w:rsidR="00815BD5" w:rsidRPr="006437EF">
        <w:rPr>
          <w:sz w:val="24"/>
          <w:szCs w:val="24"/>
        </w:rPr>
        <w:t xml:space="preserve"> from TSAG - ITU inter-sector coordination, including four attachments: </w:t>
      </w:r>
    </w:p>
    <w:p w:rsidR="00815BD5" w:rsidRPr="006437EF" w:rsidRDefault="00815BD5" w:rsidP="00815BD5">
      <w:pPr>
        <w:spacing w:before="60"/>
        <w:ind w:left="567"/>
        <w:rPr>
          <w:sz w:val="24"/>
          <w:szCs w:val="24"/>
        </w:rPr>
      </w:pPr>
      <w:r w:rsidRPr="006437EF">
        <w:rPr>
          <w:sz w:val="24"/>
          <w:szCs w:val="24"/>
        </w:rPr>
        <w:t>Attachment 1</w:t>
      </w:r>
      <w:r w:rsidRPr="006437EF">
        <w:rPr>
          <w:sz w:val="24"/>
          <w:szCs w:val="24"/>
        </w:rPr>
        <w:tab/>
        <w:t>Matching of ITU-D SG1 and 2 Questions of interest to ITU-T study groups.</w:t>
      </w:r>
    </w:p>
    <w:p w:rsidR="00815BD5" w:rsidRPr="006437EF" w:rsidRDefault="00815BD5" w:rsidP="00815BD5">
      <w:pPr>
        <w:spacing w:before="60"/>
        <w:ind w:left="567"/>
        <w:rPr>
          <w:sz w:val="24"/>
          <w:szCs w:val="24"/>
        </w:rPr>
      </w:pPr>
      <w:r w:rsidRPr="006437EF">
        <w:rPr>
          <w:sz w:val="24"/>
          <w:szCs w:val="24"/>
        </w:rPr>
        <w:t>Attachment 2</w:t>
      </w:r>
      <w:r w:rsidRPr="006437EF">
        <w:rPr>
          <w:sz w:val="24"/>
          <w:szCs w:val="24"/>
        </w:rPr>
        <w:tab/>
        <w:t>Matching of ITU-R WPs of interest to ITU-T study groups.</w:t>
      </w:r>
    </w:p>
    <w:p w:rsidR="00815BD5" w:rsidRPr="006437EF" w:rsidRDefault="00815BD5" w:rsidP="00815BD5">
      <w:pPr>
        <w:spacing w:before="60"/>
        <w:ind w:left="567"/>
        <w:rPr>
          <w:sz w:val="24"/>
          <w:szCs w:val="24"/>
        </w:rPr>
      </w:pPr>
      <w:r w:rsidRPr="006437EF">
        <w:rPr>
          <w:sz w:val="24"/>
          <w:szCs w:val="24"/>
        </w:rPr>
        <w:t>Attachment 3</w:t>
      </w:r>
      <w:r w:rsidRPr="006437EF">
        <w:rPr>
          <w:sz w:val="24"/>
          <w:szCs w:val="24"/>
        </w:rPr>
        <w:tab/>
        <w:t>Terms of Reference of the ISCT.</w:t>
      </w:r>
    </w:p>
    <w:p w:rsidR="00815BD5" w:rsidRPr="006437EF" w:rsidRDefault="00815BD5" w:rsidP="00815BD5">
      <w:pPr>
        <w:spacing w:before="60"/>
        <w:ind w:left="567"/>
        <w:rPr>
          <w:sz w:val="24"/>
          <w:szCs w:val="24"/>
        </w:rPr>
      </w:pPr>
      <w:r w:rsidRPr="006437EF">
        <w:rPr>
          <w:sz w:val="24"/>
          <w:szCs w:val="24"/>
        </w:rPr>
        <w:t>Attachment 4</w:t>
      </w:r>
      <w:r w:rsidRPr="006437EF">
        <w:rPr>
          <w:sz w:val="24"/>
          <w:szCs w:val="24"/>
        </w:rPr>
        <w:tab/>
        <w:t>List of issues of mutual interest on working methods for ITU inter-sector coordination.</w:t>
      </w:r>
    </w:p>
    <w:p w:rsidR="00815BD5" w:rsidRPr="006437EF" w:rsidRDefault="00E303B1" w:rsidP="00815BD5">
      <w:pPr>
        <w:pStyle w:val="ListParagraph"/>
        <w:numPr>
          <w:ilvl w:val="0"/>
          <w:numId w:val="36"/>
        </w:numPr>
        <w:tabs>
          <w:tab w:val="left" w:pos="1191"/>
          <w:tab w:val="left" w:pos="1588"/>
          <w:tab w:val="left" w:pos="1985"/>
        </w:tabs>
        <w:overflowPunct w:val="0"/>
        <w:autoSpaceDE w:val="0"/>
        <w:autoSpaceDN w:val="0"/>
        <w:adjustRightInd w:val="0"/>
        <w:spacing w:before="60" w:after="0" w:line="240" w:lineRule="auto"/>
        <w:ind w:left="567" w:hanging="567"/>
        <w:jc w:val="left"/>
        <w:textAlignment w:val="baseline"/>
        <w:rPr>
          <w:sz w:val="24"/>
          <w:szCs w:val="24"/>
        </w:rPr>
      </w:pPr>
      <w:hyperlink r:id="rId21" w:history="1">
        <w:r w:rsidR="00815BD5" w:rsidRPr="006437EF">
          <w:rPr>
            <w:rStyle w:val="Hyperlink"/>
            <w:sz w:val="24"/>
            <w:szCs w:val="24"/>
          </w:rPr>
          <w:t>TDAG16-21/38</w:t>
        </w:r>
      </w:hyperlink>
      <w:r w:rsidR="00815BD5" w:rsidRPr="006437EF">
        <w:rPr>
          <w:sz w:val="24"/>
          <w:szCs w:val="24"/>
        </w:rPr>
        <w:t xml:space="preserve"> from TSAG – ITU Inter-Sector Coordination, including three attachments:</w:t>
      </w:r>
    </w:p>
    <w:p w:rsidR="00815BD5" w:rsidRPr="006437EF" w:rsidRDefault="00815BD5" w:rsidP="00815BD5">
      <w:pPr>
        <w:spacing w:before="60"/>
        <w:ind w:left="567"/>
        <w:rPr>
          <w:sz w:val="24"/>
          <w:szCs w:val="24"/>
        </w:rPr>
      </w:pPr>
      <w:r w:rsidRPr="006437EF">
        <w:rPr>
          <w:sz w:val="24"/>
          <w:szCs w:val="24"/>
        </w:rPr>
        <w:t>Attachment 1</w:t>
      </w:r>
      <w:r w:rsidRPr="006437EF">
        <w:rPr>
          <w:sz w:val="24"/>
          <w:szCs w:val="24"/>
        </w:rPr>
        <w:tab/>
        <w:t>Matching of ITU-D SG1 and 2 Questions of interest to ITU-T study groups.</w:t>
      </w:r>
    </w:p>
    <w:p w:rsidR="00815BD5" w:rsidRPr="006437EF" w:rsidRDefault="00815BD5" w:rsidP="00815BD5">
      <w:pPr>
        <w:spacing w:before="60"/>
        <w:ind w:left="567"/>
        <w:rPr>
          <w:sz w:val="24"/>
          <w:szCs w:val="24"/>
        </w:rPr>
      </w:pPr>
      <w:r w:rsidRPr="006437EF">
        <w:rPr>
          <w:sz w:val="24"/>
          <w:szCs w:val="24"/>
        </w:rPr>
        <w:t>Attachment 2</w:t>
      </w:r>
      <w:r w:rsidRPr="006437EF">
        <w:rPr>
          <w:sz w:val="24"/>
          <w:szCs w:val="24"/>
        </w:rPr>
        <w:tab/>
        <w:t>Matching of ITU-R WPs of interest to ITU-T study groups.</w:t>
      </w:r>
    </w:p>
    <w:p w:rsidR="00815BD5" w:rsidRPr="006437EF" w:rsidRDefault="00815BD5" w:rsidP="00815BD5">
      <w:pPr>
        <w:spacing w:before="60"/>
        <w:ind w:left="567"/>
        <w:rPr>
          <w:sz w:val="24"/>
          <w:szCs w:val="24"/>
        </w:rPr>
      </w:pPr>
      <w:r w:rsidRPr="006437EF">
        <w:rPr>
          <w:sz w:val="24"/>
          <w:szCs w:val="24"/>
        </w:rPr>
        <w:t>Attachment 3</w:t>
      </w:r>
      <w:r w:rsidRPr="006437EF">
        <w:rPr>
          <w:sz w:val="24"/>
          <w:szCs w:val="24"/>
        </w:rPr>
        <w:tab/>
        <w:t>Candidate topics on working methods for ITU inter-Sector coordination (updated)</w:t>
      </w:r>
    </w:p>
    <w:p w:rsidR="00815BD5" w:rsidRPr="006437EF" w:rsidRDefault="00815BD5" w:rsidP="00815BD5">
      <w:pPr>
        <w:spacing w:before="60"/>
        <w:rPr>
          <w:sz w:val="24"/>
          <w:szCs w:val="24"/>
        </w:rPr>
      </w:pPr>
      <w:r w:rsidRPr="006437EF">
        <w:rPr>
          <w:sz w:val="24"/>
          <w:szCs w:val="24"/>
        </w:rPr>
        <w:t xml:space="preserve">The list of proposed areas of mutual interest, based on the latest inputs, is shown in </w:t>
      </w:r>
      <w:r w:rsidRPr="006437EF">
        <w:rPr>
          <w:b/>
          <w:bCs/>
          <w:sz w:val="24"/>
          <w:szCs w:val="24"/>
        </w:rPr>
        <w:t>Annex 1</w:t>
      </w:r>
      <w:r w:rsidRPr="006437EF">
        <w:rPr>
          <w:sz w:val="24"/>
          <w:szCs w:val="24"/>
        </w:rPr>
        <w:t>.</w:t>
      </w:r>
    </w:p>
    <w:p w:rsidR="00815BD5" w:rsidRPr="006437EF" w:rsidRDefault="00815BD5" w:rsidP="00815BD5">
      <w:pPr>
        <w:keepNext/>
        <w:tabs>
          <w:tab w:val="left" w:pos="567"/>
        </w:tabs>
        <w:spacing w:before="240"/>
        <w:rPr>
          <w:b/>
          <w:bCs/>
          <w:sz w:val="24"/>
          <w:szCs w:val="24"/>
        </w:rPr>
      </w:pPr>
      <w:r w:rsidRPr="006437EF">
        <w:rPr>
          <w:b/>
          <w:bCs/>
          <w:sz w:val="24"/>
          <w:szCs w:val="24"/>
        </w:rPr>
        <w:t>2.</w:t>
      </w:r>
      <w:r w:rsidRPr="006437EF">
        <w:rPr>
          <w:b/>
          <w:bCs/>
          <w:sz w:val="24"/>
          <w:szCs w:val="24"/>
        </w:rPr>
        <w:tab/>
        <w:t>RA-15 and WRC-15</w:t>
      </w:r>
    </w:p>
    <w:p w:rsidR="00815BD5" w:rsidRPr="006437EF" w:rsidRDefault="00815BD5" w:rsidP="00815BD5">
      <w:pPr>
        <w:keepNext/>
        <w:tabs>
          <w:tab w:val="left" w:pos="567"/>
        </w:tabs>
        <w:spacing w:before="240"/>
        <w:rPr>
          <w:sz w:val="24"/>
          <w:szCs w:val="24"/>
        </w:rPr>
      </w:pPr>
      <w:r w:rsidRPr="006437EF">
        <w:rPr>
          <w:sz w:val="24"/>
          <w:szCs w:val="24"/>
        </w:rPr>
        <w:t>Since the last TDAG meeting, Radiocommunication Assembly 2015 (RA-15) and World Radiocommunication Conference 2015 (WRC-15) were held:</w:t>
      </w:r>
    </w:p>
    <w:p w:rsidR="00815BD5" w:rsidRPr="006437EF" w:rsidRDefault="00815BD5" w:rsidP="00815BD5">
      <w:pPr>
        <w:pStyle w:val="ListParagraph"/>
        <w:keepNext/>
        <w:numPr>
          <w:ilvl w:val="0"/>
          <w:numId w:val="39"/>
        </w:numPr>
        <w:tabs>
          <w:tab w:val="left" w:pos="567"/>
          <w:tab w:val="left" w:pos="1588"/>
          <w:tab w:val="left" w:pos="1985"/>
        </w:tabs>
        <w:overflowPunct w:val="0"/>
        <w:autoSpaceDE w:val="0"/>
        <w:autoSpaceDN w:val="0"/>
        <w:adjustRightInd w:val="0"/>
        <w:spacing w:before="120" w:after="0" w:line="240" w:lineRule="auto"/>
        <w:ind w:left="567" w:hanging="567"/>
        <w:jc w:val="left"/>
        <w:textAlignment w:val="baseline"/>
        <w:rPr>
          <w:sz w:val="24"/>
          <w:szCs w:val="24"/>
        </w:rPr>
      </w:pPr>
      <w:r w:rsidRPr="006437EF">
        <w:rPr>
          <w:sz w:val="24"/>
          <w:szCs w:val="24"/>
        </w:rPr>
        <w:t>RA-15, Geneva, 26-30 October 2015</w:t>
      </w:r>
    </w:p>
    <w:p w:rsidR="00815BD5" w:rsidRPr="006437EF" w:rsidRDefault="00815BD5" w:rsidP="00815BD5">
      <w:pPr>
        <w:pStyle w:val="ListParagraph"/>
        <w:numPr>
          <w:ilvl w:val="0"/>
          <w:numId w:val="39"/>
        </w:numPr>
        <w:tabs>
          <w:tab w:val="left" w:pos="567"/>
          <w:tab w:val="left" w:pos="1588"/>
          <w:tab w:val="left" w:pos="1985"/>
        </w:tabs>
        <w:overflowPunct w:val="0"/>
        <w:autoSpaceDE w:val="0"/>
        <w:autoSpaceDN w:val="0"/>
        <w:adjustRightInd w:val="0"/>
        <w:spacing w:before="60" w:after="0" w:line="240" w:lineRule="auto"/>
        <w:ind w:left="567" w:hanging="567"/>
        <w:contextualSpacing w:val="0"/>
        <w:jc w:val="left"/>
        <w:textAlignment w:val="baseline"/>
        <w:rPr>
          <w:b/>
          <w:bCs/>
          <w:sz w:val="24"/>
          <w:szCs w:val="24"/>
        </w:rPr>
      </w:pPr>
      <w:r w:rsidRPr="006437EF">
        <w:rPr>
          <w:sz w:val="24"/>
          <w:szCs w:val="24"/>
        </w:rPr>
        <w:t>WRC-15, Geneva, 2-27 November 2015</w:t>
      </w:r>
    </w:p>
    <w:p w:rsidR="00815BD5" w:rsidRPr="006437EF" w:rsidRDefault="00815BD5" w:rsidP="00815BD5">
      <w:pPr>
        <w:tabs>
          <w:tab w:val="left" w:pos="567"/>
          <w:tab w:val="left" w:pos="851"/>
          <w:tab w:val="left" w:pos="1134"/>
          <w:tab w:val="left" w:pos="1418"/>
        </w:tabs>
        <w:rPr>
          <w:sz w:val="24"/>
          <w:szCs w:val="24"/>
        </w:rPr>
      </w:pPr>
      <w:r w:rsidRPr="006437EF">
        <w:rPr>
          <w:rFonts w:cstheme="minorHAnsi"/>
          <w:sz w:val="24"/>
          <w:szCs w:val="24"/>
        </w:rPr>
        <w:t xml:space="preserve">A summary of the outcomes of the </w:t>
      </w:r>
      <w:r w:rsidRPr="006437EF">
        <w:rPr>
          <w:sz w:val="24"/>
          <w:szCs w:val="24"/>
        </w:rPr>
        <w:t xml:space="preserve">RA-15 and the WRC-15 related to ITU-D is </w:t>
      </w:r>
      <w:r w:rsidRPr="006437EF">
        <w:rPr>
          <w:rFonts w:cstheme="minorHAnsi"/>
          <w:sz w:val="24"/>
          <w:szCs w:val="24"/>
        </w:rPr>
        <w:t xml:space="preserve">provided in </w:t>
      </w:r>
      <w:hyperlink r:id="rId22" w:history="1">
        <w:r w:rsidRPr="006437EF">
          <w:rPr>
            <w:rStyle w:val="Hyperlink"/>
            <w:rFonts w:cstheme="minorHAnsi"/>
            <w:sz w:val="24"/>
            <w:szCs w:val="24"/>
          </w:rPr>
          <w:t>TDAG16-21/2</w:t>
        </w:r>
      </w:hyperlink>
      <w:r w:rsidRPr="006437EF">
        <w:rPr>
          <w:sz w:val="24"/>
          <w:szCs w:val="24"/>
        </w:rPr>
        <w:t>.</w:t>
      </w:r>
    </w:p>
    <w:p w:rsidR="00815BD5" w:rsidRPr="006437EF" w:rsidRDefault="00815BD5" w:rsidP="00815BD5">
      <w:pPr>
        <w:tabs>
          <w:tab w:val="left" w:pos="567"/>
          <w:tab w:val="left" w:pos="851"/>
          <w:tab w:val="left" w:pos="1134"/>
          <w:tab w:val="left" w:pos="1418"/>
        </w:tabs>
        <w:rPr>
          <w:rFonts w:cstheme="minorHAnsi"/>
          <w:sz w:val="24"/>
          <w:szCs w:val="24"/>
        </w:rPr>
      </w:pPr>
      <w:r w:rsidRPr="006437EF">
        <w:rPr>
          <w:rFonts w:cstheme="minorHAnsi"/>
          <w:sz w:val="24"/>
          <w:szCs w:val="24"/>
        </w:rPr>
        <w:t>Section 2 of the document outlines the key outcomes of RA-15, notably Resolutions and Recommendations that are relevant to the future work of BDT. They touch on collaboration with ITU-R, cooperation of BR with BDT and the ITU Regional and Area Offices, bridging the digital divide, spectrum management, wireless broadband, accessibility for persons with disabilities, emergency telecommunications and disaster response and relief, and climate change and green ICTs.</w:t>
      </w:r>
    </w:p>
    <w:p w:rsidR="00815BD5" w:rsidRPr="006437EF" w:rsidRDefault="00815BD5" w:rsidP="00815BD5">
      <w:pPr>
        <w:pStyle w:val="Default"/>
        <w:spacing w:before="120"/>
        <w:jc w:val="both"/>
        <w:rPr>
          <w:rFonts w:asciiTheme="minorHAnsi" w:eastAsia="Times New Roman" w:hAnsiTheme="minorHAnsi" w:cstheme="minorHAnsi"/>
          <w:lang w:val="en-GB"/>
        </w:rPr>
      </w:pPr>
      <w:r w:rsidRPr="006437EF">
        <w:rPr>
          <w:rFonts w:cstheme="minorHAnsi"/>
        </w:rPr>
        <w:t>Section 3 of the document outlines</w:t>
      </w:r>
      <w:r w:rsidRPr="006437EF">
        <w:rPr>
          <w:rFonts w:asciiTheme="minorHAnsi" w:eastAsia="Times New Roman" w:hAnsiTheme="minorHAnsi" w:cstheme="minorHAnsi"/>
          <w:lang w:val="en-GB"/>
        </w:rPr>
        <w:t xml:space="preserve"> the main results of WRC-15, notably mobile broadband communications, global flight tracking for civil aviation, assistance to Palestine, amateur radio service, emergency communications and disaster relief, search and rescue, Earth observation satellites for environmental monitoring, unmanned aircraft and wireless avionics systems, enhanced maritime communication systems, road safety, satellite communications and regulatory provisions, Earth Stations in Motion (for operation of broadband satellite systems) and Universal Time. WRC-15 also agreed on Resolutions calling for actions from the Director of BDT and from ITU-D. </w:t>
      </w:r>
    </w:p>
    <w:p w:rsidR="00815BD5" w:rsidRPr="006437EF" w:rsidRDefault="00815BD5" w:rsidP="00815BD5">
      <w:pPr>
        <w:keepNext/>
        <w:tabs>
          <w:tab w:val="left" w:pos="567"/>
        </w:tabs>
        <w:spacing w:before="240"/>
        <w:rPr>
          <w:b/>
          <w:bCs/>
          <w:sz w:val="24"/>
          <w:szCs w:val="24"/>
        </w:rPr>
      </w:pPr>
      <w:r w:rsidRPr="006437EF">
        <w:rPr>
          <w:b/>
          <w:bCs/>
          <w:sz w:val="24"/>
          <w:szCs w:val="24"/>
        </w:rPr>
        <w:t>3.</w:t>
      </w:r>
      <w:r w:rsidRPr="006437EF">
        <w:rPr>
          <w:b/>
          <w:bCs/>
          <w:sz w:val="24"/>
          <w:szCs w:val="24"/>
        </w:rPr>
        <w:tab/>
        <w:t>Efforts for collaboration and coordination among Sectors</w:t>
      </w:r>
    </w:p>
    <w:p w:rsidR="00815BD5" w:rsidRPr="006437EF" w:rsidRDefault="00815BD5" w:rsidP="00815BD5">
      <w:pPr>
        <w:keepNext/>
        <w:tabs>
          <w:tab w:val="left" w:pos="567"/>
        </w:tabs>
        <w:spacing w:before="240"/>
        <w:rPr>
          <w:b/>
          <w:bCs/>
          <w:sz w:val="24"/>
          <w:szCs w:val="24"/>
        </w:rPr>
      </w:pPr>
      <w:r w:rsidRPr="006437EF">
        <w:rPr>
          <w:b/>
          <w:bCs/>
          <w:sz w:val="24"/>
          <w:szCs w:val="24"/>
        </w:rPr>
        <w:t>3.1.</w:t>
      </w:r>
      <w:r w:rsidRPr="006437EF">
        <w:rPr>
          <w:b/>
          <w:bCs/>
          <w:sz w:val="24"/>
          <w:szCs w:val="24"/>
        </w:rPr>
        <w:tab/>
        <w:t>Mechanism to strengthen cooperation and joint activity</w:t>
      </w:r>
    </w:p>
    <w:p w:rsidR="00815BD5" w:rsidRPr="006437EF" w:rsidRDefault="00815BD5" w:rsidP="00815BD5">
      <w:pPr>
        <w:tabs>
          <w:tab w:val="left" w:pos="567"/>
        </w:tabs>
        <w:spacing w:before="60"/>
        <w:rPr>
          <w:sz w:val="24"/>
          <w:szCs w:val="24"/>
        </w:rPr>
      </w:pPr>
      <w:r w:rsidRPr="006437EF">
        <w:rPr>
          <w:sz w:val="24"/>
          <w:szCs w:val="24"/>
        </w:rPr>
        <w:t>In addition to the above efforts, a new electronic tool has been developed that facilitates collaboration and coordination of various meetings and events of the ITU Sectors.</w:t>
      </w:r>
    </w:p>
    <w:p w:rsidR="00815BD5" w:rsidRPr="006437EF" w:rsidRDefault="00815BD5" w:rsidP="00815BD5">
      <w:pPr>
        <w:tabs>
          <w:tab w:val="left" w:pos="567"/>
        </w:tabs>
        <w:spacing w:before="60"/>
        <w:rPr>
          <w:sz w:val="24"/>
          <w:szCs w:val="24"/>
        </w:rPr>
      </w:pPr>
      <w:r w:rsidRPr="006437EF">
        <w:rPr>
          <w:sz w:val="24"/>
          <w:szCs w:val="24"/>
        </w:rPr>
        <w:t xml:space="preserve">Yearly event calendars are now available to members on the </w:t>
      </w:r>
      <w:hyperlink r:id="rId23" w:history="1">
        <w:r w:rsidRPr="006437EF">
          <w:rPr>
            <w:rStyle w:val="Hyperlink"/>
            <w:sz w:val="24"/>
            <w:szCs w:val="24"/>
          </w:rPr>
          <w:t>TDAG homepage</w:t>
        </w:r>
      </w:hyperlink>
      <w:r w:rsidRPr="006437EF">
        <w:rPr>
          <w:sz w:val="24"/>
          <w:szCs w:val="24"/>
        </w:rPr>
        <w:t xml:space="preserve"> and are updated frequently. These calendars are in a printer-friendly format (see </w:t>
      </w:r>
      <w:r w:rsidRPr="006437EF">
        <w:rPr>
          <w:b/>
          <w:bCs/>
          <w:sz w:val="24"/>
          <w:szCs w:val="24"/>
        </w:rPr>
        <w:t>Annex 2</w:t>
      </w:r>
      <w:r w:rsidRPr="006437EF">
        <w:rPr>
          <w:sz w:val="24"/>
          <w:szCs w:val="24"/>
        </w:rPr>
        <w:t xml:space="preserve"> for current versions).</w:t>
      </w:r>
    </w:p>
    <w:p w:rsidR="00815BD5" w:rsidRPr="006437EF" w:rsidRDefault="00815BD5" w:rsidP="00815BD5">
      <w:pPr>
        <w:tabs>
          <w:tab w:val="left" w:pos="567"/>
        </w:tabs>
        <w:spacing w:before="60"/>
        <w:rPr>
          <w:sz w:val="24"/>
          <w:szCs w:val="24"/>
        </w:rPr>
      </w:pPr>
      <w:r w:rsidRPr="006437EF">
        <w:rPr>
          <w:b/>
          <w:bCs/>
          <w:sz w:val="24"/>
          <w:szCs w:val="24"/>
        </w:rPr>
        <w:t>3.2</w:t>
      </w:r>
      <w:r w:rsidRPr="006437EF">
        <w:rPr>
          <w:b/>
          <w:bCs/>
          <w:sz w:val="24"/>
          <w:szCs w:val="24"/>
        </w:rPr>
        <w:tab/>
        <w:t>Jointly organized events and studies</w:t>
      </w:r>
    </w:p>
    <w:p w:rsidR="00815BD5" w:rsidRPr="006437EF" w:rsidRDefault="00815BD5" w:rsidP="00815BD5">
      <w:pPr>
        <w:rPr>
          <w:sz w:val="24"/>
          <w:szCs w:val="24"/>
        </w:rPr>
      </w:pPr>
      <w:r w:rsidRPr="006437EF">
        <w:rPr>
          <w:sz w:val="24"/>
          <w:szCs w:val="24"/>
        </w:rPr>
        <w:t>Thanks to this new mechanism, a number of events of the different Sectors have been organized jointly since the last TDAG meeting, some of which are listed below.</w:t>
      </w:r>
    </w:p>
    <w:p w:rsidR="00815BD5" w:rsidRPr="006437EF" w:rsidRDefault="00815BD5" w:rsidP="00815BD5">
      <w:pPr>
        <w:rPr>
          <w:sz w:val="24"/>
          <w:szCs w:val="24"/>
        </w:rPr>
      </w:pPr>
      <w:r w:rsidRPr="006437EF">
        <w:rPr>
          <w:sz w:val="24"/>
          <w:szCs w:val="24"/>
        </w:rPr>
        <w:t>1</w:t>
      </w:r>
      <w:r w:rsidRPr="006437EF">
        <w:rPr>
          <w:sz w:val="24"/>
          <w:szCs w:val="24"/>
        </w:rPr>
        <w:tab/>
        <w:t>Training “Leveraging ICTs for Smart Sustainable Cities” organized jointly between BDT and TSB in New Delhi, India, on 24-26 March 2015.</w:t>
      </w:r>
    </w:p>
    <w:p w:rsidR="00815BD5" w:rsidRPr="006437EF" w:rsidRDefault="00815BD5" w:rsidP="00815BD5">
      <w:pPr>
        <w:rPr>
          <w:sz w:val="24"/>
          <w:szCs w:val="24"/>
        </w:rPr>
      </w:pPr>
      <w:r w:rsidRPr="006437EF">
        <w:rPr>
          <w:sz w:val="24"/>
          <w:szCs w:val="24"/>
        </w:rPr>
        <w:t>2</w:t>
      </w:r>
      <w:r w:rsidRPr="006437EF">
        <w:rPr>
          <w:sz w:val="24"/>
          <w:szCs w:val="24"/>
        </w:rPr>
        <w:tab/>
        <w:t>Seminar on spectrum optimization for the Americas Region jointly organized by BDT and BR in conjunction with the ITU Regional Development Forum for the Americas, 13-14 July 2015, Cancún, Mexico.</w:t>
      </w:r>
    </w:p>
    <w:p w:rsidR="00815BD5" w:rsidRPr="006437EF" w:rsidRDefault="00815BD5" w:rsidP="00815BD5">
      <w:pPr>
        <w:rPr>
          <w:sz w:val="24"/>
          <w:szCs w:val="24"/>
        </w:rPr>
      </w:pPr>
      <w:r w:rsidRPr="006437EF">
        <w:rPr>
          <w:sz w:val="24"/>
          <w:szCs w:val="24"/>
        </w:rPr>
        <w:t>3</w:t>
      </w:r>
      <w:r w:rsidRPr="006437EF">
        <w:rPr>
          <w:sz w:val="24"/>
          <w:szCs w:val="24"/>
        </w:rPr>
        <w:tab/>
        <w:t xml:space="preserve">WTSA Regional Preparatory Meeting and the ITU Regional Development Forum for Africa, </w:t>
      </w:r>
      <w:r w:rsidRPr="006437EF">
        <w:rPr>
          <w:sz w:val="24"/>
          <w:szCs w:val="24"/>
        </w:rPr>
        <w:br/>
        <w:t>7-10 September 2015, Dakar, Senegal.</w:t>
      </w:r>
    </w:p>
    <w:p w:rsidR="00815BD5" w:rsidRPr="006437EF" w:rsidRDefault="00815BD5" w:rsidP="00815BD5">
      <w:pPr>
        <w:rPr>
          <w:sz w:val="24"/>
          <w:szCs w:val="24"/>
        </w:rPr>
      </w:pPr>
      <w:r w:rsidRPr="006437EF">
        <w:rPr>
          <w:sz w:val="24"/>
          <w:szCs w:val="24"/>
        </w:rPr>
        <w:t>4</w:t>
      </w:r>
      <w:r w:rsidRPr="006437EF">
        <w:rPr>
          <w:sz w:val="24"/>
          <w:szCs w:val="24"/>
        </w:rPr>
        <w:tab/>
        <w:t>Cybersecurity Workshop (8 September 2015) jointly organized by BDT and TSB in conjunction with ITU-D Study Group 2 (Geneva, 7-11 September 2015).</w:t>
      </w:r>
    </w:p>
    <w:p w:rsidR="00815BD5" w:rsidRPr="006437EF" w:rsidRDefault="00815BD5" w:rsidP="00815BD5">
      <w:pPr>
        <w:rPr>
          <w:sz w:val="24"/>
          <w:szCs w:val="24"/>
        </w:rPr>
      </w:pPr>
      <w:r w:rsidRPr="006437EF">
        <w:rPr>
          <w:sz w:val="24"/>
          <w:szCs w:val="24"/>
        </w:rPr>
        <w:t>5</w:t>
      </w:r>
      <w:r w:rsidRPr="006437EF">
        <w:rPr>
          <w:sz w:val="24"/>
          <w:szCs w:val="24"/>
        </w:rPr>
        <w:tab/>
        <w:t>The ITU Global Strategic Dialogue on International Mobile Roaming - Let's roam the world (18 September 2015) jointly organized by BDT and TSB in conjunction with ITU-D Study Group 1 (Geneva, 14-18 September).</w:t>
      </w:r>
    </w:p>
    <w:p w:rsidR="00815BD5" w:rsidRPr="006437EF" w:rsidRDefault="00815BD5" w:rsidP="00815BD5">
      <w:pPr>
        <w:rPr>
          <w:sz w:val="24"/>
          <w:szCs w:val="24"/>
        </w:rPr>
      </w:pPr>
      <w:r w:rsidRPr="006437EF">
        <w:rPr>
          <w:sz w:val="24"/>
          <w:szCs w:val="24"/>
        </w:rPr>
        <w:t>6</w:t>
      </w:r>
      <w:r w:rsidRPr="006437EF">
        <w:rPr>
          <w:sz w:val="24"/>
          <w:szCs w:val="24"/>
        </w:rPr>
        <w:tab/>
        <w:t>The ITU Workshop on the Efficient Use of the Orbit/Spectrum Resource and the ITU International Satellite Symposium 2015 jointly organized by BDT and BR for the Asia-Pacific region in Da Nang, Viet Nam, on 29 September-1 October 2015.</w:t>
      </w:r>
    </w:p>
    <w:p w:rsidR="00815BD5" w:rsidRPr="006437EF" w:rsidRDefault="00815BD5" w:rsidP="00815BD5">
      <w:pPr>
        <w:rPr>
          <w:sz w:val="24"/>
          <w:szCs w:val="24"/>
        </w:rPr>
      </w:pPr>
      <w:r w:rsidRPr="006437EF">
        <w:rPr>
          <w:sz w:val="24"/>
          <w:szCs w:val="24"/>
        </w:rPr>
        <w:t>7</w:t>
      </w:r>
      <w:r w:rsidRPr="006437EF">
        <w:rPr>
          <w:sz w:val="24"/>
          <w:szCs w:val="24"/>
        </w:rPr>
        <w:tab/>
        <w:t>On the occasion of ITU Telecom World 2015 in Budapest, Hungary, from 12 to 15 October 2015, a number of events have been organized on site by BDT and TSB:</w:t>
      </w:r>
    </w:p>
    <w:p w:rsidR="00815BD5" w:rsidRPr="006437EF" w:rsidRDefault="00815BD5" w:rsidP="00815BD5">
      <w:pPr>
        <w:keepNext/>
        <w:ind w:left="851"/>
        <w:rPr>
          <w:i/>
          <w:iCs/>
          <w:sz w:val="24"/>
          <w:szCs w:val="24"/>
        </w:rPr>
      </w:pPr>
      <w:r w:rsidRPr="006437EF">
        <w:rPr>
          <w:i/>
          <w:iCs/>
          <w:sz w:val="24"/>
          <w:szCs w:val="24"/>
        </w:rPr>
        <w:t>Sunday, 11 October 2015</w:t>
      </w:r>
    </w:p>
    <w:p w:rsidR="00815BD5" w:rsidRPr="006437EF" w:rsidRDefault="00815BD5" w:rsidP="00815BD5">
      <w:pPr>
        <w:pStyle w:val="ListParagraph"/>
        <w:numPr>
          <w:ilvl w:val="0"/>
          <w:numId w:val="37"/>
        </w:numPr>
        <w:spacing w:before="120" w:after="0"/>
        <w:ind w:left="851" w:firstLine="0"/>
        <w:jc w:val="left"/>
        <w:rPr>
          <w:sz w:val="24"/>
          <w:szCs w:val="24"/>
        </w:rPr>
      </w:pPr>
      <w:r w:rsidRPr="006437EF">
        <w:rPr>
          <w:sz w:val="24"/>
          <w:szCs w:val="24"/>
        </w:rPr>
        <w:t>Chief Technology Officers’ meeting – organized by TSB.</w:t>
      </w:r>
    </w:p>
    <w:p w:rsidR="00815BD5" w:rsidRPr="006437EF" w:rsidRDefault="00815BD5" w:rsidP="00815BD5">
      <w:pPr>
        <w:pStyle w:val="ListParagraph"/>
        <w:numPr>
          <w:ilvl w:val="0"/>
          <w:numId w:val="37"/>
        </w:numPr>
        <w:spacing w:before="120" w:after="0"/>
        <w:ind w:left="851" w:firstLine="0"/>
        <w:jc w:val="left"/>
        <w:rPr>
          <w:sz w:val="24"/>
          <w:szCs w:val="24"/>
        </w:rPr>
      </w:pPr>
      <w:r w:rsidRPr="006437EF">
        <w:rPr>
          <w:rStyle w:val="Emphasis"/>
          <w:sz w:val="24"/>
          <w:szCs w:val="24"/>
        </w:rPr>
        <w:t>Smart Sustainable Development Model Initiative</w:t>
      </w:r>
      <w:r w:rsidRPr="006437EF">
        <w:rPr>
          <w:sz w:val="24"/>
          <w:szCs w:val="24"/>
        </w:rPr>
        <w:t xml:space="preserve"> meeting – organized by BDT.</w:t>
      </w:r>
    </w:p>
    <w:p w:rsidR="00815BD5" w:rsidRPr="006437EF" w:rsidRDefault="00815BD5" w:rsidP="00815BD5">
      <w:pPr>
        <w:pStyle w:val="ListParagraph"/>
        <w:numPr>
          <w:ilvl w:val="0"/>
          <w:numId w:val="37"/>
        </w:numPr>
        <w:spacing w:before="120" w:after="0"/>
        <w:ind w:left="851" w:firstLine="0"/>
        <w:jc w:val="left"/>
        <w:rPr>
          <w:sz w:val="24"/>
          <w:szCs w:val="24"/>
        </w:rPr>
      </w:pPr>
      <w:r w:rsidRPr="006437EF">
        <w:rPr>
          <w:sz w:val="24"/>
          <w:szCs w:val="24"/>
        </w:rPr>
        <w:t>Private Sector Chief Regulatory Officers’ meeting – organized by BDT.</w:t>
      </w:r>
    </w:p>
    <w:p w:rsidR="00815BD5" w:rsidRPr="006437EF" w:rsidRDefault="00815BD5" w:rsidP="00815BD5">
      <w:pPr>
        <w:pStyle w:val="ListParagraph"/>
        <w:numPr>
          <w:ilvl w:val="0"/>
          <w:numId w:val="37"/>
        </w:numPr>
        <w:spacing w:before="120" w:after="0"/>
        <w:ind w:left="851" w:firstLine="0"/>
        <w:jc w:val="left"/>
        <w:rPr>
          <w:sz w:val="24"/>
          <w:szCs w:val="24"/>
        </w:rPr>
      </w:pPr>
      <w:r w:rsidRPr="006437EF">
        <w:rPr>
          <w:sz w:val="24"/>
          <w:szCs w:val="24"/>
        </w:rPr>
        <w:t>Chief Technology Officers and Study Group Chairmen – organized by TSB.</w:t>
      </w:r>
    </w:p>
    <w:p w:rsidR="00815BD5" w:rsidRPr="006437EF" w:rsidRDefault="00815BD5" w:rsidP="00815BD5">
      <w:pPr>
        <w:pStyle w:val="ListParagraph"/>
        <w:numPr>
          <w:ilvl w:val="0"/>
          <w:numId w:val="37"/>
        </w:numPr>
        <w:spacing w:before="120" w:after="0"/>
        <w:ind w:left="851" w:firstLine="0"/>
        <w:jc w:val="left"/>
        <w:rPr>
          <w:sz w:val="24"/>
          <w:szCs w:val="24"/>
        </w:rPr>
      </w:pPr>
      <w:r w:rsidRPr="006437EF">
        <w:rPr>
          <w:sz w:val="24"/>
          <w:szCs w:val="24"/>
        </w:rPr>
        <w:t xml:space="preserve">M-Powering </w:t>
      </w:r>
      <w:r w:rsidRPr="006437EF">
        <w:rPr>
          <w:rStyle w:val="Emphasis"/>
          <w:sz w:val="24"/>
          <w:szCs w:val="24"/>
        </w:rPr>
        <w:t>Development Initiative</w:t>
      </w:r>
      <w:r w:rsidRPr="006437EF">
        <w:rPr>
          <w:sz w:val="24"/>
          <w:szCs w:val="24"/>
        </w:rPr>
        <w:t xml:space="preserve"> meeting – organized by BDT.</w:t>
      </w:r>
    </w:p>
    <w:p w:rsidR="00815BD5" w:rsidRPr="006437EF" w:rsidRDefault="00815BD5" w:rsidP="00815BD5">
      <w:pPr>
        <w:keepNext/>
        <w:ind w:left="851"/>
        <w:rPr>
          <w:i/>
          <w:iCs/>
          <w:sz w:val="24"/>
          <w:szCs w:val="24"/>
        </w:rPr>
      </w:pPr>
      <w:r w:rsidRPr="006437EF">
        <w:rPr>
          <w:i/>
          <w:iCs/>
          <w:sz w:val="24"/>
          <w:szCs w:val="24"/>
        </w:rPr>
        <w:t>Tuesday, 13 October 2015</w:t>
      </w:r>
    </w:p>
    <w:p w:rsidR="00815BD5" w:rsidRPr="006437EF" w:rsidRDefault="00815BD5" w:rsidP="00815BD5">
      <w:pPr>
        <w:pStyle w:val="ListParagraph"/>
        <w:numPr>
          <w:ilvl w:val="0"/>
          <w:numId w:val="38"/>
        </w:numPr>
        <w:spacing w:before="120" w:after="0"/>
        <w:ind w:left="851" w:firstLine="0"/>
        <w:jc w:val="left"/>
        <w:rPr>
          <w:sz w:val="24"/>
          <w:szCs w:val="24"/>
        </w:rPr>
      </w:pPr>
      <w:r w:rsidRPr="006437EF">
        <w:rPr>
          <w:sz w:val="24"/>
          <w:szCs w:val="24"/>
        </w:rPr>
        <w:t>Emergency Telecommunication Session – organized by BDT.</w:t>
      </w:r>
    </w:p>
    <w:p w:rsidR="00815BD5" w:rsidRPr="006437EF" w:rsidRDefault="00815BD5" w:rsidP="00815BD5">
      <w:pPr>
        <w:rPr>
          <w:sz w:val="24"/>
          <w:szCs w:val="24"/>
        </w:rPr>
      </w:pPr>
      <w:r w:rsidRPr="006437EF">
        <w:rPr>
          <w:sz w:val="24"/>
          <w:szCs w:val="24"/>
        </w:rPr>
        <w:t>8</w:t>
      </w:r>
      <w:r w:rsidRPr="006437EF">
        <w:rPr>
          <w:sz w:val="24"/>
          <w:szCs w:val="24"/>
        </w:rPr>
        <w:tab/>
        <w:t xml:space="preserve">ITU Regional Economic and Financial Forum of Telecommunications/ICTs for Africa, </w:t>
      </w:r>
      <w:r w:rsidRPr="006437EF">
        <w:rPr>
          <w:sz w:val="24"/>
          <w:szCs w:val="24"/>
        </w:rPr>
        <w:br/>
        <w:t>18-19 January 2016 jointly organized by BDT and TSB in conjunction with ITU-T SG3 Regional Group for Africa (SG3RG-AFR), 19-21 January 2016, and ITU-T SG17 Regional Group for Africa (SG17RG-AFR), 22 January 2016, in Abidjan, Côte d’Ivoire.</w:t>
      </w:r>
    </w:p>
    <w:p w:rsidR="00815BD5" w:rsidRPr="006437EF" w:rsidRDefault="00815BD5" w:rsidP="00815BD5">
      <w:pPr>
        <w:rPr>
          <w:sz w:val="24"/>
          <w:szCs w:val="24"/>
        </w:rPr>
      </w:pPr>
      <w:r w:rsidRPr="006437EF">
        <w:rPr>
          <w:sz w:val="24"/>
          <w:szCs w:val="24"/>
        </w:rPr>
        <w:t>9</w:t>
      </w:r>
      <w:r w:rsidRPr="006437EF">
        <w:rPr>
          <w:sz w:val="24"/>
          <w:szCs w:val="24"/>
        </w:rPr>
        <w:tab/>
        <w:t>ITU Regional Economic and Financial Forum of Telecommunications/ICTs for the Arab region jointly organized by BDT and TSB in conjunction with ITU-T SG Regional Group for Arab Region (SG3RG-ARB), Manama, Bahrain, 29 November to 2 December 2015.</w:t>
      </w:r>
    </w:p>
    <w:p w:rsidR="00815BD5" w:rsidRPr="006437EF" w:rsidRDefault="00815BD5" w:rsidP="00815BD5">
      <w:pPr>
        <w:rPr>
          <w:sz w:val="24"/>
          <w:szCs w:val="24"/>
        </w:rPr>
      </w:pPr>
      <w:r w:rsidRPr="006437EF">
        <w:rPr>
          <w:sz w:val="24"/>
          <w:szCs w:val="24"/>
        </w:rPr>
        <w:t>10</w:t>
      </w:r>
      <w:r w:rsidRPr="006437EF">
        <w:rPr>
          <w:sz w:val="24"/>
          <w:szCs w:val="24"/>
        </w:rPr>
        <w:tab/>
        <w:t>ITU regional Forum on Smart Sustainable Cities for the Arab Region jointly organized by BDT and TSB, Abu Dhabi, United Arab Emirates, 5-7 May 2015.</w:t>
      </w:r>
    </w:p>
    <w:p w:rsidR="00815BD5" w:rsidRPr="006437EF" w:rsidRDefault="00815BD5" w:rsidP="00815BD5">
      <w:pPr>
        <w:rPr>
          <w:sz w:val="24"/>
          <w:szCs w:val="24"/>
        </w:rPr>
      </w:pPr>
      <w:r w:rsidRPr="006437EF">
        <w:rPr>
          <w:sz w:val="24"/>
          <w:szCs w:val="24"/>
        </w:rPr>
        <w:t>11</w:t>
      </w:r>
      <w:r w:rsidRPr="006437EF">
        <w:rPr>
          <w:sz w:val="24"/>
          <w:szCs w:val="24"/>
        </w:rPr>
        <w:tab/>
        <w:t>BDT in collaboration with TSB conducted a study on the strategic plan for “Smart City of Djibouti. The study was finalized at the end of February 2016.</w:t>
      </w:r>
    </w:p>
    <w:p w:rsidR="00815BD5" w:rsidRPr="006437EF" w:rsidRDefault="00815BD5" w:rsidP="00815BD5">
      <w:pPr>
        <w:rPr>
          <w:sz w:val="24"/>
          <w:szCs w:val="24"/>
        </w:rPr>
      </w:pPr>
      <w:r w:rsidRPr="006437EF">
        <w:rPr>
          <w:sz w:val="24"/>
          <w:szCs w:val="24"/>
        </w:rPr>
        <w:t>12</w:t>
      </w:r>
      <w:r w:rsidRPr="006437EF">
        <w:rPr>
          <w:sz w:val="24"/>
          <w:szCs w:val="24"/>
        </w:rPr>
        <w:tab/>
        <w:t>The WTSA 2016 Arab Regional Preparatory meeting will take place, in Rabat, Morocco, 28-31 March 2016, jointly organized by the League of Arab States (LAS, one of the Regional Telecommunication Organizations) in conjunction with the ITU Arab Regional Development Forum.</w:t>
      </w:r>
    </w:p>
    <w:p w:rsidR="00815BD5" w:rsidRPr="006437EF" w:rsidRDefault="00815BD5" w:rsidP="00815BD5">
      <w:pPr>
        <w:keepNext/>
        <w:tabs>
          <w:tab w:val="left" w:pos="567"/>
        </w:tabs>
        <w:spacing w:before="240"/>
        <w:rPr>
          <w:b/>
          <w:bCs/>
          <w:sz w:val="24"/>
          <w:szCs w:val="24"/>
        </w:rPr>
      </w:pPr>
      <w:r w:rsidRPr="006437EF">
        <w:rPr>
          <w:b/>
          <w:bCs/>
          <w:sz w:val="24"/>
          <w:szCs w:val="24"/>
        </w:rPr>
        <w:t>4.</w:t>
      </w:r>
      <w:r w:rsidRPr="006437EF">
        <w:rPr>
          <w:b/>
          <w:bCs/>
          <w:sz w:val="24"/>
          <w:szCs w:val="24"/>
        </w:rPr>
        <w:tab/>
        <w:t>Meetings of the Inter-Sector Coordination Team on Issues of Mutual Interest</w:t>
      </w:r>
    </w:p>
    <w:p w:rsidR="00815BD5" w:rsidRPr="006437EF" w:rsidRDefault="00815BD5" w:rsidP="00815BD5">
      <w:pPr>
        <w:rPr>
          <w:sz w:val="24"/>
          <w:szCs w:val="24"/>
        </w:rPr>
      </w:pPr>
      <w:r w:rsidRPr="006437EF">
        <w:rPr>
          <w:sz w:val="24"/>
          <w:szCs w:val="24"/>
        </w:rPr>
        <w:t xml:space="preserve">On 15 March 2016, the Team met under the chairmanship of Mr Bigi (Italy) and reviewed the list of proposed areas of mutual interest. The team developed a list (see </w:t>
      </w:r>
      <w:r w:rsidRPr="006437EF">
        <w:rPr>
          <w:b/>
          <w:bCs/>
          <w:sz w:val="24"/>
          <w:szCs w:val="24"/>
        </w:rPr>
        <w:t>Annex 2</w:t>
      </w:r>
      <w:r w:rsidRPr="006437EF">
        <w:rPr>
          <w:sz w:val="24"/>
          <w:szCs w:val="24"/>
        </w:rPr>
        <w:t>)</w:t>
      </w:r>
      <w:r w:rsidRPr="006437EF">
        <w:rPr>
          <w:b/>
          <w:bCs/>
          <w:sz w:val="24"/>
          <w:szCs w:val="24"/>
        </w:rPr>
        <w:t xml:space="preserve"> </w:t>
      </w:r>
      <w:r w:rsidRPr="006437EF">
        <w:rPr>
          <w:sz w:val="24"/>
          <w:szCs w:val="24"/>
        </w:rPr>
        <w:t>based on the input from the three advisory groups.</w:t>
      </w:r>
    </w:p>
    <w:p w:rsidR="00815BD5" w:rsidRPr="006437EF" w:rsidRDefault="00815BD5" w:rsidP="00815BD5">
      <w:pPr>
        <w:rPr>
          <w:sz w:val="24"/>
          <w:szCs w:val="24"/>
        </w:rPr>
      </w:pPr>
      <w:r w:rsidRPr="006437EF">
        <w:rPr>
          <w:sz w:val="24"/>
          <w:szCs w:val="24"/>
        </w:rPr>
        <w:t xml:space="preserve">The Team approved its Terms of Reference (see </w:t>
      </w:r>
      <w:r w:rsidRPr="006437EF">
        <w:rPr>
          <w:b/>
          <w:bCs/>
          <w:sz w:val="24"/>
          <w:szCs w:val="24"/>
        </w:rPr>
        <w:t>Annex 1</w:t>
      </w:r>
      <w:r w:rsidRPr="006437EF">
        <w:rPr>
          <w:sz w:val="24"/>
          <w:szCs w:val="24"/>
        </w:rPr>
        <w:t>) as revised by all three advisory groups (the latest being TSAG) with the appointment of the new chairman. In addition, the Team agreed to request TDAG to send the list and the Terms of Reference, together with this report to the other two advisory groups.</w:t>
      </w:r>
    </w:p>
    <w:p w:rsidR="006437EF" w:rsidRDefault="006437EF">
      <w:pPr>
        <w:jc w:val="left"/>
        <w:rPr>
          <w:b/>
          <w:bCs/>
          <w:sz w:val="24"/>
          <w:szCs w:val="24"/>
        </w:rPr>
      </w:pPr>
      <w:r>
        <w:rPr>
          <w:b/>
          <w:bCs/>
          <w:sz w:val="24"/>
          <w:szCs w:val="24"/>
        </w:rPr>
        <w:br w:type="page"/>
      </w:r>
    </w:p>
    <w:p w:rsidR="00815BD5" w:rsidRPr="006437EF" w:rsidRDefault="00815BD5" w:rsidP="00815BD5">
      <w:pPr>
        <w:rPr>
          <w:b/>
          <w:bCs/>
          <w:sz w:val="24"/>
          <w:szCs w:val="24"/>
        </w:rPr>
      </w:pPr>
      <w:r w:rsidRPr="006437EF">
        <w:rPr>
          <w:b/>
          <w:bCs/>
          <w:sz w:val="24"/>
          <w:szCs w:val="24"/>
        </w:rPr>
        <w:t>Annexes: 3</w:t>
      </w:r>
    </w:p>
    <w:p w:rsidR="00815BD5" w:rsidRPr="006437EF" w:rsidRDefault="00815BD5" w:rsidP="00815BD5">
      <w:pPr>
        <w:rPr>
          <w:sz w:val="24"/>
          <w:szCs w:val="24"/>
        </w:rPr>
      </w:pPr>
      <w:r w:rsidRPr="006437EF">
        <w:rPr>
          <w:sz w:val="24"/>
          <w:szCs w:val="24"/>
        </w:rPr>
        <w:t>Annex 1 - Revised Terms of Reference</w:t>
      </w:r>
    </w:p>
    <w:p w:rsidR="00815BD5" w:rsidRPr="006437EF" w:rsidRDefault="00815BD5" w:rsidP="00815BD5">
      <w:pPr>
        <w:rPr>
          <w:sz w:val="24"/>
          <w:szCs w:val="24"/>
        </w:rPr>
      </w:pPr>
      <w:r w:rsidRPr="006437EF">
        <w:rPr>
          <w:sz w:val="24"/>
          <w:szCs w:val="24"/>
        </w:rPr>
        <w:t>Annex 2 - List of proposed areas of mutual interest</w:t>
      </w:r>
    </w:p>
    <w:p w:rsidR="00815BD5" w:rsidRDefault="00815BD5" w:rsidP="00815BD5">
      <w:pPr>
        <w:rPr>
          <w:b/>
          <w:bCs/>
          <w:sz w:val="28"/>
          <w:szCs w:val="28"/>
        </w:rPr>
      </w:pPr>
      <w:r w:rsidRPr="006437EF">
        <w:rPr>
          <w:sz w:val="24"/>
          <w:szCs w:val="24"/>
        </w:rPr>
        <w:t>Annex 3 - Calendar of events 2016, 2017, 2018, 2019</w:t>
      </w:r>
      <w:r>
        <w:rPr>
          <w:b/>
          <w:bCs/>
          <w:sz w:val="28"/>
          <w:szCs w:val="28"/>
        </w:rPr>
        <w:br w:type="page"/>
      </w:r>
    </w:p>
    <w:p w:rsidR="00815BD5" w:rsidRDefault="00815BD5" w:rsidP="00815BD5">
      <w:pPr>
        <w:jc w:val="center"/>
        <w:rPr>
          <w:b/>
          <w:bCs/>
          <w:sz w:val="28"/>
          <w:szCs w:val="28"/>
        </w:rPr>
      </w:pPr>
      <w:r w:rsidRPr="000E1A55">
        <w:rPr>
          <w:b/>
          <w:bCs/>
          <w:sz w:val="28"/>
          <w:szCs w:val="28"/>
        </w:rPr>
        <w:t>Annex 1</w:t>
      </w:r>
    </w:p>
    <w:p w:rsidR="00815BD5" w:rsidRDefault="00815BD5" w:rsidP="00815BD5">
      <w:pPr>
        <w:jc w:val="center"/>
        <w:rPr>
          <w:b/>
          <w:bCs/>
          <w:sz w:val="28"/>
          <w:szCs w:val="28"/>
        </w:rPr>
      </w:pPr>
    </w:p>
    <w:p w:rsidR="00815BD5" w:rsidRDefault="00815BD5" w:rsidP="00815BD5">
      <w:pPr>
        <w:spacing w:before="80"/>
        <w:ind w:left="794" w:hanging="794"/>
        <w:jc w:val="center"/>
        <w:rPr>
          <w:b/>
          <w:sz w:val="28"/>
        </w:rPr>
      </w:pPr>
      <w:r>
        <w:rPr>
          <w:b/>
          <w:sz w:val="28"/>
        </w:rPr>
        <w:t>Revised Terms of Reference</w:t>
      </w:r>
    </w:p>
    <w:p w:rsidR="00815BD5" w:rsidRPr="00815BD5" w:rsidRDefault="00815BD5" w:rsidP="00815BD5">
      <w:pPr>
        <w:spacing w:before="80"/>
        <w:ind w:left="794" w:hanging="794"/>
        <w:jc w:val="center"/>
        <w:rPr>
          <w:b/>
          <w:sz w:val="24"/>
          <w:szCs w:val="24"/>
        </w:rPr>
      </w:pPr>
      <w:r w:rsidRPr="00815BD5">
        <w:rPr>
          <w:b/>
          <w:sz w:val="24"/>
          <w:szCs w:val="24"/>
        </w:rPr>
        <w:t>INTER-SECTOR COORDINATION</w:t>
      </w:r>
      <w:r w:rsidRPr="00815BD5">
        <w:rPr>
          <w:sz w:val="24"/>
          <w:szCs w:val="24"/>
        </w:rPr>
        <w:t xml:space="preserve"> </w:t>
      </w:r>
      <w:r w:rsidRPr="00815BD5">
        <w:rPr>
          <w:b/>
          <w:sz w:val="24"/>
          <w:szCs w:val="24"/>
        </w:rPr>
        <w:t>TEAM ON ISSUES OF MUTUAL INTEREST</w:t>
      </w:r>
    </w:p>
    <w:p w:rsidR="00815BD5" w:rsidRPr="00815BD5" w:rsidRDefault="00815BD5" w:rsidP="00815BD5">
      <w:pPr>
        <w:spacing w:before="80"/>
        <w:ind w:left="794" w:hanging="794"/>
        <w:jc w:val="center"/>
        <w:rPr>
          <w:sz w:val="24"/>
          <w:szCs w:val="24"/>
        </w:rPr>
      </w:pPr>
    </w:p>
    <w:p w:rsidR="00815BD5" w:rsidRPr="00815BD5" w:rsidRDefault="00815BD5" w:rsidP="00815BD5">
      <w:pPr>
        <w:rPr>
          <w:sz w:val="24"/>
          <w:szCs w:val="24"/>
        </w:rPr>
      </w:pPr>
      <w:r w:rsidRPr="00815BD5">
        <w:rPr>
          <w:sz w:val="24"/>
          <w:szCs w:val="24"/>
        </w:rPr>
        <w:t xml:space="preserve">The inter-Sector coordination team (ISCT) is jointly established by the Advisory Groups of all three Sectors, in order to avoid duplication of effort and optimize the use of resources. While executing its functions it will:  </w:t>
      </w:r>
    </w:p>
    <w:p w:rsidR="00815BD5" w:rsidRPr="00815BD5" w:rsidRDefault="00815BD5" w:rsidP="00815BD5">
      <w:pPr>
        <w:pStyle w:val="ListParagraph"/>
        <w:numPr>
          <w:ilvl w:val="0"/>
          <w:numId w:val="34"/>
        </w:numPr>
        <w:overflowPunct w:val="0"/>
        <w:autoSpaceDE w:val="0"/>
        <w:autoSpaceDN w:val="0"/>
        <w:adjustRightInd w:val="0"/>
        <w:spacing w:before="120" w:after="0" w:line="240" w:lineRule="auto"/>
        <w:contextualSpacing w:val="0"/>
        <w:jc w:val="left"/>
        <w:textAlignment w:val="baseline"/>
        <w:rPr>
          <w:sz w:val="24"/>
          <w:szCs w:val="24"/>
          <w:lang w:eastAsia="ja-JP"/>
        </w:rPr>
      </w:pPr>
      <w:r w:rsidRPr="00815BD5">
        <w:rPr>
          <w:sz w:val="24"/>
          <w:szCs w:val="24"/>
          <w:lang w:eastAsia="ja-JP"/>
        </w:rPr>
        <w:t>identify subjects common to the three Sectors, or, bilaterally, and consider an updated list (prepared by the Secretariat) containing the areas of mutual interest to the three Sectors pursuant to the mandates assigned by each ITU assembly or conference;</w:t>
      </w:r>
    </w:p>
    <w:p w:rsidR="00815BD5" w:rsidRPr="00815BD5" w:rsidRDefault="00815BD5" w:rsidP="00815BD5">
      <w:pPr>
        <w:pStyle w:val="ListParagraph"/>
        <w:numPr>
          <w:ilvl w:val="0"/>
          <w:numId w:val="34"/>
        </w:numPr>
        <w:overflowPunct w:val="0"/>
        <w:autoSpaceDE w:val="0"/>
        <w:autoSpaceDN w:val="0"/>
        <w:adjustRightInd w:val="0"/>
        <w:spacing w:before="120" w:after="0" w:line="240" w:lineRule="auto"/>
        <w:contextualSpacing w:val="0"/>
        <w:jc w:val="left"/>
        <w:textAlignment w:val="baseline"/>
        <w:rPr>
          <w:sz w:val="24"/>
          <w:szCs w:val="24"/>
          <w:lang w:eastAsia="ja-JP"/>
        </w:rPr>
      </w:pPr>
      <w:r w:rsidRPr="00815BD5">
        <w:rPr>
          <w:sz w:val="24"/>
          <w:szCs w:val="24"/>
          <w:lang w:eastAsia="ja-JP"/>
        </w:rPr>
        <w:t>identify the necessary mechanisms to strengthen cooperation and joint activity among the three Sectors or with each Sector, on issues of mutual interest, paying particular attention to the interests of the developing countries;</w:t>
      </w:r>
    </w:p>
    <w:p w:rsidR="00815BD5" w:rsidRPr="00815BD5" w:rsidRDefault="00815BD5" w:rsidP="00815BD5">
      <w:pPr>
        <w:pStyle w:val="ListParagraph"/>
        <w:numPr>
          <w:ilvl w:val="0"/>
          <w:numId w:val="34"/>
        </w:numPr>
        <w:overflowPunct w:val="0"/>
        <w:autoSpaceDE w:val="0"/>
        <w:autoSpaceDN w:val="0"/>
        <w:adjustRightInd w:val="0"/>
        <w:spacing w:before="120" w:after="0" w:line="240" w:lineRule="auto"/>
        <w:contextualSpacing w:val="0"/>
        <w:jc w:val="left"/>
        <w:textAlignment w:val="baseline"/>
        <w:rPr>
          <w:sz w:val="24"/>
          <w:szCs w:val="24"/>
          <w:lang w:eastAsia="ja-JP"/>
        </w:rPr>
      </w:pPr>
      <w:r w:rsidRPr="00815BD5">
        <w:rPr>
          <w:sz w:val="24"/>
          <w:szCs w:val="24"/>
          <w:lang w:eastAsia="ja-JP"/>
        </w:rPr>
        <w:t>report annually to the respective advisory groups on the progress of the work undertaken.</w:t>
      </w:r>
    </w:p>
    <w:p w:rsidR="00815BD5" w:rsidRPr="00815BD5" w:rsidRDefault="00815BD5" w:rsidP="00815BD5">
      <w:pPr>
        <w:keepNext/>
        <w:spacing w:before="240"/>
        <w:rPr>
          <w:b/>
          <w:bCs/>
          <w:sz w:val="24"/>
          <w:szCs w:val="24"/>
        </w:rPr>
      </w:pPr>
      <w:r w:rsidRPr="00815BD5">
        <w:rPr>
          <w:b/>
          <w:bCs/>
          <w:sz w:val="24"/>
          <w:szCs w:val="24"/>
        </w:rPr>
        <w:t>Background documents</w:t>
      </w:r>
    </w:p>
    <w:p w:rsidR="00815BD5" w:rsidRPr="00815BD5" w:rsidRDefault="00815BD5" w:rsidP="00815BD5">
      <w:pPr>
        <w:numPr>
          <w:ilvl w:val="0"/>
          <w:numId w:val="32"/>
        </w:numPr>
        <w:spacing w:before="120" w:after="0" w:line="240" w:lineRule="auto"/>
        <w:jc w:val="left"/>
        <w:rPr>
          <w:sz w:val="24"/>
          <w:szCs w:val="24"/>
        </w:rPr>
      </w:pPr>
      <w:r w:rsidRPr="00815BD5">
        <w:rPr>
          <w:bCs/>
          <w:sz w:val="24"/>
          <w:szCs w:val="24"/>
        </w:rPr>
        <w:t xml:space="preserve">Resolution 191 (Busan, 2014) of the </w:t>
      </w:r>
      <w:r w:rsidRPr="00815BD5">
        <w:rPr>
          <w:sz w:val="24"/>
          <w:szCs w:val="24"/>
        </w:rPr>
        <w:t>Plenipotentiary Conference</w:t>
      </w:r>
      <w:r w:rsidRPr="00815BD5">
        <w:rPr>
          <w:bCs/>
          <w:sz w:val="24"/>
          <w:szCs w:val="24"/>
        </w:rPr>
        <w:t xml:space="preserve">, </w:t>
      </w:r>
      <w:r w:rsidRPr="00815BD5">
        <w:rPr>
          <w:sz w:val="24"/>
          <w:szCs w:val="24"/>
        </w:rPr>
        <w:t>on strategy for the coordination of efforts among the three Sectors the Union;</w:t>
      </w:r>
    </w:p>
    <w:p w:rsidR="00815BD5" w:rsidRPr="00815BD5" w:rsidRDefault="00815BD5" w:rsidP="00815BD5">
      <w:pPr>
        <w:numPr>
          <w:ilvl w:val="0"/>
          <w:numId w:val="32"/>
        </w:numPr>
        <w:spacing w:before="120" w:after="0" w:line="240" w:lineRule="auto"/>
        <w:jc w:val="left"/>
        <w:rPr>
          <w:sz w:val="24"/>
          <w:szCs w:val="24"/>
        </w:rPr>
      </w:pPr>
      <w:r w:rsidRPr="00815BD5">
        <w:rPr>
          <w:sz w:val="24"/>
          <w:szCs w:val="24"/>
        </w:rPr>
        <w:t xml:space="preserve">Resolution ITU-R 6-2 (Rev. Geneva, 2015) of RA, on liaison and collaboration with the ITU Telecommunication Standardization Sector (ITU-T), and Resolution ITU-R 7-3 (Rev. Geneva, 2015) of RA, on telecommunication development including liaison and collaboration with the ITU Telecommunication Development Sector (ITU-D); </w:t>
      </w:r>
    </w:p>
    <w:p w:rsidR="00815BD5" w:rsidRPr="00815BD5" w:rsidRDefault="00815BD5" w:rsidP="00815BD5">
      <w:pPr>
        <w:numPr>
          <w:ilvl w:val="0"/>
          <w:numId w:val="32"/>
        </w:numPr>
        <w:spacing w:before="120" w:after="0" w:line="240" w:lineRule="auto"/>
        <w:jc w:val="left"/>
        <w:rPr>
          <w:sz w:val="24"/>
          <w:szCs w:val="24"/>
        </w:rPr>
      </w:pPr>
      <w:r w:rsidRPr="00815BD5">
        <w:rPr>
          <w:sz w:val="24"/>
          <w:szCs w:val="24"/>
        </w:rPr>
        <w:t>Resolutions 44 and 45 (Rev. Dubai, 2012) of WTSA, on mutual cooperation and integration of the activities of ITU-T and ITU-D;</w:t>
      </w:r>
    </w:p>
    <w:p w:rsidR="00815BD5" w:rsidRPr="00815BD5" w:rsidRDefault="00815BD5" w:rsidP="00815BD5">
      <w:pPr>
        <w:numPr>
          <w:ilvl w:val="0"/>
          <w:numId w:val="32"/>
        </w:numPr>
        <w:spacing w:before="120" w:after="0" w:line="240" w:lineRule="auto"/>
        <w:jc w:val="left"/>
        <w:rPr>
          <w:sz w:val="24"/>
          <w:szCs w:val="24"/>
        </w:rPr>
      </w:pPr>
      <w:r w:rsidRPr="00815BD5">
        <w:rPr>
          <w:sz w:val="24"/>
          <w:szCs w:val="24"/>
        </w:rPr>
        <w:t>Resolution 57 (Rev. Dubai, 2012) of WTSA, on strengthening coordination and cooperation among the ITU Radiocommunication Sector (ITU-R), ITU-T and ITU-D on matters of mutual interest;</w:t>
      </w:r>
    </w:p>
    <w:p w:rsidR="00815BD5" w:rsidRPr="00815BD5" w:rsidRDefault="00815BD5" w:rsidP="00815BD5">
      <w:pPr>
        <w:numPr>
          <w:ilvl w:val="0"/>
          <w:numId w:val="32"/>
        </w:numPr>
        <w:spacing w:before="120" w:after="0" w:line="240" w:lineRule="auto"/>
        <w:jc w:val="left"/>
        <w:rPr>
          <w:sz w:val="24"/>
          <w:szCs w:val="24"/>
        </w:rPr>
      </w:pPr>
      <w:r w:rsidRPr="00815BD5">
        <w:rPr>
          <w:sz w:val="24"/>
          <w:szCs w:val="24"/>
        </w:rPr>
        <w:t>Resolution 5 (Rev. Dubai 2014) of WTDC, on enhanced participation by developing countries in the activities of the Union;</w:t>
      </w:r>
    </w:p>
    <w:p w:rsidR="00815BD5" w:rsidRPr="00815BD5" w:rsidRDefault="00815BD5" w:rsidP="00815BD5">
      <w:pPr>
        <w:numPr>
          <w:ilvl w:val="0"/>
          <w:numId w:val="32"/>
        </w:numPr>
        <w:spacing w:before="120" w:after="0" w:line="240" w:lineRule="auto"/>
        <w:jc w:val="left"/>
        <w:rPr>
          <w:sz w:val="24"/>
          <w:szCs w:val="24"/>
        </w:rPr>
      </w:pPr>
      <w:r w:rsidRPr="00815BD5">
        <w:rPr>
          <w:sz w:val="24"/>
          <w:szCs w:val="24"/>
        </w:rPr>
        <w:t>Resolution 18 (Rev. Dubai, 2012) of WTSA, on principles and procedures for the allocation of work to, and coordination between, the ITU Radiocommunication and ITU Telecommunication Standardization Sectors;</w:t>
      </w:r>
    </w:p>
    <w:p w:rsidR="00815BD5" w:rsidRPr="00815BD5" w:rsidRDefault="00815BD5" w:rsidP="00815BD5">
      <w:pPr>
        <w:numPr>
          <w:ilvl w:val="0"/>
          <w:numId w:val="32"/>
        </w:numPr>
        <w:spacing w:before="120" w:after="0" w:line="240" w:lineRule="auto"/>
        <w:jc w:val="left"/>
        <w:rPr>
          <w:b/>
          <w:bCs/>
          <w:sz w:val="24"/>
          <w:szCs w:val="24"/>
        </w:rPr>
      </w:pPr>
      <w:r w:rsidRPr="00815BD5">
        <w:rPr>
          <w:sz w:val="24"/>
          <w:szCs w:val="24"/>
        </w:rPr>
        <w:t>Resolution 59 (Rev. Dubai 2014) of WTDC, on strengthening coordination and cooperation among ITU-R, ITU-T and ITU-D on matters of mutual interest.</w:t>
      </w:r>
    </w:p>
    <w:p w:rsidR="00815BD5" w:rsidRPr="00815BD5" w:rsidRDefault="00815BD5" w:rsidP="00815BD5">
      <w:pPr>
        <w:keepNext/>
        <w:spacing w:before="240"/>
        <w:rPr>
          <w:b/>
          <w:bCs/>
          <w:sz w:val="24"/>
          <w:szCs w:val="24"/>
        </w:rPr>
      </w:pPr>
      <w:r w:rsidRPr="00815BD5">
        <w:rPr>
          <w:b/>
          <w:bCs/>
          <w:sz w:val="24"/>
          <w:szCs w:val="24"/>
        </w:rPr>
        <w:t>Composition of the Inter-Sector Coordination Team on Issues of Mutual Interest:</w:t>
      </w:r>
    </w:p>
    <w:p w:rsidR="00815BD5" w:rsidRPr="00815BD5" w:rsidRDefault="00815BD5" w:rsidP="00815BD5">
      <w:pPr>
        <w:pStyle w:val="ListParagraph"/>
        <w:numPr>
          <w:ilvl w:val="0"/>
          <w:numId w:val="33"/>
        </w:numPr>
        <w:tabs>
          <w:tab w:val="left" w:pos="0"/>
          <w:tab w:val="left" w:pos="709"/>
          <w:tab w:val="left" w:pos="1588"/>
          <w:tab w:val="left" w:pos="1985"/>
        </w:tabs>
        <w:overflowPunct w:val="0"/>
        <w:autoSpaceDE w:val="0"/>
        <w:autoSpaceDN w:val="0"/>
        <w:adjustRightInd w:val="0"/>
        <w:spacing w:before="120" w:after="0" w:line="240" w:lineRule="auto"/>
        <w:ind w:left="357" w:hanging="357"/>
        <w:contextualSpacing w:val="0"/>
        <w:jc w:val="left"/>
        <w:textAlignment w:val="baseline"/>
        <w:rPr>
          <w:sz w:val="24"/>
          <w:szCs w:val="24"/>
          <w:lang w:eastAsia="ja-JP"/>
        </w:rPr>
      </w:pPr>
      <w:r w:rsidRPr="00815BD5">
        <w:rPr>
          <w:sz w:val="24"/>
          <w:szCs w:val="24"/>
          <w:lang w:eastAsia="ja-JP"/>
        </w:rPr>
        <w:t>The inter-Sector Coordination Team on Issues of Mutual Interest will consist of representatives from the three Advisory Groups, keeping in mind the need for regional balance.</w:t>
      </w:r>
    </w:p>
    <w:p w:rsidR="00815BD5" w:rsidRPr="00815BD5" w:rsidRDefault="00815BD5" w:rsidP="00815BD5">
      <w:pPr>
        <w:pStyle w:val="ListParagraph"/>
        <w:numPr>
          <w:ilvl w:val="0"/>
          <w:numId w:val="33"/>
        </w:numPr>
        <w:tabs>
          <w:tab w:val="left" w:pos="0"/>
          <w:tab w:val="left" w:pos="709"/>
          <w:tab w:val="left" w:pos="1588"/>
          <w:tab w:val="left" w:pos="1985"/>
        </w:tabs>
        <w:overflowPunct w:val="0"/>
        <w:autoSpaceDE w:val="0"/>
        <w:autoSpaceDN w:val="0"/>
        <w:adjustRightInd w:val="0"/>
        <w:spacing w:before="120" w:after="0" w:line="240" w:lineRule="auto"/>
        <w:ind w:left="357" w:hanging="357"/>
        <w:contextualSpacing w:val="0"/>
        <w:jc w:val="left"/>
        <w:textAlignment w:val="baseline"/>
        <w:rPr>
          <w:sz w:val="24"/>
          <w:szCs w:val="24"/>
          <w:lang w:eastAsia="ja-JP"/>
        </w:rPr>
      </w:pPr>
      <w:r w:rsidRPr="00815BD5">
        <w:rPr>
          <w:sz w:val="24"/>
          <w:szCs w:val="24"/>
          <w:lang w:eastAsia="ja-JP"/>
        </w:rPr>
        <w:t>The ISCT is chaired by Mr Fabio Bigi (Italy), and vice-chaired by the appointed RAG, TSAG and TDAG representatives:</w:t>
      </w:r>
    </w:p>
    <w:p w:rsidR="00815BD5" w:rsidRPr="00815BD5" w:rsidRDefault="00815BD5" w:rsidP="00815BD5">
      <w:pPr>
        <w:pStyle w:val="ListParagraph"/>
        <w:numPr>
          <w:ilvl w:val="0"/>
          <w:numId w:val="33"/>
        </w:numPr>
        <w:tabs>
          <w:tab w:val="left" w:pos="0"/>
          <w:tab w:val="left" w:pos="709"/>
          <w:tab w:val="left" w:pos="1588"/>
          <w:tab w:val="left" w:pos="1985"/>
        </w:tabs>
        <w:overflowPunct w:val="0"/>
        <w:autoSpaceDE w:val="0"/>
        <w:autoSpaceDN w:val="0"/>
        <w:adjustRightInd w:val="0"/>
        <w:spacing w:before="120" w:after="0" w:line="240" w:lineRule="auto"/>
        <w:ind w:left="357" w:hanging="357"/>
        <w:contextualSpacing w:val="0"/>
        <w:jc w:val="left"/>
        <w:textAlignment w:val="baseline"/>
        <w:rPr>
          <w:sz w:val="24"/>
          <w:szCs w:val="24"/>
          <w:lang w:eastAsia="ja-JP"/>
        </w:rPr>
      </w:pPr>
      <w:r w:rsidRPr="00815BD5">
        <w:rPr>
          <w:sz w:val="24"/>
          <w:szCs w:val="24"/>
          <w:lang w:eastAsia="ja-JP"/>
        </w:rPr>
        <w:t>RAG representatives: Mr Peter Major and Mr Albert Nalbandian (Vice-Chairmen of RAG);</w:t>
      </w:r>
    </w:p>
    <w:p w:rsidR="00815BD5" w:rsidRPr="00815BD5" w:rsidRDefault="00815BD5" w:rsidP="00815BD5">
      <w:pPr>
        <w:pStyle w:val="ListParagraph"/>
        <w:numPr>
          <w:ilvl w:val="0"/>
          <w:numId w:val="33"/>
        </w:numPr>
        <w:tabs>
          <w:tab w:val="left" w:pos="0"/>
          <w:tab w:val="left" w:pos="709"/>
          <w:tab w:val="left" w:pos="1588"/>
          <w:tab w:val="left" w:pos="1985"/>
        </w:tabs>
        <w:overflowPunct w:val="0"/>
        <w:autoSpaceDE w:val="0"/>
        <w:autoSpaceDN w:val="0"/>
        <w:adjustRightInd w:val="0"/>
        <w:spacing w:before="120" w:after="0" w:line="240" w:lineRule="auto"/>
        <w:ind w:left="357" w:hanging="357"/>
        <w:contextualSpacing w:val="0"/>
        <w:jc w:val="left"/>
        <w:textAlignment w:val="baseline"/>
        <w:rPr>
          <w:sz w:val="24"/>
          <w:szCs w:val="24"/>
          <w:lang w:eastAsia="ja-JP"/>
        </w:rPr>
      </w:pPr>
      <w:r w:rsidRPr="00815BD5">
        <w:rPr>
          <w:sz w:val="24"/>
          <w:szCs w:val="24"/>
          <w:lang w:eastAsia="ja-JP"/>
        </w:rPr>
        <w:t>TSAG representatives: Mr Matano Ndaro and Mr Vladimir Minkin (Vice-Chairmen of TSAG);</w:t>
      </w:r>
    </w:p>
    <w:p w:rsidR="00815BD5" w:rsidRPr="00815BD5" w:rsidRDefault="00815BD5" w:rsidP="00815BD5">
      <w:pPr>
        <w:pStyle w:val="ListParagraph"/>
        <w:numPr>
          <w:ilvl w:val="0"/>
          <w:numId w:val="33"/>
        </w:numPr>
        <w:tabs>
          <w:tab w:val="left" w:pos="0"/>
          <w:tab w:val="left" w:pos="709"/>
          <w:tab w:val="left" w:pos="1588"/>
          <w:tab w:val="left" w:pos="1985"/>
        </w:tabs>
        <w:overflowPunct w:val="0"/>
        <w:autoSpaceDE w:val="0"/>
        <w:autoSpaceDN w:val="0"/>
        <w:adjustRightInd w:val="0"/>
        <w:spacing w:before="120" w:after="0" w:line="240" w:lineRule="auto"/>
        <w:ind w:left="357" w:hanging="357"/>
        <w:contextualSpacing w:val="0"/>
        <w:jc w:val="left"/>
        <w:textAlignment w:val="baseline"/>
        <w:rPr>
          <w:sz w:val="24"/>
          <w:szCs w:val="24"/>
          <w:lang w:eastAsia="ja-JP"/>
        </w:rPr>
      </w:pPr>
      <w:r w:rsidRPr="00815BD5">
        <w:rPr>
          <w:sz w:val="24"/>
          <w:szCs w:val="24"/>
          <w:lang w:eastAsia="ja-JP"/>
        </w:rPr>
        <w:t>TDAG representatives: Mr Mohamed Al Mazrooei and Ms Nurzat Boljobekova (Vice-Chairmen of TDAG).</w:t>
      </w:r>
    </w:p>
    <w:p w:rsidR="00815BD5" w:rsidRPr="00815BD5" w:rsidRDefault="00815BD5" w:rsidP="00815BD5">
      <w:pPr>
        <w:keepNext/>
        <w:tabs>
          <w:tab w:val="left" w:pos="0"/>
          <w:tab w:val="left" w:pos="709"/>
        </w:tabs>
        <w:spacing w:before="240"/>
        <w:rPr>
          <w:b/>
          <w:sz w:val="24"/>
          <w:szCs w:val="24"/>
        </w:rPr>
      </w:pPr>
      <w:r w:rsidRPr="00815BD5">
        <w:rPr>
          <w:b/>
          <w:sz w:val="24"/>
          <w:szCs w:val="24"/>
        </w:rPr>
        <w:t xml:space="preserve">Secretariat support </w:t>
      </w:r>
    </w:p>
    <w:p w:rsidR="00815BD5" w:rsidRPr="00815BD5" w:rsidRDefault="00815BD5" w:rsidP="00815BD5">
      <w:pPr>
        <w:rPr>
          <w:sz w:val="24"/>
          <w:szCs w:val="24"/>
        </w:rPr>
      </w:pPr>
      <w:r w:rsidRPr="00815BD5">
        <w:rPr>
          <w:sz w:val="24"/>
          <w:szCs w:val="24"/>
        </w:rPr>
        <w:t>The support of the group activity will be provided in accordance with Resolution 191 (Busan, 2014).</w:t>
      </w:r>
    </w:p>
    <w:p w:rsidR="00815BD5" w:rsidRPr="00815BD5" w:rsidRDefault="00815BD5" w:rsidP="00815BD5">
      <w:pPr>
        <w:keepNext/>
        <w:spacing w:before="240"/>
        <w:rPr>
          <w:b/>
          <w:sz w:val="24"/>
          <w:szCs w:val="24"/>
        </w:rPr>
      </w:pPr>
      <w:r w:rsidRPr="00815BD5">
        <w:rPr>
          <w:b/>
          <w:sz w:val="24"/>
          <w:szCs w:val="24"/>
        </w:rPr>
        <w:t>Working methods:</w:t>
      </w:r>
    </w:p>
    <w:p w:rsidR="00815BD5" w:rsidRPr="00815BD5" w:rsidRDefault="00815BD5" w:rsidP="00815BD5">
      <w:pPr>
        <w:pStyle w:val="ListParagraph"/>
        <w:numPr>
          <w:ilvl w:val="0"/>
          <w:numId w:val="34"/>
        </w:numPr>
        <w:overflowPunct w:val="0"/>
        <w:autoSpaceDE w:val="0"/>
        <w:autoSpaceDN w:val="0"/>
        <w:adjustRightInd w:val="0"/>
        <w:spacing w:before="120" w:after="0" w:line="240" w:lineRule="auto"/>
        <w:contextualSpacing w:val="0"/>
        <w:jc w:val="left"/>
        <w:textAlignment w:val="baseline"/>
        <w:rPr>
          <w:sz w:val="24"/>
          <w:szCs w:val="24"/>
          <w:lang w:eastAsia="ja-JP"/>
        </w:rPr>
      </w:pPr>
      <w:r w:rsidRPr="00815BD5">
        <w:rPr>
          <w:sz w:val="24"/>
          <w:szCs w:val="24"/>
          <w:lang w:eastAsia="ja-JP"/>
        </w:rPr>
        <w:t>The Inter-Sector Coordination Team will use an e-mail mailing list.</w:t>
      </w:r>
    </w:p>
    <w:p w:rsidR="00815BD5" w:rsidRPr="00815BD5" w:rsidRDefault="00815BD5" w:rsidP="00815BD5">
      <w:pPr>
        <w:pStyle w:val="ListParagraph"/>
        <w:numPr>
          <w:ilvl w:val="0"/>
          <w:numId w:val="34"/>
        </w:numPr>
        <w:overflowPunct w:val="0"/>
        <w:autoSpaceDE w:val="0"/>
        <w:autoSpaceDN w:val="0"/>
        <w:adjustRightInd w:val="0"/>
        <w:spacing w:before="120" w:after="0" w:line="240" w:lineRule="auto"/>
        <w:ind w:left="357" w:hanging="357"/>
        <w:contextualSpacing w:val="0"/>
        <w:jc w:val="left"/>
        <w:textAlignment w:val="baseline"/>
        <w:rPr>
          <w:sz w:val="24"/>
          <w:szCs w:val="24"/>
          <w:lang w:eastAsia="ja-JP"/>
        </w:rPr>
      </w:pPr>
      <w:r w:rsidRPr="00815BD5">
        <w:rPr>
          <w:sz w:val="24"/>
          <w:szCs w:val="24"/>
          <w:lang w:eastAsia="ja-JP"/>
        </w:rPr>
        <w:t>The Inter-Sector Coordination Team interactions may include e-mail exchange via the e-mail list or through electronic meetings.</w:t>
      </w:r>
    </w:p>
    <w:p w:rsidR="00815BD5" w:rsidRPr="00815BD5" w:rsidRDefault="00815BD5" w:rsidP="00815BD5">
      <w:pPr>
        <w:pStyle w:val="ListParagraph"/>
        <w:numPr>
          <w:ilvl w:val="0"/>
          <w:numId w:val="34"/>
        </w:numPr>
        <w:overflowPunct w:val="0"/>
        <w:autoSpaceDE w:val="0"/>
        <w:autoSpaceDN w:val="0"/>
        <w:adjustRightInd w:val="0"/>
        <w:spacing w:before="120" w:after="0" w:line="240" w:lineRule="auto"/>
        <w:contextualSpacing w:val="0"/>
        <w:jc w:val="left"/>
        <w:textAlignment w:val="baseline"/>
        <w:rPr>
          <w:sz w:val="24"/>
          <w:szCs w:val="24"/>
          <w:lang w:eastAsia="ja-JP"/>
        </w:rPr>
      </w:pPr>
      <w:r w:rsidRPr="00815BD5">
        <w:rPr>
          <w:sz w:val="24"/>
          <w:szCs w:val="24"/>
          <w:lang w:eastAsia="ja-JP"/>
        </w:rPr>
        <w:t>Possible physical meetings may be held if deemed necessary, preferably in conjunction with advisory group meetings, and within available resources, to finalize the work.</w:t>
      </w:r>
    </w:p>
    <w:p w:rsidR="00815BD5" w:rsidRDefault="00815BD5" w:rsidP="00815BD5">
      <w:pPr>
        <w:jc w:val="center"/>
        <w:rPr>
          <w:b/>
          <w:bCs/>
          <w:sz w:val="28"/>
          <w:szCs w:val="28"/>
        </w:rPr>
      </w:pPr>
    </w:p>
    <w:p w:rsidR="00815BD5" w:rsidRDefault="00815BD5" w:rsidP="00815BD5">
      <w:pPr>
        <w:rPr>
          <w:b/>
          <w:bCs/>
          <w:sz w:val="28"/>
          <w:szCs w:val="28"/>
        </w:rPr>
      </w:pPr>
      <w:r>
        <w:rPr>
          <w:b/>
          <w:bCs/>
          <w:sz w:val="28"/>
          <w:szCs w:val="28"/>
        </w:rPr>
        <w:br w:type="page"/>
      </w:r>
    </w:p>
    <w:p w:rsidR="00815BD5" w:rsidRDefault="00815BD5" w:rsidP="00815BD5">
      <w:pPr>
        <w:jc w:val="center"/>
        <w:rPr>
          <w:b/>
          <w:bCs/>
          <w:sz w:val="28"/>
          <w:szCs w:val="28"/>
        </w:rPr>
      </w:pPr>
      <w:r w:rsidRPr="000E1A55">
        <w:rPr>
          <w:b/>
          <w:bCs/>
          <w:sz w:val="28"/>
          <w:szCs w:val="28"/>
        </w:rPr>
        <w:t xml:space="preserve">Annex </w:t>
      </w:r>
      <w:r>
        <w:rPr>
          <w:b/>
          <w:bCs/>
          <w:sz w:val="28"/>
          <w:szCs w:val="28"/>
        </w:rPr>
        <w:t>2</w:t>
      </w:r>
    </w:p>
    <w:p w:rsidR="00815BD5" w:rsidRPr="000E1A55" w:rsidRDefault="00815BD5" w:rsidP="00815BD5">
      <w:pPr>
        <w:jc w:val="center"/>
        <w:rPr>
          <w:b/>
          <w:bCs/>
          <w:sz w:val="28"/>
          <w:szCs w:val="28"/>
        </w:rPr>
      </w:pPr>
    </w:p>
    <w:p w:rsidR="00815BD5" w:rsidRDefault="00815BD5" w:rsidP="00815BD5">
      <w:pPr>
        <w:jc w:val="center"/>
        <w:rPr>
          <w:b/>
          <w:bCs/>
          <w:sz w:val="28"/>
          <w:szCs w:val="28"/>
        </w:rPr>
      </w:pPr>
      <w:r>
        <w:rPr>
          <w:b/>
          <w:bCs/>
          <w:sz w:val="28"/>
          <w:szCs w:val="28"/>
        </w:rPr>
        <w:t>List of</w:t>
      </w:r>
      <w:r w:rsidRPr="000A37BB">
        <w:rPr>
          <w:b/>
          <w:bCs/>
          <w:sz w:val="28"/>
          <w:szCs w:val="28"/>
        </w:rPr>
        <w:t xml:space="preserve"> </w:t>
      </w:r>
      <w:r>
        <w:rPr>
          <w:b/>
          <w:bCs/>
          <w:sz w:val="28"/>
          <w:szCs w:val="28"/>
        </w:rPr>
        <w:t xml:space="preserve">proposed </w:t>
      </w:r>
      <w:r w:rsidRPr="000A37BB">
        <w:rPr>
          <w:b/>
          <w:bCs/>
          <w:sz w:val="28"/>
          <w:szCs w:val="28"/>
        </w:rPr>
        <w:t>areas of mutual interest</w:t>
      </w:r>
    </w:p>
    <w:p w:rsidR="00815BD5" w:rsidRPr="00815BD5" w:rsidRDefault="00815BD5" w:rsidP="00815BD5">
      <w:pPr>
        <w:rPr>
          <w:b/>
          <w:bCs/>
          <w:sz w:val="24"/>
          <w:szCs w:val="24"/>
        </w:rPr>
      </w:pPr>
    </w:p>
    <w:p w:rsidR="00815BD5" w:rsidRPr="00815BD5" w:rsidRDefault="00815BD5" w:rsidP="00815BD5">
      <w:pPr>
        <w:rPr>
          <w:bCs/>
          <w:sz w:val="24"/>
          <w:szCs w:val="24"/>
        </w:rPr>
      </w:pPr>
      <w:r w:rsidRPr="00815BD5">
        <w:rPr>
          <w:sz w:val="24"/>
          <w:szCs w:val="24"/>
        </w:rPr>
        <w:t>The following list was developed based on the input from the three advisory groups and the discussion at the meeting of the Inter-Sector Coordination Team on Issues of Mutual Interest which took place on 15 March 2016.</w:t>
      </w:r>
    </w:p>
    <w:p w:rsidR="00815BD5" w:rsidRPr="00815BD5" w:rsidRDefault="00815BD5" w:rsidP="00815BD5">
      <w:pPr>
        <w:rPr>
          <w:sz w:val="24"/>
          <w:szCs w:val="24"/>
          <w:lang w:eastAsia="ja-JP"/>
        </w:rPr>
      </w:pPr>
      <w:r w:rsidRPr="00815BD5">
        <w:rPr>
          <w:sz w:val="24"/>
          <w:szCs w:val="24"/>
          <w:lang w:eastAsia="ja-JP"/>
        </w:rPr>
        <w:t>When dealing with specific areas of mutual interest, existing practices in the three Sectors will be fully taken into account.</w:t>
      </w:r>
    </w:p>
    <w:p w:rsidR="00815BD5" w:rsidRPr="00815BD5" w:rsidRDefault="00815BD5" w:rsidP="00815BD5">
      <w:pPr>
        <w:keepNext/>
        <w:rPr>
          <w:rFonts w:cstheme="majorBidi"/>
          <w:sz w:val="24"/>
          <w:szCs w:val="24"/>
          <w:lang w:eastAsia="zh-CN"/>
        </w:rPr>
      </w:pPr>
      <w:r w:rsidRPr="00815BD5">
        <w:rPr>
          <w:sz w:val="24"/>
          <w:szCs w:val="24"/>
        </w:rPr>
        <w:t>1.</w:t>
      </w:r>
      <w:r w:rsidRPr="00815BD5">
        <w:rPr>
          <w:rFonts w:cstheme="majorBidi"/>
          <w:sz w:val="24"/>
          <w:szCs w:val="24"/>
          <w:lang w:eastAsia="zh-CN"/>
        </w:rPr>
        <w:tab/>
        <w:t>Participation</w:t>
      </w:r>
    </w:p>
    <w:p w:rsidR="00815BD5" w:rsidRPr="00815BD5" w:rsidRDefault="00815BD5" w:rsidP="00815BD5">
      <w:pPr>
        <w:spacing w:before="80"/>
        <w:ind w:left="1588" w:hanging="794"/>
        <w:rPr>
          <w:rFonts w:cstheme="majorBidi"/>
          <w:sz w:val="24"/>
          <w:szCs w:val="24"/>
          <w:lang w:eastAsia="zh-CN"/>
        </w:rPr>
      </w:pPr>
      <w:r w:rsidRPr="00815BD5">
        <w:rPr>
          <w:rFonts w:cstheme="majorBidi"/>
          <w:sz w:val="24"/>
          <w:szCs w:val="24"/>
          <w:lang w:eastAsia="zh-CN"/>
        </w:rPr>
        <w:t>1.1</w:t>
      </w:r>
      <w:r w:rsidRPr="00815BD5">
        <w:rPr>
          <w:rFonts w:cstheme="majorBidi"/>
          <w:sz w:val="24"/>
          <w:szCs w:val="24"/>
          <w:lang w:eastAsia="zh-CN"/>
        </w:rPr>
        <w:tab/>
        <w:t>Remote participation.</w:t>
      </w:r>
    </w:p>
    <w:p w:rsidR="00815BD5" w:rsidRPr="00815BD5" w:rsidRDefault="00815BD5" w:rsidP="00815BD5">
      <w:pPr>
        <w:spacing w:before="80"/>
        <w:ind w:left="1588" w:hanging="794"/>
        <w:rPr>
          <w:rFonts w:cstheme="majorBidi"/>
          <w:sz w:val="24"/>
          <w:szCs w:val="24"/>
          <w:lang w:eastAsia="zh-CN"/>
        </w:rPr>
      </w:pPr>
      <w:r w:rsidRPr="00815BD5">
        <w:rPr>
          <w:rFonts w:cstheme="majorBidi"/>
          <w:sz w:val="24"/>
          <w:szCs w:val="24"/>
          <w:lang w:eastAsia="zh-CN"/>
        </w:rPr>
        <w:t>1.2</w:t>
      </w:r>
      <w:r w:rsidRPr="00815BD5">
        <w:rPr>
          <w:rFonts w:cstheme="majorBidi"/>
          <w:sz w:val="24"/>
          <w:szCs w:val="24"/>
          <w:lang w:eastAsia="zh-CN"/>
        </w:rPr>
        <w:tab/>
        <w:t>E-meetings, e-correspondence groups.</w:t>
      </w:r>
    </w:p>
    <w:p w:rsidR="00815BD5" w:rsidRPr="00815BD5" w:rsidRDefault="00815BD5" w:rsidP="00815BD5">
      <w:pPr>
        <w:spacing w:before="80"/>
        <w:ind w:left="1588" w:hanging="794"/>
        <w:rPr>
          <w:rFonts w:cstheme="majorBidi"/>
          <w:sz w:val="24"/>
          <w:szCs w:val="24"/>
          <w:lang w:eastAsia="zh-CN"/>
        </w:rPr>
      </w:pPr>
      <w:r w:rsidRPr="00815BD5">
        <w:rPr>
          <w:rFonts w:cstheme="majorBidi"/>
          <w:sz w:val="24"/>
          <w:szCs w:val="24"/>
          <w:lang w:eastAsia="zh-CN"/>
        </w:rPr>
        <w:t>1.3</w:t>
      </w:r>
      <w:r w:rsidRPr="00815BD5">
        <w:rPr>
          <w:rFonts w:cstheme="majorBidi"/>
          <w:sz w:val="24"/>
          <w:szCs w:val="24"/>
          <w:lang w:eastAsia="zh-CN"/>
        </w:rPr>
        <w:tab/>
        <w:t>Increasing involvement of developing countries.</w:t>
      </w:r>
    </w:p>
    <w:p w:rsidR="00815BD5" w:rsidRPr="00815BD5" w:rsidRDefault="00815BD5" w:rsidP="00815BD5">
      <w:pPr>
        <w:spacing w:before="80"/>
        <w:ind w:left="1588" w:hanging="794"/>
        <w:rPr>
          <w:sz w:val="24"/>
          <w:szCs w:val="24"/>
        </w:rPr>
      </w:pPr>
      <w:r w:rsidRPr="00815BD5">
        <w:rPr>
          <w:sz w:val="24"/>
          <w:szCs w:val="24"/>
        </w:rPr>
        <w:t xml:space="preserve">1.4 </w:t>
      </w:r>
      <w:r w:rsidRPr="00815BD5">
        <w:rPr>
          <w:sz w:val="24"/>
          <w:szCs w:val="24"/>
        </w:rPr>
        <w:tab/>
        <w:t>Vice-chairmen participation issues.</w:t>
      </w:r>
    </w:p>
    <w:p w:rsidR="00815BD5" w:rsidRPr="00815BD5" w:rsidRDefault="00815BD5" w:rsidP="00815BD5">
      <w:pPr>
        <w:spacing w:before="80"/>
        <w:ind w:left="1588" w:hanging="794"/>
        <w:rPr>
          <w:rFonts w:cstheme="majorBidi"/>
          <w:sz w:val="24"/>
          <w:szCs w:val="24"/>
          <w:lang w:eastAsia="zh-CN"/>
        </w:rPr>
      </w:pPr>
      <w:r w:rsidRPr="00815BD5">
        <w:rPr>
          <w:sz w:val="24"/>
          <w:szCs w:val="24"/>
        </w:rPr>
        <w:t>1.5</w:t>
      </w:r>
      <w:r w:rsidRPr="00815BD5">
        <w:rPr>
          <w:sz w:val="24"/>
          <w:szCs w:val="24"/>
        </w:rPr>
        <w:tab/>
        <w:t>Non-member participation.</w:t>
      </w:r>
    </w:p>
    <w:p w:rsidR="00815BD5" w:rsidRPr="00815BD5" w:rsidRDefault="00815BD5" w:rsidP="00815BD5">
      <w:pPr>
        <w:keepNext/>
        <w:rPr>
          <w:rFonts w:cstheme="majorBidi"/>
          <w:sz w:val="24"/>
          <w:szCs w:val="24"/>
          <w:lang w:eastAsia="zh-CN"/>
        </w:rPr>
      </w:pPr>
      <w:r w:rsidRPr="00815BD5">
        <w:rPr>
          <w:rFonts w:cstheme="majorBidi"/>
          <w:sz w:val="24"/>
          <w:szCs w:val="24"/>
          <w:lang w:eastAsia="zh-CN"/>
        </w:rPr>
        <w:t>2.</w:t>
      </w:r>
      <w:r w:rsidRPr="00815BD5">
        <w:rPr>
          <w:rFonts w:cstheme="majorBidi"/>
          <w:sz w:val="24"/>
          <w:szCs w:val="24"/>
          <w:lang w:eastAsia="zh-CN"/>
        </w:rPr>
        <w:tab/>
        <w:t>Document handling</w:t>
      </w:r>
    </w:p>
    <w:p w:rsidR="00815BD5" w:rsidRPr="00815BD5" w:rsidRDefault="00815BD5" w:rsidP="00815BD5">
      <w:pPr>
        <w:spacing w:before="80"/>
        <w:ind w:left="794" w:hanging="794"/>
        <w:rPr>
          <w:rFonts w:cstheme="majorBidi"/>
          <w:sz w:val="24"/>
          <w:szCs w:val="24"/>
          <w:lang w:eastAsia="zh-CN"/>
        </w:rPr>
      </w:pPr>
      <w:r w:rsidRPr="00815BD5">
        <w:rPr>
          <w:rFonts w:cstheme="majorBidi"/>
          <w:sz w:val="24"/>
          <w:szCs w:val="24"/>
          <w:lang w:eastAsia="zh-CN"/>
        </w:rPr>
        <w:tab/>
        <w:t>2.1</w:t>
      </w:r>
      <w:r w:rsidRPr="00815BD5">
        <w:rPr>
          <w:rFonts w:cstheme="majorBidi"/>
          <w:sz w:val="24"/>
          <w:szCs w:val="24"/>
          <w:lang w:eastAsia="zh-CN"/>
        </w:rPr>
        <w:tab/>
        <w:t>Electronic document handling.</w:t>
      </w:r>
    </w:p>
    <w:p w:rsidR="00815BD5" w:rsidRPr="00815BD5" w:rsidRDefault="00815BD5" w:rsidP="00815BD5">
      <w:pPr>
        <w:spacing w:before="80"/>
        <w:ind w:left="794" w:hanging="794"/>
        <w:rPr>
          <w:rFonts w:cstheme="majorBidi"/>
          <w:sz w:val="24"/>
          <w:szCs w:val="24"/>
          <w:lang w:eastAsia="zh-CN"/>
        </w:rPr>
      </w:pPr>
      <w:r w:rsidRPr="00815BD5">
        <w:rPr>
          <w:rFonts w:cstheme="majorBidi"/>
          <w:sz w:val="24"/>
          <w:szCs w:val="24"/>
          <w:lang w:eastAsia="zh-CN"/>
        </w:rPr>
        <w:tab/>
        <w:t>2.2</w:t>
      </w:r>
      <w:r w:rsidRPr="00815BD5">
        <w:rPr>
          <w:rFonts w:cstheme="majorBidi"/>
          <w:sz w:val="24"/>
          <w:szCs w:val="24"/>
          <w:lang w:eastAsia="zh-CN"/>
        </w:rPr>
        <w:tab/>
        <w:t>Deadline for submission of secretariat contributions for action.</w:t>
      </w:r>
    </w:p>
    <w:p w:rsidR="00815BD5" w:rsidRPr="00815BD5" w:rsidRDefault="00815BD5" w:rsidP="00815BD5">
      <w:pPr>
        <w:spacing w:before="80"/>
        <w:ind w:left="794" w:hanging="794"/>
        <w:rPr>
          <w:rFonts w:cstheme="majorBidi"/>
          <w:sz w:val="24"/>
          <w:szCs w:val="24"/>
          <w:lang w:eastAsia="zh-CN"/>
        </w:rPr>
      </w:pPr>
      <w:r w:rsidRPr="00815BD5">
        <w:rPr>
          <w:rFonts w:cstheme="majorBidi"/>
          <w:sz w:val="24"/>
          <w:szCs w:val="24"/>
          <w:lang w:eastAsia="zh-CN"/>
        </w:rPr>
        <w:tab/>
        <w:t>2.3</w:t>
      </w:r>
      <w:r w:rsidRPr="00815BD5">
        <w:rPr>
          <w:rFonts w:cstheme="majorBidi"/>
          <w:sz w:val="24"/>
          <w:szCs w:val="24"/>
          <w:lang w:eastAsia="zh-CN"/>
        </w:rPr>
        <w:tab/>
        <w:t>Access to documents.</w:t>
      </w:r>
    </w:p>
    <w:p w:rsidR="00815BD5" w:rsidRPr="00815BD5" w:rsidRDefault="00815BD5" w:rsidP="00815BD5">
      <w:pPr>
        <w:keepNext/>
        <w:rPr>
          <w:rFonts w:cstheme="majorBidi"/>
          <w:sz w:val="24"/>
          <w:szCs w:val="24"/>
          <w:lang w:eastAsia="zh-CN"/>
        </w:rPr>
      </w:pPr>
      <w:r w:rsidRPr="00815BD5">
        <w:rPr>
          <w:rFonts w:cstheme="majorBidi"/>
          <w:sz w:val="24"/>
          <w:szCs w:val="24"/>
          <w:lang w:eastAsia="zh-CN"/>
        </w:rPr>
        <w:t>3.</w:t>
      </w:r>
      <w:r w:rsidRPr="00815BD5">
        <w:rPr>
          <w:rFonts w:cstheme="majorBidi"/>
          <w:sz w:val="24"/>
          <w:szCs w:val="24"/>
          <w:lang w:eastAsia="zh-CN"/>
        </w:rPr>
        <w:tab/>
        <w:t>Registration</w:t>
      </w:r>
    </w:p>
    <w:p w:rsidR="00815BD5" w:rsidRPr="00815BD5" w:rsidRDefault="00815BD5" w:rsidP="00815BD5">
      <w:pPr>
        <w:spacing w:before="80"/>
        <w:ind w:left="794" w:hanging="794"/>
        <w:rPr>
          <w:rFonts w:cstheme="majorBidi"/>
          <w:sz w:val="24"/>
          <w:szCs w:val="24"/>
          <w:lang w:eastAsia="zh-CN"/>
        </w:rPr>
      </w:pPr>
      <w:r w:rsidRPr="00815BD5">
        <w:rPr>
          <w:rFonts w:cstheme="majorBidi"/>
          <w:sz w:val="24"/>
          <w:szCs w:val="24"/>
          <w:lang w:eastAsia="zh-CN"/>
        </w:rPr>
        <w:tab/>
        <w:t>3.1</w:t>
      </w:r>
      <w:r w:rsidRPr="00815BD5">
        <w:rPr>
          <w:rFonts w:cstheme="majorBidi"/>
          <w:sz w:val="24"/>
          <w:szCs w:val="24"/>
          <w:lang w:eastAsia="zh-CN"/>
        </w:rPr>
        <w:tab/>
        <w:t>Harmonization of registration.</w:t>
      </w:r>
    </w:p>
    <w:p w:rsidR="00815BD5" w:rsidRPr="00815BD5" w:rsidRDefault="00815BD5" w:rsidP="00815BD5">
      <w:pPr>
        <w:spacing w:before="80"/>
        <w:ind w:left="794" w:hanging="794"/>
        <w:rPr>
          <w:rFonts w:cstheme="majorBidi"/>
          <w:sz w:val="24"/>
          <w:szCs w:val="24"/>
          <w:lang w:eastAsia="zh-CN"/>
        </w:rPr>
      </w:pPr>
      <w:r w:rsidRPr="00815BD5">
        <w:rPr>
          <w:rFonts w:cstheme="majorBidi"/>
          <w:sz w:val="24"/>
          <w:szCs w:val="24"/>
          <w:lang w:eastAsia="zh-CN"/>
        </w:rPr>
        <w:tab/>
        <w:t>3.2</w:t>
      </w:r>
      <w:r w:rsidRPr="00815BD5">
        <w:rPr>
          <w:rFonts w:cstheme="majorBidi"/>
          <w:sz w:val="24"/>
          <w:szCs w:val="24"/>
          <w:lang w:eastAsia="zh-CN"/>
        </w:rPr>
        <w:tab/>
        <w:t>Registration for remote participants.</w:t>
      </w:r>
    </w:p>
    <w:p w:rsidR="00815BD5" w:rsidRPr="00815BD5" w:rsidRDefault="00815BD5" w:rsidP="00815BD5">
      <w:pPr>
        <w:spacing w:before="80"/>
        <w:ind w:left="794" w:hanging="794"/>
        <w:rPr>
          <w:rFonts w:eastAsia="SimSun" w:cstheme="majorBidi"/>
          <w:sz w:val="24"/>
          <w:szCs w:val="24"/>
          <w:lang w:eastAsia="zh-CN"/>
        </w:rPr>
      </w:pPr>
      <w:r w:rsidRPr="00815BD5">
        <w:rPr>
          <w:rFonts w:cstheme="majorBidi"/>
          <w:sz w:val="24"/>
          <w:szCs w:val="24"/>
          <w:lang w:eastAsia="zh-CN"/>
        </w:rPr>
        <w:t>4.</w:t>
      </w:r>
      <w:r w:rsidRPr="00815BD5">
        <w:rPr>
          <w:rFonts w:cstheme="majorBidi"/>
          <w:sz w:val="24"/>
          <w:szCs w:val="24"/>
          <w:lang w:eastAsia="zh-CN"/>
        </w:rPr>
        <w:tab/>
      </w:r>
      <w:r w:rsidRPr="00815BD5">
        <w:rPr>
          <w:rFonts w:eastAsia="SimSun" w:cstheme="majorBidi"/>
          <w:sz w:val="24"/>
          <w:szCs w:val="24"/>
          <w:lang w:eastAsia="zh-CN"/>
        </w:rPr>
        <w:t>Improvement of the ITU webpages in official ITU languages taking into account best practices.</w:t>
      </w:r>
    </w:p>
    <w:p w:rsidR="00815BD5" w:rsidRPr="00815BD5" w:rsidRDefault="00815BD5" w:rsidP="00815BD5">
      <w:pPr>
        <w:spacing w:before="80"/>
        <w:ind w:left="794" w:hanging="794"/>
        <w:rPr>
          <w:rFonts w:eastAsia="SimSun" w:cstheme="majorBidi"/>
          <w:sz w:val="24"/>
          <w:szCs w:val="24"/>
          <w:lang w:eastAsia="zh-CN"/>
        </w:rPr>
      </w:pPr>
      <w:r w:rsidRPr="00815BD5">
        <w:rPr>
          <w:sz w:val="24"/>
          <w:szCs w:val="24"/>
        </w:rPr>
        <w:tab/>
        <w:t>4.1</w:t>
      </w:r>
      <w:r w:rsidRPr="00815BD5">
        <w:rPr>
          <w:sz w:val="24"/>
          <w:szCs w:val="24"/>
        </w:rPr>
        <w:tab/>
        <w:t>Language issues</w:t>
      </w:r>
    </w:p>
    <w:p w:rsidR="00815BD5" w:rsidRPr="00815BD5" w:rsidRDefault="00815BD5" w:rsidP="00815BD5">
      <w:pPr>
        <w:pStyle w:val="PlainText"/>
        <w:spacing w:before="120"/>
        <w:ind w:left="794" w:hanging="794"/>
        <w:rPr>
          <w:rFonts w:cs="Times New Roman"/>
          <w:sz w:val="24"/>
          <w:szCs w:val="24"/>
          <w:lang w:val="en-GB"/>
        </w:rPr>
      </w:pPr>
      <w:r w:rsidRPr="00815BD5">
        <w:rPr>
          <w:sz w:val="24"/>
          <w:szCs w:val="24"/>
          <w:lang w:val="en-GB"/>
        </w:rPr>
        <w:t>5</w:t>
      </w:r>
      <w:r w:rsidRPr="00815BD5">
        <w:rPr>
          <w:rFonts w:cs="Times New Roman"/>
          <w:sz w:val="24"/>
          <w:szCs w:val="24"/>
          <w:lang w:val="en-GB"/>
        </w:rPr>
        <w:t>.</w:t>
      </w:r>
      <w:r w:rsidRPr="00815BD5">
        <w:rPr>
          <w:rFonts w:cs="Times New Roman"/>
          <w:sz w:val="24"/>
          <w:szCs w:val="24"/>
          <w:lang w:val="en-GB"/>
        </w:rPr>
        <w:tab/>
      </w:r>
      <w:r w:rsidRPr="00815BD5">
        <w:rPr>
          <w:rFonts w:cs="Times New Roman"/>
          <w:sz w:val="24"/>
          <w:szCs w:val="24"/>
          <w:lang w:eastAsia="ja-JP"/>
        </w:rPr>
        <w:t>Meeting planning.</w:t>
      </w:r>
    </w:p>
    <w:p w:rsidR="00815BD5" w:rsidRPr="00815BD5" w:rsidRDefault="00815BD5" w:rsidP="00815BD5">
      <w:pPr>
        <w:pStyle w:val="PlainText"/>
        <w:tabs>
          <w:tab w:val="left" w:pos="1134"/>
        </w:tabs>
        <w:spacing w:before="120"/>
        <w:ind w:left="1588" w:hanging="794"/>
        <w:rPr>
          <w:sz w:val="24"/>
          <w:szCs w:val="24"/>
        </w:rPr>
      </w:pPr>
      <w:r w:rsidRPr="00815BD5">
        <w:rPr>
          <w:rFonts w:cs="Times New Roman"/>
          <w:sz w:val="24"/>
          <w:szCs w:val="24"/>
          <w:lang w:val="en-GB"/>
        </w:rPr>
        <w:t>5.1</w:t>
      </w:r>
      <w:r w:rsidRPr="00815BD5">
        <w:rPr>
          <w:rFonts w:cs="Times New Roman"/>
          <w:sz w:val="24"/>
          <w:szCs w:val="24"/>
          <w:lang w:val="en-GB"/>
        </w:rPr>
        <w:tab/>
        <w:t>Preparation to conferences and meetings.</w:t>
      </w:r>
    </w:p>
    <w:p w:rsidR="00815BD5" w:rsidRPr="00815BD5" w:rsidRDefault="00815BD5" w:rsidP="00815BD5">
      <w:pPr>
        <w:spacing w:before="80"/>
        <w:ind w:left="1134" w:hanging="340"/>
        <w:rPr>
          <w:rFonts w:cstheme="majorBidi"/>
          <w:sz w:val="24"/>
          <w:szCs w:val="24"/>
          <w:lang w:eastAsia="zh-CN"/>
        </w:rPr>
      </w:pPr>
      <w:r w:rsidRPr="00815BD5">
        <w:rPr>
          <w:rFonts w:cstheme="majorBidi"/>
          <w:sz w:val="24"/>
          <w:szCs w:val="24"/>
          <w:lang w:eastAsia="zh-CN"/>
        </w:rPr>
        <w:t>5.2</w:t>
      </w:r>
      <w:r w:rsidRPr="00815BD5">
        <w:rPr>
          <w:rFonts w:cstheme="majorBidi"/>
          <w:sz w:val="24"/>
          <w:szCs w:val="24"/>
          <w:lang w:eastAsia="zh-CN"/>
        </w:rPr>
        <w:tab/>
        <w:t>Further enhancement and optimization of seminars/symposia/workshops/capacity building.</w:t>
      </w:r>
    </w:p>
    <w:p w:rsidR="00815BD5" w:rsidRPr="00815BD5" w:rsidRDefault="00815BD5" w:rsidP="00815BD5">
      <w:pPr>
        <w:pStyle w:val="PlainText"/>
        <w:spacing w:before="120"/>
        <w:ind w:left="794" w:hanging="794"/>
        <w:rPr>
          <w:rFonts w:cs="Times New Roman"/>
          <w:sz w:val="24"/>
          <w:szCs w:val="24"/>
          <w:lang w:val="en-GB"/>
        </w:rPr>
      </w:pPr>
      <w:r w:rsidRPr="00815BD5">
        <w:rPr>
          <w:rFonts w:cs="Times New Roman"/>
          <w:sz w:val="24"/>
          <w:szCs w:val="24"/>
          <w:lang w:val="en-GB" w:eastAsia="ja-JP"/>
        </w:rPr>
        <w:t>6</w:t>
      </w:r>
      <w:r w:rsidRPr="00815BD5">
        <w:rPr>
          <w:rFonts w:cs="Times New Roman"/>
          <w:sz w:val="24"/>
          <w:szCs w:val="24"/>
          <w:lang w:eastAsia="ja-JP"/>
        </w:rPr>
        <w:t>.</w:t>
      </w:r>
      <w:r w:rsidRPr="00815BD5">
        <w:rPr>
          <w:rFonts w:cs="Times New Roman"/>
          <w:sz w:val="24"/>
          <w:szCs w:val="24"/>
          <w:lang w:eastAsia="ja-JP"/>
        </w:rPr>
        <w:tab/>
        <w:t>Streamlined establishment procedures of inter-Sector Rapporteur group (IRG).</w:t>
      </w:r>
    </w:p>
    <w:p w:rsidR="00815BD5" w:rsidRPr="00815BD5" w:rsidRDefault="00815BD5" w:rsidP="00A6704C">
      <w:pPr>
        <w:pStyle w:val="PlainText"/>
        <w:keepNext/>
        <w:keepLines/>
        <w:spacing w:before="120"/>
        <w:ind w:left="794" w:hanging="794"/>
        <w:rPr>
          <w:rFonts w:cs="Times New Roman"/>
          <w:sz w:val="24"/>
          <w:szCs w:val="24"/>
          <w:lang w:val="en-GB"/>
        </w:rPr>
      </w:pPr>
      <w:r w:rsidRPr="00815BD5">
        <w:rPr>
          <w:rFonts w:cs="Times New Roman"/>
          <w:sz w:val="24"/>
          <w:szCs w:val="24"/>
          <w:lang w:eastAsia="ja-JP"/>
        </w:rPr>
        <w:t>7.</w:t>
      </w:r>
      <w:r w:rsidRPr="00815BD5">
        <w:rPr>
          <w:rFonts w:cs="Times New Roman"/>
          <w:sz w:val="24"/>
          <w:szCs w:val="24"/>
          <w:lang w:eastAsia="ja-JP"/>
        </w:rPr>
        <w:tab/>
        <w:t>Identification of technical issues with common interests, for example on and not limited to:</w:t>
      </w:r>
    </w:p>
    <w:p w:rsidR="00815BD5" w:rsidRPr="00815BD5" w:rsidRDefault="00815BD5" w:rsidP="00A6704C">
      <w:pPr>
        <w:keepNext/>
        <w:keepLines/>
        <w:spacing w:before="80"/>
        <w:ind w:left="1418" w:hanging="624"/>
        <w:rPr>
          <w:rFonts w:ascii="Calibri" w:hAnsi="Calibri"/>
          <w:sz w:val="24"/>
          <w:szCs w:val="24"/>
          <w:lang w:eastAsia="zh-CN"/>
        </w:rPr>
      </w:pPr>
      <w:r w:rsidRPr="00815BD5">
        <w:rPr>
          <w:sz w:val="24"/>
          <w:szCs w:val="24"/>
        </w:rPr>
        <w:t>7.1</w:t>
      </w:r>
      <w:r w:rsidRPr="00815BD5">
        <w:rPr>
          <w:sz w:val="24"/>
          <w:szCs w:val="24"/>
        </w:rPr>
        <w:tab/>
        <w:t>Internet exchange points (IXPs)</w:t>
      </w:r>
    </w:p>
    <w:p w:rsidR="00815BD5" w:rsidRPr="00815BD5" w:rsidRDefault="00815BD5" w:rsidP="00A6704C">
      <w:pPr>
        <w:keepNext/>
        <w:keepLines/>
        <w:spacing w:before="80"/>
        <w:ind w:left="1418" w:hanging="624"/>
        <w:rPr>
          <w:rFonts w:ascii="Calibri" w:hAnsi="Calibri"/>
          <w:sz w:val="24"/>
          <w:szCs w:val="24"/>
          <w:lang w:eastAsia="zh-CN"/>
        </w:rPr>
      </w:pPr>
      <w:r w:rsidRPr="00815BD5">
        <w:rPr>
          <w:rFonts w:ascii="Calibri" w:hAnsi="Calibri"/>
          <w:sz w:val="24"/>
          <w:szCs w:val="24"/>
          <w:lang w:eastAsia="zh-CN"/>
        </w:rPr>
        <w:t>7.2</w:t>
      </w:r>
      <w:r w:rsidRPr="00815BD5">
        <w:rPr>
          <w:rFonts w:ascii="Calibri" w:hAnsi="Calibri"/>
          <w:sz w:val="24"/>
          <w:szCs w:val="24"/>
          <w:lang w:eastAsia="zh-CN"/>
        </w:rPr>
        <w:tab/>
        <w:t>IPTV</w:t>
      </w:r>
    </w:p>
    <w:p w:rsidR="00815BD5" w:rsidRPr="00815BD5" w:rsidRDefault="00815BD5" w:rsidP="00A6704C">
      <w:pPr>
        <w:keepNext/>
        <w:keepLines/>
        <w:spacing w:before="80"/>
        <w:ind w:left="1418" w:hanging="624"/>
        <w:rPr>
          <w:rFonts w:ascii="Calibri" w:hAnsi="Calibri"/>
          <w:sz w:val="24"/>
          <w:szCs w:val="24"/>
          <w:lang w:eastAsia="zh-CN"/>
        </w:rPr>
      </w:pPr>
      <w:r w:rsidRPr="00815BD5">
        <w:rPr>
          <w:rFonts w:ascii="Calibri" w:hAnsi="Calibri"/>
          <w:sz w:val="24"/>
          <w:szCs w:val="24"/>
          <w:lang w:eastAsia="zh-CN"/>
        </w:rPr>
        <w:t>7.3</w:t>
      </w:r>
      <w:r w:rsidRPr="00815BD5">
        <w:rPr>
          <w:rFonts w:ascii="Calibri" w:hAnsi="Calibri"/>
          <w:sz w:val="24"/>
          <w:szCs w:val="24"/>
          <w:lang w:eastAsia="zh-CN"/>
        </w:rPr>
        <w:tab/>
        <w:t>C&amp;I</w:t>
      </w:r>
    </w:p>
    <w:p w:rsidR="00815BD5" w:rsidRPr="00815BD5" w:rsidRDefault="00815BD5" w:rsidP="00A6704C">
      <w:pPr>
        <w:keepNext/>
        <w:keepLines/>
        <w:spacing w:before="80"/>
        <w:ind w:left="1418" w:hanging="624"/>
        <w:rPr>
          <w:sz w:val="24"/>
          <w:szCs w:val="24"/>
        </w:rPr>
      </w:pPr>
      <w:r w:rsidRPr="00815BD5">
        <w:rPr>
          <w:sz w:val="24"/>
          <w:szCs w:val="24"/>
          <w:lang w:eastAsia="ja-JP"/>
        </w:rPr>
        <w:t>7.4</w:t>
      </w:r>
      <w:r w:rsidRPr="00815BD5">
        <w:rPr>
          <w:sz w:val="24"/>
          <w:szCs w:val="24"/>
          <w:lang w:eastAsia="ja-JP"/>
        </w:rPr>
        <w:tab/>
        <w:t>Accessibility.</w:t>
      </w:r>
    </w:p>
    <w:p w:rsidR="00815BD5" w:rsidRPr="00815BD5" w:rsidRDefault="00815BD5" w:rsidP="00815BD5">
      <w:pPr>
        <w:ind w:left="1418" w:hanging="624"/>
        <w:rPr>
          <w:rFonts w:ascii="Calibri" w:hAnsi="Calibri"/>
          <w:sz w:val="24"/>
          <w:szCs w:val="24"/>
          <w:lang w:eastAsia="ja-JP"/>
        </w:rPr>
      </w:pPr>
      <w:r w:rsidRPr="00815BD5">
        <w:rPr>
          <w:rFonts w:ascii="Calibri" w:hAnsi="Calibri"/>
          <w:sz w:val="24"/>
          <w:szCs w:val="24"/>
          <w:lang w:eastAsia="ja-JP"/>
        </w:rPr>
        <w:t>7.5</w:t>
      </w:r>
      <w:r w:rsidRPr="00815BD5">
        <w:rPr>
          <w:rFonts w:ascii="Calibri" w:hAnsi="Calibri"/>
          <w:sz w:val="24"/>
          <w:szCs w:val="24"/>
          <w:lang w:eastAsia="ja-JP"/>
        </w:rPr>
        <w:tab/>
        <w:t>IoT</w:t>
      </w:r>
    </w:p>
    <w:p w:rsidR="00815BD5" w:rsidRPr="00815BD5" w:rsidRDefault="00815BD5" w:rsidP="00815BD5">
      <w:pPr>
        <w:ind w:left="1418" w:hanging="624"/>
        <w:rPr>
          <w:rFonts w:ascii="Calibri" w:hAnsi="Calibri"/>
          <w:sz w:val="24"/>
          <w:szCs w:val="24"/>
          <w:lang w:eastAsia="ja-JP"/>
        </w:rPr>
      </w:pPr>
      <w:r w:rsidRPr="00815BD5">
        <w:rPr>
          <w:rFonts w:ascii="Calibri" w:hAnsi="Calibri"/>
          <w:sz w:val="24"/>
          <w:szCs w:val="24"/>
          <w:lang w:eastAsia="ja-JP"/>
        </w:rPr>
        <w:t>7.6</w:t>
      </w:r>
      <w:r w:rsidRPr="00815BD5">
        <w:rPr>
          <w:rFonts w:ascii="Calibri" w:hAnsi="Calibri"/>
          <w:sz w:val="24"/>
          <w:szCs w:val="24"/>
          <w:lang w:eastAsia="ja-JP"/>
        </w:rPr>
        <w:tab/>
        <w:t>Green standards</w:t>
      </w:r>
    </w:p>
    <w:p w:rsidR="00815BD5" w:rsidRPr="00815BD5" w:rsidRDefault="00815BD5" w:rsidP="00815BD5">
      <w:pPr>
        <w:ind w:left="1418" w:hanging="624"/>
        <w:rPr>
          <w:rFonts w:ascii="Calibri" w:hAnsi="Calibri"/>
          <w:sz w:val="24"/>
          <w:szCs w:val="24"/>
          <w:lang w:eastAsia="ja-JP"/>
        </w:rPr>
      </w:pPr>
      <w:r w:rsidRPr="00815BD5">
        <w:rPr>
          <w:rFonts w:ascii="Calibri" w:hAnsi="Calibri"/>
          <w:sz w:val="24"/>
          <w:szCs w:val="24"/>
          <w:lang w:eastAsia="ja-JP"/>
        </w:rPr>
        <w:t>7.7</w:t>
      </w:r>
      <w:r w:rsidRPr="00815BD5">
        <w:rPr>
          <w:rFonts w:ascii="Calibri" w:hAnsi="Calibri"/>
          <w:sz w:val="24"/>
          <w:szCs w:val="24"/>
          <w:lang w:eastAsia="ja-JP"/>
        </w:rPr>
        <w:tab/>
        <w:t>Broadband</w:t>
      </w:r>
    </w:p>
    <w:p w:rsidR="00815BD5" w:rsidRPr="00815BD5" w:rsidRDefault="00815BD5" w:rsidP="00815BD5">
      <w:pPr>
        <w:ind w:left="1418" w:hanging="624"/>
        <w:rPr>
          <w:rFonts w:ascii="Calibri" w:hAnsi="Calibri"/>
          <w:sz w:val="24"/>
          <w:szCs w:val="24"/>
          <w:lang w:eastAsia="ja-JP"/>
        </w:rPr>
      </w:pPr>
      <w:r w:rsidRPr="00815BD5">
        <w:rPr>
          <w:rFonts w:ascii="Calibri" w:hAnsi="Calibri"/>
          <w:sz w:val="24"/>
          <w:szCs w:val="24"/>
          <w:lang w:eastAsia="ja-JP"/>
        </w:rPr>
        <w:t>7.8</w:t>
      </w:r>
      <w:r w:rsidRPr="00815BD5">
        <w:rPr>
          <w:rFonts w:ascii="Calibri" w:hAnsi="Calibri"/>
          <w:sz w:val="24"/>
          <w:szCs w:val="24"/>
          <w:lang w:eastAsia="ja-JP"/>
        </w:rPr>
        <w:tab/>
        <w:t>IMT</w:t>
      </w:r>
    </w:p>
    <w:p w:rsidR="00815BD5" w:rsidRPr="00815BD5" w:rsidRDefault="00815BD5" w:rsidP="00815BD5">
      <w:pPr>
        <w:ind w:left="1418" w:hanging="624"/>
        <w:rPr>
          <w:rFonts w:ascii="Calibri" w:hAnsi="Calibri"/>
          <w:sz w:val="24"/>
          <w:szCs w:val="24"/>
          <w:lang w:eastAsia="ja-JP"/>
        </w:rPr>
      </w:pPr>
      <w:r w:rsidRPr="00815BD5">
        <w:rPr>
          <w:rFonts w:ascii="Calibri" w:hAnsi="Calibri"/>
          <w:sz w:val="24"/>
          <w:szCs w:val="24"/>
          <w:lang w:eastAsia="ja-JP"/>
        </w:rPr>
        <w:t>7.9</w:t>
      </w:r>
      <w:r w:rsidRPr="00815BD5">
        <w:rPr>
          <w:rFonts w:ascii="Calibri" w:hAnsi="Calibri"/>
          <w:sz w:val="24"/>
          <w:szCs w:val="24"/>
          <w:lang w:eastAsia="ja-JP"/>
        </w:rPr>
        <w:tab/>
        <w:t>Digital Finance</w:t>
      </w:r>
    </w:p>
    <w:p w:rsidR="00815BD5" w:rsidRPr="00815BD5" w:rsidRDefault="00815BD5" w:rsidP="00815BD5">
      <w:pPr>
        <w:rPr>
          <w:rFonts w:ascii="Calibri" w:hAnsi="Calibri"/>
          <w:sz w:val="24"/>
          <w:szCs w:val="24"/>
          <w:lang w:eastAsia="ja-JP"/>
        </w:rPr>
      </w:pPr>
      <w:r w:rsidRPr="00815BD5">
        <w:rPr>
          <w:rFonts w:ascii="Calibri" w:hAnsi="Calibri"/>
          <w:sz w:val="24"/>
          <w:szCs w:val="24"/>
          <w:lang w:eastAsia="ja-JP"/>
        </w:rPr>
        <w:t>8.</w:t>
      </w:r>
      <w:r w:rsidRPr="00815BD5">
        <w:rPr>
          <w:rFonts w:ascii="Calibri" w:hAnsi="Calibri"/>
          <w:sz w:val="24"/>
          <w:szCs w:val="24"/>
          <w:lang w:eastAsia="ja-JP"/>
        </w:rPr>
        <w:tab/>
        <w:t>Exchange of information on related study activities</w:t>
      </w:r>
    </w:p>
    <w:p w:rsidR="00815BD5" w:rsidRDefault="00815BD5" w:rsidP="00815BD5">
      <w:pPr>
        <w:spacing w:after="200" w:line="276" w:lineRule="auto"/>
        <w:rPr>
          <w:rFonts w:ascii="Calibri" w:hAnsi="Calibri"/>
          <w:szCs w:val="24"/>
          <w:lang w:eastAsia="ja-JP"/>
        </w:rPr>
      </w:pPr>
      <w:r>
        <w:rPr>
          <w:rFonts w:ascii="Calibri" w:hAnsi="Calibri"/>
          <w:szCs w:val="24"/>
          <w:lang w:eastAsia="ja-JP"/>
        </w:rPr>
        <w:br w:type="page"/>
      </w:r>
    </w:p>
    <w:p w:rsidR="00815BD5" w:rsidRDefault="00815BD5" w:rsidP="00815BD5">
      <w:pPr>
        <w:jc w:val="center"/>
        <w:rPr>
          <w:b/>
          <w:bCs/>
          <w:sz w:val="28"/>
          <w:szCs w:val="28"/>
        </w:rPr>
      </w:pPr>
      <w:r w:rsidRPr="000E1A55">
        <w:rPr>
          <w:b/>
          <w:bCs/>
          <w:sz w:val="28"/>
          <w:szCs w:val="28"/>
        </w:rPr>
        <w:t xml:space="preserve">Annex </w:t>
      </w:r>
      <w:r>
        <w:rPr>
          <w:b/>
          <w:bCs/>
          <w:sz w:val="28"/>
          <w:szCs w:val="28"/>
        </w:rPr>
        <w:t>3</w:t>
      </w:r>
    </w:p>
    <w:p w:rsidR="00815BD5" w:rsidRPr="000E1A55" w:rsidRDefault="00815BD5" w:rsidP="00815BD5">
      <w:pPr>
        <w:jc w:val="center"/>
        <w:rPr>
          <w:b/>
          <w:bCs/>
          <w:sz w:val="28"/>
          <w:szCs w:val="28"/>
        </w:rPr>
      </w:pPr>
    </w:p>
    <w:p w:rsidR="00815BD5" w:rsidRDefault="00815BD5" w:rsidP="00815BD5">
      <w:pPr>
        <w:jc w:val="center"/>
        <w:rPr>
          <w:b/>
          <w:bCs/>
          <w:sz w:val="28"/>
          <w:szCs w:val="28"/>
        </w:rPr>
      </w:pPr>
      <w:r w:rsidRPr="00C67702">
        <w:rPr>
          <w:b/>
          <w:bCs/>
          <w:sz w:val="28"/>
          <w:szCs w:val="28"/>
        </w:rPr>
        <w:t>Calendar of events 2016, 2017, 2018, 2019</w:t>
      </w:r>
    </w:p>
    <w:p w:rsidR="00815BD5" w:rsidRDefault="00815BD5" w:rsidP="00815BD5">
      <w:pPr>
        <w:rPr>
          <w:b/>
          <w:bCs/>
          <w:sz w:val="28"/>
          <w:szCs w:val="28"/>
        </w:rPr>
      </w:pPr>
    </w:p>
    <w:p w:rsidR="00815BD5" w:rsidRPr="00815BD5" w:rsidRDefault="00815BD5" w:rsidP="00815BD5">
      <w:pPr>
        <w:rPr>
          <w:b/>
          <w:bCs/>
          <w:sz w:val="24"/>
          <w:szCs w:val="24"/>
        </w:rPr>
      </w:pPr>
    </w:p>
    <w:p w:rsidR="00815BD5" w:rsidRPr="00815BD5" w:rsidRDefault="00815BD5" w:rsidP="00815BD5">
      <w:pPr>
        <w:rPr>
          <w:rFonts w:ascii="Calibri" w:hAnsi="Calibri"/>
          <w:sz w:val="24"/>
          <w:szCs w:val="24"/>
          <w:lang w:eastAsia="ja-JP"/>
        </w:rPr>
      </w:pPr>
      <w:r w:rsidRPr="00815BD5">
        <w:rPr>
          <w:sz w:val="24"/>
          <w:szCs w:val="24"/>
        </w:rPr>
        <w:t xml:space="preserve">Please find the calendar of events on the TDAG webpage at </w:t>
      </w:r>
      <w:hyperlink r:id="rId24" w:history="1">
        <w:r w:rsidRPr="00815BD5">
          <w:rPr>
            <w:rStyle w:val="Hyperlink"/>
            <w:sz w:val="24"/>
            <w:szCs w:val="24"/>
          </w:rPr>
          <w:t>www.itu.int/ITU-D/TDAG</w:t>
        </w:r>
      </w:hyperlink>
      <w:r w:rsidRPr="00815BD5">
        <w:rPr>
          <w:sz w:val="24"/>
          <w:szCs w:val="24"/>
        </w:rPr>
        <w:t>, or in the attached pdf files.</w:t>
      </w:r>
    </w:p>
    <w:p w:rsidR="00815BD5" w:rsidRPr="00815BD5" w:rsidRDefault="00815BD5" w:rsidP="00815BD5">
      <w:pPr>
        <w:rPr>
          <w:rFonts w:ascii="Calibri" w:hAnsi="Calibri"/>
          <w:sz w:val="24"/>
          <w:szCs w:val="24"/>
          <w:lang w:eastAsia="ja-JP"/>
        </w:rPr>
      </w:pPr>
    </w:p>
    <w:p w:rsidR="00815BD5" w:rsidRDefault="00815BD5" w:rsidP="00815BD5">
      <w:pPr>
        <w:jc w:val="center"/>
        <w:rPr>
          <w:rFonts w:ascii="Calibri" w:hAnsi="Calibri"/>
          <w:szCs w:val="24"/>
          <w:lang w:eastAsia="ja-JP"/>
        </w:rPr>
      </w:pPr>
      <w:r>
        <w:rPr>
          <w:rFonts w:ascii="Calibri" w:hAnsi="Calibri"/>
          <w:szCs w:val="24"/>
          <w:lang w:eastAsia="ja-JP"/>
        </w:rPr>
        <w:t>_______________</w:t>
      </w:r>
    </w:p>
    <w:sectPr w:rsidR="00815BD5" w:rsidSect="00815BD5">
      <w:headerReference w:type="default" r:id="rId25"/>
      <w:footerReference w:type="default" r:id="rId26"/>
      <w:footerReference w:type="first" r:id="rId27"/>
      <w:pgSz w:w="11907" w:h="16839" w:code="9"/>
      <w:pgMar w:top="1077" w:right="680" w:bottom="1077" w:left="6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27" w:rsidRDefault="00722527" w:rsidP="00BC5230">
      <w:pPr>
        <w:spacing w:after="0" w:line="240" w:lineRule="auto"/>
      </w:pPr>
      <w:r>
        <w:separator/>
      </w:r>
    </w:p>
  </w:endnote>
  <w:endnote w:type="continuationSeparator" w:id="0">
    <w:p w:rsidR="00722527" w:rsidRDefault="00722527"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27" w:rsidRPr="006927DC" w:rsidRDefault="006927DC" w:rsidP="00815BD5">
    <w:pPr>
      <w:pStyle w:val="Footer"/>
      <w:tabs>
        <w:tab w:val="clear" w:pos="9360"/>
        <w:tab w:val="right" w:pos="9781"/>
      </w:tabs>
      <w:rPr>
        <w:rFonts w:asciiTheme="majorBidi" w:hAnsiTheme="majorBidi" w:cstheme="majorBidi"/>
      </w:rPr>
    </w:pPr>
    <w:r w:rsidRPr="00093D80">
      <w:rPr>
        <w:rFonts w:asciiTheme="majorBidi" w:hAnsiTheme="majorBidi" w:cstheme="majorBidi"/>
        <w:lang w:val="en-GB"/>
      </w:rPr>
      <w:fldChar w:fldCharType="begin"/>
    </w:r>
    <w:r w:rsidRPr="00093D80">
      <w:rPr>
        <w:rFonts w:asciiTheme="majorBidi" w:hAnsiTheme="majorBidi" w:cstheme="majorBidi"/>
      </w:rPr>
      <w:instrText xml:space="preserve"> FILENAME \p \* MERGEFORMAT </w:instrText>
    </w:r>
    <w:r w:rsidRPr="00093D80">
      <w:rPr>
        <w:rFonts w:asciiTheme="majorBidi" w:hAnsiTheme="majorBidi" w:cstheme="majorBidi"/>
        <w:lang w:val="en-GB"/>
      </w:rPr>
      <w:fldChar w:fldCharType="separate"/>
    </w:r>
    <w:r w:rsidR="00815BD5">
      <w:rPr>
        <w:rFonts w:asciiTheme="majorBidi" w:hAnsiTheme="majorBidi" w:cstheme="majorBidi"/>
        <w:noProof/>
      </w:rPr>
      <w:t>Y:\APP\BR\POOL\RAG-16\016E.docx</w:t>
    </w:r>
    <w:r w:rsidRPr="00093D80">
      <w:rPr>
        <w:rFonts w:asciiTheme="majorBidi" w:hAnsiTheme="majorBidi" w:cstheme="majorBidi"/>
        <w:lang w:val="es-ES_tradnl"/>
      </w:rPr>
      <w:fldChar w:fldCharType="end"/>
    </w:r>
    <w:r w:rsidRPr="00093D80">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savedate \@ dd.MM.yy </w:instrText>
    </w:r>
    <w:r w:rsidRPr="00093D80">
      <w:rPr>
        <w:rFonts w:asciiTheme="majorBidi" w:hAnsiTheme="majorBidi" w:cstheme="majorBidi"/>
      </w:rPr>
      <w:fldChar w:fldCharType="separate"/>
    </w:r>
    <w:r w:rsidR="00E303B1">
      <w:rPr>
        <w:rFonts w:asciiTheme="majorBidi" w:hAnsiTheme="majorBidi" w:cstheme="majorBidi"/>
        <w:noProof/>
      </w:rPr>
      <w:t>11.05.16</w:t>
    </w:r>
    <w:r w:rsidRPr="00093D80">
      <w:rPr>
        <w:rFonts w:asciiTheme="majorBidi" w:hAnsiTheme="majorBidi" w:cstheme="majorBidi"/>
      </w:rPr>
      <w:fldChar w:fldCharType="end"/>
    </w:r>
    <w:r w:rsidRPr="00093D80">
      <w:rPr>
        <w:rFonts w:asciiTheme="majorBidi" w:hAnsiTheme="majorBidi" w:cstheme="majorBidi"/>
      </w:rPr>
      <w:t xml:space="preserve"> </w:t>
    </w:r>
    <w:r>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printdate \@ dd.MM.yy </w:instrText>
    </w:r>
    <w:r w:rsidRPr="00093D80">
      <w:rPr>
        <w:rFonts w:asciiTheme="majorBidi" w:hAnsiTheme="majorBidi" w:cstheme="majorBidi"/>
      </w:rPr>
      <w:fldChar w:fldCharType="separate"/>
    </w:r>
    <w:r w:rsidRPr="00093D80">
      <w:rPr>
        <w:rFonts w:asciiTheme="majorBidi" w:hAnsiTheme="majorBidi" w:cstheme="majorBidi"/>
      </w:rPr>
      <w:t>30.04.15</w:t>
    </w:r>
    <w:r w:rsidRPr="00093D80">
      <w:rPr>
        <w:rFonts w:asciiTheme="majorBidi" w:hAnsiTheme="majorBidi" w:cstheme="majorBid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D5" w:rsidRPr="00815BD5" w:rsidRDefault="00815BD5" w:rsidP="00815BD5">
    <w:pPr>
      <w:pStyle w:val="Footer"/>
      <w:tabs>
        <w:tab w:val="clear" w:pos="9360"/>
        <w:tab w:val="right" w:pos="9781"/>
      </w:tabs>
      <w:rPr>
        <w:rFonts w:asciiTheme="majorBidi" w:hAnsiTheme="majorBidi" w:cstheme="majorBidi"/>
      </w:rPr>
    </w:pPr>
    <w:r w:rsidRPr="00093D80">
      <w:rPr>
        <w:rFonts w:asciiTheme="majorBidi" w:hAnsiTheme="majorBidi" w:cstheme="majorBidi"/>
        <w:lang w:val="en-GB"/>
      </w:rPr>
      <w:fldChar w:fldCharType="begin"/>
    </w:r>
    <w:r w:rsidRPr="00093D80">
      <w:rPr>
        <w:rFonts w:asciiTheme="majorBidi" w:hAnsiTheme="majorBidi" w:cstheme="majorBidi"/>
      </w:rPr>
      <w:instrText xml:space="preserve"> FILENAME \p \* MERGEFORMAT </w:instrText>
    </w:r>
    <w:r w:rsidRPr="00093D80">
      <w:rPr>
        <w:rFonts w:asciiTheme="majorBidi" w:hAnsiTheme="majorBidi" w:cstheme="majorBidi"/>
        <w:lang w:val="en-GB"/>
      </w:rPr>
      <w:fldChar w:fldCharType="separate"/>
    </w:r>
    <w:r>
      <w:rPr>
        <w:rFonts w:asciiTheme="majorBidi" w:hAnsiTheme="majorBidi" w:cstheme="majorBidi"/>
        <w:noProof/>
      </w:rPr>
      <w:t>Y:\APP\BR\POOL\RAG-16\016E.docx</w:t>
    </w:r>
    <w:r w:rsidRPr="00093D80">
      <w:rPr>
        <w:rFonts w:asciiTheme="majorBidi" w:hAnsiTheme="majorBidi" w:cstheme="majorBidi"/>
        <w:lang w:val="es-ES_tradnl"/>
      </w:rPr>
      <w:fldChar w:fldCharType="end"/>
    </w:r>
    <w:r w:rsidRPr="00093D80">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savedate \@ dd.MM.yy </w:instrText>
    </w:r>
    <w:r w:rsidRPr="00093D80">
      <w:rPr>
        <w:rFonts w:asciiTheme="majorBidi" w:hAnsiTheme="majorBidi" w:cstheme="majorBidi"/>
      </w:rPr>
      <w:fldChar w:fldCharType="separate"/>
    </w:r>
    <w:r w:rsidR="00E303B1">
      <w:rPr>
        <w:rFonts w:asciiTheme="majorBidi" w:hAnsiTheme="majorBidi" w:cstheme="majorBidi"/>
        <w:noProof/>
      </w:rPr>
      <w:t>11.05.16</w:t>
    </w:r>
    <w:r w:rsidRPr="00093D80">
      <w:rPr>
        <w:rFonts w:asciiTheme="majorBidi" w:hAnsiTheme="majorBidi" w:cstheme="majorBidi"/>
      </w:rPr>
      <w:fldChar w:fldCharType="end"/>
    </w:r>
    <w:r w:rsidRPr="00093D80">
      <w:rPr>
        <w:rFonts w:asciiTheme="majorBidi" w:hAnsiTheme="majorBidi" w:cstheme="majorBidi"/>
      </w:rPr>
      <w:t xml:space="preserve"> </w:t>
    </w:r>
    <w:r>
      <w:rPr>
        <w:rFonts w:asciiTheme="majorBidi" w:hAnsiTheme="majorBidi" w:cstheme="majorBidi"/>
      </w:rPr>
      <w:tab/>
    </w:r>
    <w:r w:rsidRPr="00093D80">
      <w:rPr>
        <w:rFonts w:asciiTheme="majorBidi" w:hAnsiTheme="majorBidi" w:cstheme="majorBidi"/>
      </w:rPr>
      <w:fldChar w:fldCharType="begin"/>
    </w:r>
    <w:r w:rsidRPr="00093D80">
      <w:rPr>
        <w:rFonts w:asciiTheme="majorBidi" w:hAnsiTheme="majorBidi" w:cstheme="majorBidi"/>
      </w:rPr>
      <w:instrText xml:space="preserve"> printdate \@ dd.MM.yy </w:instrText>
    </w:r>
    <w:r w:rsidRPr="00093D80">
      <w:rPr>
        <w:rFonts w:asciiTheme="majorBidi" w:hAnsiTheme="majorBidi" w:cstheme="majorBidi"/>
      </w:rPr>
      <w:fldChar w:fldCharType="separate"/>
    </w:r>
    <w:r w:rsidRPr="00093D80">
      <w:rPr>
        <w:rFonts w:asciiTheme="majorBidi" w:hAnsiTheme="majorBidi" w:cstheme="majorBidi"/>
      </w:rPr>
      <w:t>30.04.15</w:t>
    </w:r>
    <w:r w:rsidRPr="00093D80">
      <w:rPr>
        <w:rFonts w:asciiTheme="majorBidi" w:hAnsiTheme="majorBid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27" w:rsidRDefault="00722527" w:rsidP="00BC5230">
      <w:pPr>
        <w:spacing w:after="0" w:line="240" w:lineRule="auto"/>
      </w:pPr>
      <w:r>
        <w:separator/>
      </w:r>
    </w:p>
  </w:footnote>
  <w:footnote w:type="continuationSeparator" w:id="0">
    <w:p w:rsidR="00722527" w:rsidRDefault="00722527" w:rsidP="00BC5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27" w:rsidRPr="00722527" w:rsidRDefault="00722527" w:rsidP="00722527">
    <w:pPr>
      <w:pStyle w:val="Header"/>
      <w:jc w:val="center"/>
      <w:rPr>
        <w:rFonts w:asciiTheme="majorBidi" w:hAnsiTheme="majorBidi" w:cstheme="majorBidi"/>
        <w:lang w:val="es-ES"/>
      </w:rPr>
    </w:pPr>
    <w:r w:rsidRPr="00722527">
      <w:rPr>
        <w:rFonts w:asciiTheme="majorBidi" w:hAnsiTheme="majorBidi" w:cstheme="majorBidi"/>
      </w:rPr>
      <w:fldChar w:fldCharType="begin"/>
    </w:r>
    <w:r w:rsidRPr="00722527">
      <w:rPr>
        <w:rFonts w:asciiTheme="majorBidi" w:hAnsiTheme="majorBidi" w:cstheme="majorBidi"/>
      </w:rPr>
      <w:instrText xml:space="preserve"> PAGE </w:instrText>
    </w:r>
    <w:r w:rsidRPr="00722527">
      <w:rPr>
        <w:rFonts w:asciiTheme="majorBidi" w:hAnsiTheme="majorBidi" w:cstheme="majorBidi"/>
      </w:rPr>
      <w:fldChar w:fldCharType="separate"/>
    </w:r>
    <w:r w:rsidR="00E303B1">
      <w:rPr>
        <w:rFonts w:asciiTheme="majorBidi" w:hAnsiTheme="majorBidi" w:cstheme="majorBidi"/>
        <w:noProof/>
      </w:rPr>
      <w:t>12</w:t>
    </w:r>
    <w:r w:rsidRPr="00722527">
      <w:rPr>
        <w:rFonts w:asciiTheme="majorBidi" w:hAnsiTheme="majorBidi" w:cstheme="majorBidi"/>
        <w:noProof/>
      </w:rPr>
      <w:fldChar w:fldCharType="end"/>
    </w:r>
  </w:p>
  <w:p w:rsidR="00722527" w:rsidRDefault="00722527" w:rsidP="00815BD5">
    <w:pPr>
      <w:pStyle w:val="Header"/>
      <w:jc w:val="center"/>
      <w:rPr>
        <w:rFonts w:asciiTheme="majorBidi" w:hAnsiTheme="majorBidi" w:cstheme="majorBidi"/>
        <w:lang w:val="es-ES"/>
      </w:rPr>
    </w:pPr>
    <w:r w:rsidRPr="00722527">
      <w:rPr>
        <w:rFonts w:asciiTheme="majorBidi" w:hAnsiTheme="majorBidi" w:cstheme="majorBidi"/>
        <w:lang w:val="es-ES"/>
      </w:rPr>
      <w:t>RAG16/</w:t>
    </w:r>
    <w:r w:rsidR="00815BD5">
      <w:rPr>
        <w:rFonts w:asciiTheme="majorBidi" w:hAnsiTheme="majorBidi" w:cstheme="majorBidi"/>
        <w:lang w:val="es-ES"/>
      </w:rPr>
      <w:t>16</w:t>
    </w:r>
    <w:r w:rsidRPr="00722527">
      <w:rPr>
        <w:rFonts w:asciiTheme="majorBidi" w:hAnsiTheme="majorBidi" w:cstheme="majorBidi"/>
        <w:lang w:val="es-ES"/>
      </w:rPr>
      <w:t>-E</w:t>
    </w:r>
  </w:p>
  <w:p w:rsidR="00815BD5" w:rsidRPr="00722527" w:rsidRDefault="00815BD5" w:rsidP="00815BD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ABA"/>
    <w:multiLevelType w:val="hybridMultilevel"/>
    <w:tmpl w:val="D5A0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1441D"/>
    <w:multiLevelType w:val="hybridMultilevel"/>
    <w:tmpl w:val="ADC4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1"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3" w15:restartNumberingAfterBreak="0">
    <w:nsid w:val="210A4609"/>
    <w:multiLevelType w:val="hybridMultilevel"/>
    <w:tmpl w:val="308A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0"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8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093923"/>
    <w:multiLevelType w:val="hybridMultilevel"/>
    <w:tmpl w:val="571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6"/>
  </w:num>
  <w:num w:numId="4">
    <w:abstractNumId w:val="23"/>
  </w:num>
  <w:num w:numId="5">
    <w:abstractNumId w:val="21"/>
  </w:num>
  <w:num w:numId="6">
    <w:abstractNumId w:val="21"/>
  </w:num>
  <w:num w:numId="7">
    <w:abstractNumId w:val="30"/>
  </w:num>
  <w:num w:numId="8">
    <w:abstractNumId w:val="11"/>
  </w:num>
  <w:num w:numId="9">
    <w:abstractNumId w:val="12"/>
  </w:num>
  <w:num w:numId="10">
    <w:abstractNumId w:val="9"/>
  </w:num>
  <w:num w:numId="11">
    <w:abstractNumId w:val="32"/>
  </w:num>
  <w:num w:numId="12">
    <w:abstractNumId w:val="6"/>
  </w:num>
  <w:num w:numId="13">
    <w:abstractNumId w:val="8"/>
  </w:num>
  <w:num w:numId="14">
    <w:abstractNumId w:val="17"/>
  </w:num>
  <w:num w:numId="15">
    <w:abstractNumId w:val="10"/>
  </w:num>
  <w:num w:numId="16">
    <w:abstractNumId w:val="28"/>
  </w:num>
  <w:num w:numId="17">
    <w:abstractNumId w:val="19"/>
  </w:num>
  <w:num w:numId="18">
    <w:abstractNumId w:val="4"/>
  </w:num>
  <w:num w:numId="19">
    <w:abstractNumId w:val="14"/>
  </w:num>
  <w:num w:numId="20">
    <w:abstractNumId w:val="33"/>
  </w:num>
  <w:num w:numId="21">
    <w:abstractNumId w:val="2"/>
  </w:num>
  <w:num w:numId="22">
    <w:abstractNumId w:val="21"/>
  </w:num>
  <w:num w:numId="23">
    <w:abstractNumId w:val="21"/>
  </w:num>
  <w:num w:numId="24">
    <w:abstractNumId w:val="24"/>
  </w:num>
  <w:num w:numId="25">
    <w:abstractNumId w:val="27"/>
  </w:num>
  <w:num w:numId="26">
    <w:abstractNumId w:val="36"/>
  </w:num>
  <w:num w:numId="27">
    <w:abstractNumId w:val="20"/>
  </w:num>
  <w:num w:numId="28">
    <w:abstractNumId w:val="15"/>
  </w:num>
  <w:num w:numId="29">
    <w:abstractNumId w:val="1"/>
  </w:num>
  <w:num w:numId="30">
    <w:abstractNumId w:val="22"/>
  </w:num>
  <w:num w:numId="31">
    <w:abstractNumId w:val="29"/>
  </w:num>
  <w:num w:numId="32">
    <w:abstractNumId w:val="35"/>
  </w:num>
  <w:num w:numId="33">
    <w:abstractNumId w:val="31"/>
  </w:num>
  <w:num w:numId="34">
    <w:abstractNumId w:val="34"/>
  </w:num>
  <w:num w:numId="35">
    <w:abstractNumId w:val="26"/>
  </w:num>
  <w:num w:numId="36">
    <w:abstractNumId w:val="0"/>
  </w:num>
  <w:num w:numId="37">
    <w:abstractNumId w:val="7"/>
  </w:num>
  <w:num w:numId="38">
    <w:abstractNumId w:val="13"/>
  </w:num>
  <w:num w:numId="39">
    <w:abstractNumId w:val="2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079"/>
    <w:rsid w:val="00001778"/>
    <w:rsid w:val="00004A84"/>
    <w:rsid w:val="0000779F"/>
    <w:rsid w:val="00010C45"/>
    <w:rsid w:val="00011512"/>
    <w:rsid w:val="0001237C"/>
    <w:rsid w:val="00013666"/>
    <w:rsid w:val="0001495A"/>
    <w:rsid w:val="00015790"/>
    <w:rsid w:val="00016912"/>
    <w:rsid w:val="00026326"/>
    <w:rsid w:val="00027822"/>
    <w:rsid w:val="00027ECF"/>
    <w:rsid w:val="00032B3F"/>
    <w:rsid w:val="000336AF"/>
    <w:rsid w:val="00034810"/>
    <w:rsid w:val="000355F7"/>
    <w:rsid w:val="000365F2"/>
    <w:rsid w:val="00040DE7"/>
    <w:rsid w:val="00042783"/>
    <w:rsid w:val="00043A3A"/>
    <w:rsid w:val="00044C7E"/>
    <w:rsid w:val="00045455"/>
    <w:rsid w:val="000456DE"/>
    <w:rsid w:val="000467B0"/>
    <w:rsid w:val="00046C8F"/>
    <w:rsid w:val="00052FE3"/>
    <w:rsid w:val="0005346F"/>
    <w:rsid w:val="00055E22"/>
    <w:rsid w:val="00057DA6"/>
    <w:rsid w:val="00060E8F"/>
    <w:rsid w:val="000665C3"/>
    <w:rsid w:val="00067069"/>
    <w:rsid w:val="000707B3"/>
    <w:rsid w:val="00070D14"/>
    <w:rsid w:val="000712FA"/>
    <w:rsid w:val="0007320D"/>
    <w:rsid w:val="0007613F"/>
    <w:rsid w:val="00080221"/>
    <w:rsid w:val="0008232E"/>
    <w:rsid w:val="00083B3E"/>
    <w:rsid w:val="00085163"/>
    <w:rsid w:val="00090FFE"/>
    <w:rsid w:val="000928D5"/>
    <w:rsid w:val="00093D80"/>
    <w:rsid w:val="00096741"/>
    <w:rsid w:val="00096E52"/>
    <w:rsid w:val="000A423D"/>
    <w:rsid w:val="000A63EC"/>
    <w:rsid w:val="000B2174"/>
    <w:rsid w:val="000B64A9"/>
    <w:rsid w:val="000B6CF1"/>
    <w:rsid w:val="000C14F5"/>
    <w:rsid w:val="000C212F"/>
    <w:rsid w:val="000C2824"/>
    <w:rsid w:val="000C3E78"/>
    <w:rsid w:val="000C3F39"/>
    <w:rsid w:val="000C46C0"/>
    <w:rsid w:val="000C4F66"/>
    <w:rsid w:val="000C58AC"/>
    <w:rsid w:val="000C7970"/>
    <w:rsid w:val="000D0B08"/>
    <w:rsid w:val="000D341E"/>
    <w:rsid w:val="000E25BF"/>
    <w:rsid w:val="000E30E8"/>
    <w:rsid w:val="000E3748"/>
    <w:rsid w:val="000E4692"/>
    <w:rsid w:val="000E6536"/>
    <w:rsid w:val="000F417B"/>
    <w:rsid w:val="000F76CA"/>
    <w:rsid w:val="000F780E"/>
    <w:rsid w:val="001001CC"/>
    <w:rsid w:val="00104100"/>
    <w:rsid w:val="0010410C"/>
    <w:rsid w:val="00106656"/>
    <w:rsid w:val="0011211C"/>
    <w:rsid w:val="001125C2"/>
    <w:rsid w:val="00113D3D"/>
    <w:rsid w:val="0011408B"/>
    <w:rsid w:val="001140EB"/>
    <w:rsid w:val="001228BF"/>
    <w:rsid w:val="00126F4E"/>
    <w:rsid w:val="0012730F"/>
    <w:rsid w:val="00131917"/>
    <w:rsid w:val="00137347"/>
    <w:rsid w:val="0013747F"/>
    <w:rsid w:val="00144A28"/>
    <w:rsid w:val="001458F0"/>
    <w:rsid w:val="001472E3"/>
    <w:rsid w:val="001477EB"/>
    <w:rsid w:val="00147908"/>
    <w:rsid w:val="0015082D"/>
    <w:rsid w:val="001518E2"/>
    <w:rsid w:val="00154DDF"/>
    <w:rsid w:val="00155FFE"/>
    <w:rsid w:val="001563A3"/>
    <w:rsid w:val="001567AD"/>
    <w:rsid w:val="00163141"/>
    <w:rsid w:val="00166279"/>
    <w:rsid w:val="0016768F"/>
    <w:rsid w:val="0017155F"/>
    <w:rsid w:val="001716F3"/>
    <w:rsid w:val="0017682B"/>
    <w:rsid w:val="00176A2B"/>
    <w:rsid w:val="00190952"/>
    <w:rsid w:val="00191033"/>
    <w:rsid w:val="00195B4C"/>
    <w:rsid w:val="00196411"/>
    <w:rsid w:val="001973AE"/>
    <w:rsid w:val="001A0EB7"/>
    <w:rsid w:val="001A1741"/>
    <w:rsid w:val="001A24D1"/>
    <w:rsid w:val="001A584B"/>
    <w:rsid w:val="001A5892"/>
    <w:rsid w:val="001A70ED"/>
    <w:rsid w:val="001A7A92"/>
    <w:rsid w:val="001B0705"/>
    <w:rsid w:val="001B3C2D"/>
    <w:rsid w:val="001B4207"/>
    <w:rsid w:val="001B608D"/>
    <w:rsid w:val="001C07D7"/>
    <w:rsid w:val="001C42E2"/>
    <w:rsid w:val="001C5909"/>
    <w:rsid w:val="001C6903"/>
    <w:rsid w:val="001D01A6"/>
    <w:rsid w:val="001D1137"/>
    <w:rsid w:val="001D1773"/>
    <w:rsid w:val="001D24E3"/>
    <w:rsid w:val="001D33A7"/>
    <w:rsid w:val="001D70A3"/>
    <w:rsid w:val="001E191F"/>
    <w:rsid w:val="001E1E2C"/>
    <w:rsid w:val="001E6097"/>
    <w:rsid w:val="001E6918"/>
    <w:rsid w:val="001E7917"/>
    <w:rsid w:val="001E7E02"/>
    <w:rsid w:val="001F043C"/>
    <w:rsid w:val="001F0923"/>
    <w:rsid w:val="001F0C2A"/>
    <w:rsid w:val="001F10FE"/>
    <w:rsid w:val="001F417C"/>
    <w:rsid w:val="001F52DF"/>
    <w:rsid w:val="00200635"/>
    <w:rsid w:val="00203BE4"/>
    <w:rsid w:val="0020777A"/>
    <w:rsid w:val="00210AB9"/>
    <w:rsid w:val="002124CE"/>
    <w:rsid w:val="00212FEC"/>
    <w:rsid w:val="002132EF"/>
    <w:rsid w:val="00213833"/>
    <w:rsid w:val="0022334B"/>
    <w:rsid w:val="00226A89"/>
    <w:rsid w:val="002330BA"/>
    <w:rsid w:val="00235AB3"/>
    <w:rsid w:val="00236E92"/>
    <w:rsid w:val="00244338"/>
    <w:rsid w:val="0024755A"/>
    <w:rsid w:val="00247FA8"/>
    <w:rsid w:val="00256DCF"/>
    <w:rsid w:val="0026090A"/>
    <w:rsid w:val="00260DF4"/>
    <w:rsid w:val="002668E1"/>
    <w:rsid w:val="00270602"/>
    <w:rsid w:val="00271E0C"/>
    <w:rsid w:val="00273200"/>
    <w:rsid w:val="0027332A"/>
    <w:rsid w:val="00273966"/>
    <w:rsid w:val="002759CE"/>
    <w:rsid w:val="00275EF3"/>
    <w:rsid w:val="002766B4"/>
    <w:rsid w:val="00277CDA"/>
    <w:rsid w:val="00281CF6"/>
    <w:rsid w:val="00286F6A"/>
    <w:rsid w:val="002922B1"/>
    <w:rsid w:val="00292EC0"/>
    <w:rsid w:val="00293A55"/>
    <w:rsid w:val="00294564"/>
    <w:rsid w:val="00296566"/>
    <w:rsid w:val="002A34EA"/>
    <w:rsid w:val="002A42E9"/>
    <w:rsid w:val="002A5586"/>
    <w:rsid w:val="002A5D3C"/>
    <w:rsid w:val="002A5D8C"/>
    <w:rsid w:val="002A5E14"/>
    <w:rsid w:val="002B029B"/>
    <w:rsid w:val="002B2757"/>
    <w:rsid w:val="002B563C"/>
    <w:rsid w:val="002C2405"/>
    <w:rsid w:val="002C38F0"/>
    <w:rsid w:val="002C3FB8"/>
    <w:rsid w:val="002C43E1"/>
    <w:rsid w:val="002C4D10"/>
    <w:rsid w:val="002C5E26"/>
    <w:rsid w:val="002C5F74"/>
    <w:rsid w:val="002C6BC8"/>
    <w:rsid w:val="002D059D"/>
    <w:rsid w:val="002D1CF7"/>
    <w:rsid w:val="002D3E12"/>
    <w:rsid w:val="002E1C84"/>
    <w:rsid w:val="002F6327"/>
    <w:rsid w:val="002F7C66"/>
    <w:rsid w:val="0030031B"/>
    <w:rsid w:val="00302523"/>
    <w:rsid w:val="0030355C"/>
    <w:rsid w:val="003067ED"/>
    <w:rsid w:val="003068C6"/>
    <w:rsid w:val="00313188"/>
    <w:rsid w:val="00313909"/>
    <w:rsid w:val="003167A5"/>
    <w:rsid w:val="003169C8"/>
    <w:rsid w:val="00316DD2"/>
    <w:rsid w:val="00317005"/>
    <w:rsid w:val="003200C0"/>
    <w:rsid w:val="003204BF"/>
    <w:rsid w:val="0032293E"/>
    <w:rsid w:val="00322ADF"/>
    <w:rsid w:val="00331BBF"/>
    <w:rsid w:val="00334875"/>
    <w:rsid w:val="00337684"/>
    <w:rsid w:val="00345349"/>
    <w:rsid w:val="00346930"/>
    <w:rsid w:val="00347DCF"/>
    <w:rsid w:val="00350B55"/>
    <w:rsid w:val="00352595"/>
    <w:rsid w:val="00352D85"/>
    <w:rsid w:val="00361573"/>
    <w:rsid w:val="00371ED2"/>
    <w:rsid w:val="00372B5B"/>
    <w:rsid w:val="00373BA5"/>
    <w:rsid w:val="0037630F"/>
    <w:rsid w:val="00377072"/>
    <w:rsid w:val="0037782D"/>
    <w:rsid w:val="0038128C"/>
    <w:rsid w:val="00382CA3"/>
    <w:rsid w:val="00383E7C"/>
    <w:rsid w:val="0038454C"/>
    <w:rsid w:val="00397A09"/>
    <w:rsid w:val="003A02D7"/>
    <w:rsid w:val="003A0832"/>
    <w:rsid w:val="003A1660"/>
    <w:rsid w:val="003A19CD"/>
    <w:rsid w:val="003A1D5B"/>
    <w:rsid w:val="003A4292"/>
    <w:rsid w:val="003A4791"/>
    <w:rsid w:val="003B1F0F"/>
    <w:rsid w:val="003B3A55"/>
    <w:rsid w:val="003B4EE1"/>
    <w:rsid w:val="003B5A7E"/>
    <w:rsid w:val="003B632A"/>
    <w:rsid w:val="003C1D3F"/>
    <w:rsid w:val="003C22AF"/>
    <w:rsid w:val="003C3421"/>
    <w:rsid w:val="003D1B3F"/>
    <w:rsid w:val="003D43E9"/>
    <w:rsid w:val="003D456D"/>
    <w:rsid w:val="003E437B"/>
    <w:rsid w:val="003E5DC6"/>
    <w:rsid w:val="003F1A3E"/>
    <w:rsid w:val="003F666E"/>
    <w:rsid w:val="003F6D3B"/>
    <w:rsid w:val="003F7911"/>
    <w:rsid w:val="00410D9C"/>
    <w:rsid w:val="00415258"/>
    <w:rsid w:val="004164D5"/>
    <w:rsid w:val="004217F4"/>
    <w:rsid w:val="00424FBA"/>
    <w:rsid w:val="004253F3"/>
    <w:rsid w:val="00425D57"/>
    <w:rsid w:val="00430305"/>
    <w:rsid w:val="00430CBA"/>
    <w:rsid w:val="00433ED1"/>
    <w:rsid w:val="00437DF4"/>
    <w:rsid w:val="0044092A"/>
    <w:rsid w:val="00442D03"/>
    <w:rsid w:val="004436B3"/>
    <w:rsid w:val="004452DB"/>
    <w:rsid w:val="00447712"/>
    <w:rsid w:val="00447AF9"/>
    <w:rsid w:val="00450770"/>
    <w:rsid w:val="00452632"/>
    <w:rsid w:val="0045404F"/>
    <w:rsid w:val="004546DA"/>
    <w:rsid w:val="00454FE2"/>
    <w:rsid w:val="00456D20"/>
    <w:rsid w:val="0046152B"/>
    <w:rsid w:val="00461B6A"/>
    <w:rsid w:val="00462A21"/>
    <w:rsid w:val="00464162"/>
    <w:rsid w:val="00464690"/>
    <w:rsid w:val="00465AB5"/>
    <w:rsid w:val="0046633F"/>
    <w:rsid w:val="0047136D"/>
    <w:rsid w:val="00474442"/>
    <w:rsid w:val="00474C26"/>
    <w:rsid w:val="00477AAE"/>
    <w:rsid w:val="00480448"/>
    <w:rsid w:val="0048092A"/>
    <w:rsid w:val="004819FF"/>
    <w:rsid w:val="00490465"/>
    <w:rsid w:val="00490641"/>
    <w:rsid w:val="00491749"/>
    <w:rsid w:val="0049285E"/>
    <w:rsid w:val="00493055"/>
    <w:rsid w:val="00493409"/>
    <w:rsid w:val="0049402F"/>
    <w:rsid w:val="004A1EE0"/>
    <w:rsid w:val="004A20C6"/>
    <w:rsid w:val="004A35FA"/>
    <w:rsid w:val="004A4AD2"/>
    <w:rsid w:val="004A4B6D"/>
    <w:rsid w:val="004A4D46"/>
    <w:rsid w:val="004A531C"/>
    <w:rsid w:val="004A6581"/>
    <w:rsid w:val="004C0610"/>
    <w:rsid w:val="004C0B09"/>
    <w:rsid w:val="004C306F"/>
    <w:rsid w:val="004C6288"/>
    <w:rsid w:val="004C6350"/>
    <w:rsid w:val="004C64E0"/>
    <w:rsid w:val="004C7275"/>
    <w:rsid w:val="004D0059"/>
    <w:rsid w:val="004D0841"/>
    <w:rsid w:val="004D151B"/>
    <w:rsid w:val="004D1FFE"/>
    <w:rsid w:val="004D4656"/>
    <w:rsid w:val="004D56F4"/>
    <w:rsid w:val="004D7811"/>
    <w:rsid w:val="004E101D"/>
    <w:rsid w:val="004E70E5"/>
    <w:rsid w:val="004E7133"/>
    <w:rsid w:val="004F3BD7"/>
    <w:rsid w:val="004F47B3"/>
    <w:rsid w:val="004F4C27"/>
    <w:rsid w:val="004F6D61"/>
    <w:rsid w:val="005009DD"/>
    <w:rsid w:val="00500A95"/>
    <w:rsid w:val="00504E5A"/>
    <w:rsid w:val="00505B11"/>
    <w:rsid w:val="0050624D"/>
    <w:rsid w:val="00510C52"/>
    <w:rsid w:val="00510DBD"/>
    <w:rsid w:val="0051173C"/>
    <w:rsid w:val="00512058"/>
    <w:rsid w:val="0051267F"/>
    <w:rsid w:val="005160B7"/>
    <w:rsid w:val="0051620B"/>
    <w:rsid w:val="00517EBF"/>
    <w:rsid w:val="00523010"/>
    <w:rsid w:val="0053043B"/>
    <w:rsid w:val="00532F71"/>
    <w:rsid w:val="00535013"/>
    <w:rsid w:val="00541F90"/>
    <w:rsid w:val="00542066"/>
    <w:rsid w:val="00543225"/>
    <w:rsid w:val="00545486"/>
    <w:rsid w:val="00547BC4"/>
    <w:rsid w:val="00550438"/>
    <w:rsid w:val="00553B9A"/>
    <w:rsid w:val="0055455F"/>
    <w:rsid w:val="005548DA"/>
    <w:rsid w:val="00557E12"/>
    <w:rsid w:val="00560827"/>
    <w:rsid w:val="0056276B"/>
    <w:rsid w:val="005728EF"/>
    <w:rsid w:val="00573364"/>
    <w:rsid w:val="00573E34"/>
    <w:rsid w:val="005818D9"/>
    <w:rsid w:val="0058566F"/>
    <w:rsid w:val="00592598"/>
    <w:rsid w:val="005931BD"/>
    <w:rsid w:val="00593D94"/>
    <w:rsid w:val="005A00A7"/>
    <w:rsid w:val="005A0E09"/>
    <w:rsid w:val="005A24ED"/>
    <w:rsid w:val="005A7841"/>
    <w:rsid w:val="005B30E2"/>
    <w:rsid w:val="005B671C"/>
    <w:rsid w:val="005B69AE"/>
    <w:rsid w:val="005B6B16"/>
    <w:rsid w:val="005C1CA2"/>
    <w:rsid w:val="005C53D2"/>
    <w:rsid w:val="005C635E"/>
    <w:rsid w:val="005C65B1"/>
    <w:rsid w:val="005C6B7A"/>
    <w:rsid w:val="005C74E4"/>
    <w:rsid w:val="005D4305"/>
    <w:rsid w:val="005E1AAD"/>
    <w:rsid w:val="005E3C7D"/>
    <w:rsid w:val="005E594C"/>
    <w:rsid w:val="005E6293"/>
    <w:rsid w:val="005F2E2D"/>
    <w:rsid w:val="005F2F9A"/>
    <w:rsid w:val="005F3F48"/>
    <w:rsid w:val="005F505E"/>
    <w:rsid w:val="005F5098"/>
    <w:rsid w:val="005F66C2"/>
    <w:rsid w:val="005F6996"/>
    <w:rsid w:val="00602238"/>
    <w:rsid w:val="00604606"/>
    <w:rsid w:val="006116C5"/>
    <w:rsid w:val="00611F2F"/>
    <w:rsid w:val="00615C95"/>
    <w:rsid w:val="00616FEF"/>
    <w:rsid w:val="006225CF"/>
    <w:rsid w:val="00624747"/>
    <w:rsid w:val="006251C3"/>
    <w:rsid w:val="0062558A"/>
    <w:rsid w:val="006266BD"/>
    <w:rsid w:val="00627A72"/>
    <w:rsid w:val="00632BF3"/>
    <w:rsid w:val="00633A89"/>
    <w:rsid w:val="00634056"/>
    <w:rsid w:val="00634B89"/>
    <w:rsid w:val="0063523E"/>
    <w:rsid w:val="00637349"/>
    <w:rsid w:val="00641B4E"/>
    <w:rsid w:val="00642C19"/>
    <w:rsid w:val="006437EF"/>
    <w:rsid w:val="00643849"/>
    <w:rsid w:val="00643B4B"/>
    <w:rsid w:val="00645E1D"/>
    <w:rsid w:val="006508BC"/>
    <w:rsid w:val="006509CA"/>
    <w:rsid w:val="006515CF"/>
    <w:rsid w:val="006544FD"/>
    <w:rsid w:val="00656FC4"/>
    <w:rsid w:val="00672DBB"/>
    <w:rsid w:val="006741E5"/>
    <w:rsid w:val="00675E06"/>
    <w:rsid w:val="0068261B"/>
    <w:rsid w:val="00682E03"/>
    <w:rsid w:val="006834B7"/>
    <w:rsid w:val="00683A4D"/>
    <w:rsid w:val="006851C7"/>
    <w:rsid w:val="006871BB"/>
    <w:rsid w:val="006927DC"/>
    <w:rsid w:val="00693A37"/>
    <w:rsid w:val="00695C1C"/>
    <w:rsid w:val="00697CA5"/>
    <w:rsid w:val="006A0710"/>
    <w:rsid w:val="006A0821"/>
    <w:rsid w:val="006A2A4C"/>
    <w:rsid w:val="006A43EF"/>
    <w:rsid w:val="006A4DDA"/>
    <w:rsid w:val="006A58E8"/>
    <w:rsid w:val="006A6FB7"/>
    <w:rsid w:val="006B51A8"/>
    <w:rsid w:val="006B71A1"/>
    <w:rsid w:val="006C0A79"/>
    <w:rsid w:val="006C0EBB"/>
    <w:rsid w:val="006C1B8C"/>
    <w:rsid w:val="006C1FBB"/>
    <w:rsid w:val="006C2565"/>
    <w:rsid w:val="006C7F91"/>
    <w:rsid w:val="006D0748"/>
    <w:rsid w:val="006D1D52"/>
    <w:rsid w:val="006D1E8C"/>
    <w:rsid w:val="006D50CC"/>
    <w:rsid w:val="006D5A7D"/>
    <w:rsid w:val="006D6AD8"/>
    <w:rsid w:val="006E31FE"/>
    <w:rsid w:val="006E3A07"/>
    <w:rsid w:val="006F3C58"/>
    <w:rsid w:val="006F4B95"/>
    <w:rsid w:val="006F6226"/>
    <w:rsid w:val="00700737"/>
    <w:rsid w:val="00700F37"/>
    <w:rsid w:val="0070133A"/>
    <w:rsid w:val="007031A9"/>
    <w:rsid w:val="0070347D"/>
    <w:rsid w:val="0070552B"/>
    <w:rsid w:val="00706D06"/>
    <w:rsid w:val="00707779"/>
    <w:rsid w:val="00707B0A"/>
    <w:rsid w:val="00716E34"/>
    <w:rsid w:val="00721A18"/>
    <w:rsid w:val="00722527"/>
    <w:rsid w:val="00722C17"/>
    <w:rsid w:val="007234E4"/>
    <w:rsid w:val="0072593F"/>
    <w:rsid w:val="00725F34"/>
    <w:rsid w:val="00727D04"/>
    <w:rsid w:val="007338BB"/>
    <w:rsid w:val="00735D84"/>
    <w:rsid w:val="007466A7"/>
    <w:rsid w:val="0075186E"/>
    <w:rsid w:val="00751E85"/>
    <w:rsid w:val="00757678"/>
    <w:rsid w:val="00761C91"/>
    <w:rsid w:val="00762005"/>
    <w:rsid w:val="007631DC"/>
    <w:rsid w:val="007632DA"/>
    <w:rsid w:val="0077003D"/>
    <w:rsid w:val="0077450C"/>
    <w:rsid w:val="0077507B"/>
    <w:rsid w:val="007807AE"/>
    <w:rsid w:val="00781042"/>
    <w:rsid w:val="00781DE3"/>
    <w:rsid w:val="007843DC"/>
    <w:rsid w:val="00785032"/>
    <w:rsid w:val="007863E4"/>
    <w:rsid w:val="00786A02"/>
    <w:rsid w:val="00787628"/>
    <w:rsid w:val="007911C6"/>
    <w:rsid w:val="007929B7"/>
    <w:rsid w:val="00795D10"/>
    <w:rsid w:val="00796BEE"/>
    <w:rsid w:val="007A06AB"/>
    <w:rsid w:val="007A2057"/>
    <w:rsid w:val="007A2EF9"/>
    <w:rsid w:val="007A55CA"/>
    <w:rsid w:val="007B0170"/>
    <w:rsid w:val="007B047C"/>
    <w:rsid w:val="007B1BE8"/>
    <w:rsid w:val="007B2039"/>
    <w:rsid w:val="007B4A1C"/>
    <w:rsid w:val="007B4FD0"/>
    <w:rsid w:val="007B744F"/>
    <w:rsid w:val="007C63F9"/>
    <w:rsid w:val="007D3634"/>
    <w:rsid w:val="007D53A6"/>
    <w:rsid w:val="007E0240"/>
    <w:rsid w:val="007E061E"/>
    <w:rsid w:val="007E180C"/>
    <w:rsid w:val="007E255C"/>
    <w:rsid w:val="007E3477"/>
    <w:rsid w:val="007E7716"/>
    <w:rsid w:val="007F0C12"/>
    <w:rsid w:val="007F324A"/>
    <w:rsid w:val="007F41E4"/>
    <w:rsid w:val="007F5007"/>
    <w:rsid w:val="007F55F8"/>
    <w:rsid w:val="007F7EF8"/>
    <w:rsid w:val="00800EC2"/>
    <w:rsid w:val="00801F1C"/>
    <w:rsid w:val="00806DFC"/>
    <w:rsid w:val="0081027A"/>
    <w:rsid w:val="0081143C"/>
    <w:rsid w:val="008135A3"/>
    <w:rsid w:val="00813D90"/>
    <w:rsid w:val="0081530E"/>
    <w:rsid w:val="00815BD5"/>
    <w:rsid w:val="008166AD"/>
    <w:rsid w:val="00820BA6"/>
    <w:rsid w:val="00821816"/>
    <w:rsid w:val="0082439D"/>
    <w:rsid w:val="008246FF"/>
    <w:rsid w:val="008264E8"/>
    <w:rsid w:val="00826693"/>
    <w:rsid w:val="00826E4D"/>
    <w:rsid w:val="00827E54"/>
    <w:rsid w:val="00831EA2"/>
    <w:rsid w:val="00833604"/>
    <w:rsid w:val="00835684"/>
    <w:rsid w:val="008378B4"/>
    <w:rsid w:val="00841F28"/>
    <w:rsid w:val="00842AED"/>
    <w:rsid w:val="00843483"/>
    <w:rsid w:val="00845930"/>
    <w:rsid w:val="00847998"/>
    <w:rsid w:val="00850124"/>
    <w:rsid w:val="00850E26"/>
    <w:rsid w:val="008513E2"/>
    <w:rsid w:val="0085367B"/>
    <w:rsid w:val="008570B9"/>
    <w:rsid w:val="0085799D"/>
    <w:rsid w:val="00862678"/>
    <w:rsid w:val="00863F57"/>
    <w:rsid w:val="00867742"/>
    <w:rsid w:val="00867D48"/>
    <w:rsid w:val="00870DC0"/>
    <w:rsid w:val="008727F7"/>
    <w:rsid w:val="00872864"/>
    <w:rsid w:val="00875850"/>
    <w:rsid w:val="00875D59"/>
    <w:rsid w:val="00876EB9"/>
    <w:rsid w:val="008772D2"/>
    <w:rsid w:val="008808A2"/>
    <w:rsid w:val="008827C4"/>
    <w:rsid w:val="00891B0B"/>
    <w:rsid w:val="008931BF"/>
    <w:rsid w:val="008945AE"/>
    <w:rsid w:val="008972EC"/>
    <w:rsid w:val="00897FE3"/>
    <w:rsid w:val="008A1DE7"/>
    <w:rsid w:val="008A3645"/>
    <w:rsid w:val="008A511E"/>
    <w:rsid w:val="008A6C56"/>
    <w:rsid w:val="008A7009"/>
    <w:rsid w:val="008B635F"/>
    <w:rsid w:val="008B7001"/>
    <w:rsid w:val="008C5959"/>
    <w:rsid w:val="008C6DC6"/>
    <w:rsid w:val="008D281F"/>
    <w:rsid w:val="008D2EFF"/>
    <w:rsid w:val="008E07C0"/>
    <w:rsid w:val="008E0E98"/>
    <w:rsid w:val="008E5FEA"/>
    <w:rsid w:val="008F1451"/>
    <w:rsid w:val="008F1DF5"/>
    <w:rsid w:val="008F34BC"/>
    <w:rsid w:val="008F50C4"/>
    <w:rsid w:val="008F5FA2"/>
    <w:rsid w:val="008F67F9"/>
    <w:rsid w:val="00900718"/>
    <w:rsid w:val="00900DF4"/>
    <w:rsid w:val="0090325E"/>
    <w:rsid w:val="00903A14"/>
    <w:rsid w:val="009046F3"/>
    <w:rsid w:val="00906BC2"/>
    <w:rsid w:val="0091022E"/>
    <w:rsid w:val="00912CF7"/>
    <w:rsid w:val="00913BD4"/>
    <w:rsid w:val="009152C8"/>
    <w:rsid w:val="00917960"/>
    <w:rsid w:val="00917A99"/>
    <w:rsid w:val="009245B0"/>
    <w:rsid w:val="00927166"/>
    <w:rsid w:val="0093250F"/>
    <w:rsid w:val="009327C1"/>
    <w:rsid w:val="00932870"/>
    <w:rsid w:val="00934679"/>
    <w:rsid w:val="009355F2"/>
    <w:rsid w:val="00935C91"/>
    <w:rsid w:val="0093678E"/>
    <w:rsid w:val="009379BA"/>
    <w:rsid w:val="00937D12"/>
    <w:rsid w:val="00940C47"/>
    <w:rsid w:val="00941AD9"/>
    <w:rsid w:val="009462B1"/>
    <w:rsid w:val="00951CAF"/>
    <w:rsid w:val="00953577"/>
    <w:rsid w:val="0095547F"/>
    <w:rsid w:val="00955560"/>
    <w:rsid w:val="0095596D"/>
    <w:rsid w:val="00955A5F"/>
    <w:rsid w:val="00956408"/>
    <w:rsid w:val="009609C1"/>
    <w:rsid w:val="0096443C"/>
    <w:rsid w:val="009651CC"/>
    <w:rsid w:val="009673C6"/>
    <w:rsid w:val="00967E14"/>
    <w:rsid w:val="00972B82"/>
    <w:rsid w:val="00975C89"/>
    <w:rsid w:val="00976305"/>
    <w:rsid w:val="009778D6"/>
    <w:rsid w:val="00981401"/>
    <w:rsid w:val="00983C1B"/>
    <w:rsid w:val="00987588"/>
    <w:rsid w:val="00987713"/>
    <w:rsid w:val="00987943"/>
    <w:rsid w:val="00990318"/>
    <w:rsid w:val="00991658"/>
    <w:rsid w:val="00992165"/>
    <w:rsid w:val="009929BF"/>
    <w:rsid w:val="00993590"/>
    <w:rsid w:val="00993FA6"/>
    <w:rsid w:val="00994CCA"/>
    <w:rsid w:val="00994E24"/>
    <w:rsid w:val="009A0A4C"/>
    <w:rsid w:val="009A291E"/>
    <w:rsid w:val="009A2973"/>
    <w:rsid w:val="009A3335"/>
    <w:rsid w:val="009A3F92"/>
    <w:rsid w:val="009A550B"/>
    <w:rsid w:val="009A59D1"/>
    <w:rsid w:val="009B128A"/>
    <w:rsid w:val="009B3547"/>
    <w:rsid w:val="009B3CEF"/>
    <w:rsid w:val="009B3D41"/>
    <w:rsid w:val="009B489A"/>
    <w:rsid w:val="009B57DA"/>
    <w:rsid w:val="009B612C"/>
    <w:rsid w:val="009C0284"/>
    <w:rsid w:val="009C0B0A"/>
    <w:rsid w:val="009C1BDB"/>
    <w:rsid w:val="009C35CA"/>
    <w:rsid w:val="009C3E2A"/>
    <w:rsid w:val="009C7451"/>
    <w:rsid w:val="009C7F55"/>
    <w:rsid w:val="009D159E"/>
    <w:rsid w:val="009D2649"/>
    <w:rsid w:val="009D2F6E"/>
    <w:rsid w:val="009D628E"/>
    <w:rsid w:val="009E7E31"/>
    <w:rsid w:val="009F05AE"/>
    <w:rsid w:val="009F3087"/>
    <w:rsid w:val="009F3E26"/>
    <w:rsid w:val="009F72EE"/>
    <w:rsid w:val="009F7DA6"/>
    <w:rsid w:val="00A02112"/>
    <w:rsid w:val="00A036BC"/>
    <w:rsid w:val="00A06D62"/>
    <w:rsid w:val="00A10EC4"/>
    <w:rsid w:val="00A11D63"/>
    <w:rsid w:val="00A12B3C"/>
    <w:rsid w:val="00A13F30"/>
    <w:rsid w:val="00A16681"/>
    <w:rsid w:val="00A20960"/>
    <w:rsid w:val="00A221F9"/>
    <w:rsid w:val="00A224AA"/>
    <w:rsid w:val="00A242C0"/>
    <w:rsid w:val="00A30A5C"/>
    <w:rsid w:val="00A31C6B"/>
    <w:rsid w:val="00A3267C"/>
    <w:rsid w:val="00A33EDF"/>
    <w:rsid w:val="00A35207"/>
    <w:rsid w:val="00A367A7"/>
    <w:rsid w:val="00A41ACF"/>
    <w:rsid w:val="00A421DD"/>
    <w:rsid w:val="00A42CB9"/>
    <w:rsid w:val="00A42E1A"/>
    <w:rsid w:val="00A44752"/>
    <w:rsid w:val="00A45556"/>
    <w:rsid w:val="00A459A6"/>
    <w:rsid w:val="00A45A3F"/>
    <w:rsid w:val="00A45AEF"/>
    <w:rsid w:val="00A47001"/>
    <w:rsid w:val="00A4706E"/>
    <w:rsid w:val="00A50807"/>
    <w:rsid w:val="00A51F4C"/>
    <w:rsid w:val="00A52356"/>
    <w:rsid w:val="00A53327"/>
    <w:rsid w:val="00A551AA"/>
    <w:rsid w:val="00A611D5"/>
    <w:rsid w:val="00A62BBE"/>
    <w:rsid w:val="00A631A5"/>
    <w:rsid w:val="00A6704C"/>
    <w:rsid w:val="00A722B7"/>
    <w:rsid w:val="00A72BC1"/>
    <w:rsid w:val="00A72E66"/>
    <w:rsid w:val="00A7412E"/>
    <w:rsid w:val="00A76EA6"/>
    <w:rsid w:val="00A77FAE"/>
    <w:rsid w:val="00A8089A"/>
    <w:rsid w:val="00A81ADD"/>
    <w:rsid w:val="00A82ADF"/>
    <w:rsid w:val="00A84F84"/>
    <w:rsid w:val="00A851F3"/>
    <w:rsid w:val="00A91AC0"/>
    <w:rsid w:val="00A92466"/>
    <w:rsid w:val="00A926EE"/>
    <w:rsid w:val="00A92C56"/>
    <w:rsid w:val="00A95F2F"/>
    <w:rsid w:val="00AA6D2A"/>
    <w:rsid w:val="00AB14A6"/>
    <w:rsid w:val="00AB2E8B"/>
    <w:rsid w:val="00AB4ED8"/>
    <w:rsid w:val="00AB6F2C"/>
    <w:rsid w:val="00AB76EE"/>
    <w:rsid w:val="00AC0922"/>
    <w:rsid w:val="00AD12A6"/>
    <w:rsid w:val="00AD158D"/>
    <w:rsid w:val="00AD21DF"/>
    <w:rsid w:val="00AD239B"/>
    <w:rsid w:val="00AD2809"/>
    <w:rsid w:val="00AD3C1E"/>
    <w:rsid w:val="00AD3DE3"/>
    <w:rsid w:val="00AD6614"/>
    <w:rsid w:val="00AE0FD4"/>
    <w:rsid w:val="00AE3431"/>
    <w:rsid w:val="00AF066C"/>
    <w:rsid w:val="00AF22FE"/>
    <w:rsid w:val="00AF7C39"/>
    <w:rsid w:val="00B02B56"/>
    <w:rsid w:val="00B03BE6"/>
    <w:rsid w:val="00B04A97"/>
    <w:rsid w:val="00B115A9"/>
    <w:rsid w:val="00B1511C"/>
    <w:rsid w:val="00B15794"/>
    <w:rsid w:val="00B160BF"/>
    <w:rsid w:val="00B169E7"/>
    <w:rsid w:val="00B22A3E"/>
    <w:rsid w:val="00B301BA"/>
    <w:rsid w:val="00B320B9"/>
    <w:rsid w:val="00B32140"/>
    <w:rsid w:val="00B34066"/>
    <w:rsid w:val="00B40492"/>
    <w:rsid w:val="00B4348D"/>
    <w:rsid w:val="00B440ED"/>
    <w:rsid w:val="00B44E13"/>
    <w:rsid w:val="00B45A71"/>
    <w:rsid w:val="00B52708"/>
    <w:rsid w:val="00B5372F"/>
    <w:rsid w:val="00B54C45"/>
    <w:rsid w:val="00B54EBC"/>
    <w:rsid w:val="00B56511"/>
    <w:rsid w:val="00B5654E"/>
    <w:rsid w:val="00B61065"/>
    <w:rsid w:val="00B64758"/>
    <w:rsid w:val="00B64B48"/>
    <w:rsid w:val="00B6589E"/>
    <w:rsid w:val="00B66723"/>
    <w:rsid w:val="00B66A91"/>
    <w:rsid w:val="00B750ED"/>
    <w:rsid w:val="00B75AF6"/>
    <w:rsid w:val="00B778FB"/>
    <w:rsid w:val="00B7792E"/>
    <w:rsid w:val="00B80C9F"/>
    <w:rsid w:val="00B8101E"/>
    <w:rsid w:val="00B81A8A"/>
    <w:rsid w:val="00B85B75"/>
    <w:rsid w:val="00B9255E"/>
    <w:rsid w:val="00B92B54"/>
    <w:rsid w:val="00B93565"/>
    <w:rsid w:val="00B93B5D"/>
    <w:rsid w:val="00B947BF"/>
    <w:rsid w:val="00B962CA"/>
    <w:rsid w:val="00BA16D0"/>
    <w:rsid w:val="00BA3BD5"/>
    <w:rsid w:val="00BA4715"/>
    <w:rsid w:val="00BB20BC"/>
    <w:rsid w:val="00BB2311"/>
    <w:rsid w:val="00BB3FD2"/>
    <w:rsid w:val="00BB432B"/>
    <w:rsid w:val="00BB4CB8"/>
    <w:rsid w:val="00BB5A14"/>
    <w:rsid w:val="00BB6DF9"/>
    <w:rsid w:val="00BC15F1"/>
    <w:rsid w:val="00BC22E3"/>
    <w:rsid w:val="00BC5230"/>
    <w:rsid w:val="00BC75D3"/>
    <w:rsid w:val="00BD54B8"/>
    <w:rsid w:val="00BD658C"/>
    <w:rsid w:val="00BE0135"/>
    <w:rsid w:val="00BE254B"/>
    <w:rsid w:val="00BE4695"/>
    <w:rsid w:val="00BE49FF"/>
    <w:rsid w:val="00BE7A82"/>
    <w:rsid w:val="00BF2F5D"/>
    <w:rsid w:val="00BF553A"/>
    <w:rsid w:val="00C00E0C"/>
    <w:rsid w:val="00C03CC0"/>
    <w:rsid w:val="00C07069"/>
    <w:rsid w:val="00C07343"/>
    <w:rsid w:val="00C12791"/>
    <w:rsid w:val="00C2231B"/>
    <w:rsid w:val="00C25738"/>
    <w:rsid w:val="00C31D78"/>
    <w:rsid w:val="00C33F6E"/>
    <w:rsid w:val="00C34733"/>
    <w:rsid w:val="00C43CB3"/>
    <w:rsid w:val="00C464AE"/>
    <w:rsid w:val="00C50FBF"/>
    <w:rsid w:val="00C51E42"/>
    <w:rsid w:val="00C52AE2"/>
    <w:rsid w:val="00C5399D"/>
    <w:rsid w:val="00C55555"/>
    <w:rsid w:val="00C559AA"/>
    <w:rsid w:val="00C60C84"/>
    <w:rsid w:val="00C6456C"/>
    <w:rsid w:val="00C646F7"/>
    <w:rsid w:val="00C64B00"/>
    <w:rsid w:val="00C658AB"/>
    <w:rsid w:val="00C65A84"/>
    <w:rsid w:val="00C66984"/>
    <w:rsid w:val="00C70B5E"/>
    <w:rsid w:val="00C70C6F"/>
    <w:rsid w:val="00C70DBD"/>
    <w:rsid w:val="00C816D6"/>
    <w:rsid w:val="00C82D58"/>
    <w:rsid w:val="00C83F95"/>
    <w:rsid w:val="00C8688D"/>
    <w:rsid w:val="00C87777"/>
    <w:rsid w:val="00C87C3F"/>
    <w:rsid w:val="00C91F3C"/>
    <w:rsid w:val="00CA349A"/>
    <w:rsid w:val="00CA6B17"/>
    <w:rsid w:val="00CA6CBB"/>
    <w:rsid w:val="00CB3780"/>
    <w:rsid w:val="00CB58AA"/>
    <w:rsid w:val="00CB5BE0"/>
    <w:rsid w:val="00CC2AF0"/>
    <w:rsid w:val="00CC4FA7"/>
    <w:rsid w:val="00CC5861"/>
    <w:rsid w:val="00CC5C98"/>
    <w:rsid w:val="00CC72E4"/>
    <w:rsid w:val="00CD38C5"/>
    <w:rsid w:val="00CE1AD9"/>
    <w:rsid w:val="00CE6CEE"/>
    <w:rsid w:val="00CE6E29"/>
    <w:rsid w:val="00CE73F2"/>
    <w:rsid w:val="00CF2922"/>
    <w:rsid w:val="00CF2EC4"/>
    <w:rsid w:val="00CF4D41"/>
    <w:rsid w:val="00D005C7"/>
    <w:rsid w:val="00D03566"/>
    <w:rsid w:val="00D04B30"/>
    <w:rsid w:val="00D04DBB"/>
    <w:rsid w:val="00D052D5"/>
    <w:rsid w:val="00D06144"/>
    <w:rsid w:val="00D061FF"/>
    <w:rsid w:val="00D0631F"/>
    <w:rsid w:val="00D116CA"/>
    <w:rsid w:val="00D11EFC"/>
    <w:rsid w:val="00D1222D"/>
    <w:rsid w:val="00D12357"/>
    <w:rsid w:val="00D13364"/>
    <w:rsid w:val="00D13528"/>
    <w:rsid w:val="00D14B6A"/>
    <w:rsid w:val="00D14D4E"/>
    <w:rsid w:val="00D24C7E"/>
    <w:rsid w:val="00D257E0"/>
    <w:rsid w:val="00D306B3"/>
    <w:rsid w:val="00D314F6"/>
    <w:rsid w:val="00D327CE"/>
    <w:rsid w:val="00D329E7"/>
    <w:rsid w:val="00D42581"/>
    <w:rsid w:val="00D42BD3"/>
    <w:rsid w:val="00D4365F"/>
    <w:rsid w:val="00D44440"/>
    <w:rsid w:val="00D44E38"/>
    <w:rsid w:val="00D51212"/>
    <w:rsid w:val="00D52450"/>
    <w:rsid w:val="00D556B9"/>
    <w:rsid w:val="00D57A52"/>
    <w:rsid w:val="00D71BE4"/>
    <w:rsid w:val="00D80589"/>
    <w:rsid w:val="00D80A0D"/>
    <w:rsid w:val="00D80F84"/>
    <w:rsid w:val="00D82209"/>
    <w:rsid w:val="00D84DED"/>
    <w:rsid w:val="00D85496"/>
    <w:rsid w:val="00D86801"/>
    <w:rsid w:val="00D90008"/>
    <w:rsid w:val="00D9275F"/>
    <w:rsid w:val="00DA065B"/>
    <w:rsid w:val="00DA5E0D"/>
    <w:rsid w:val="00DA6708"/>
    <w:rsid w:val="00DB182B"/>
    <w:rsid w:val="00DB2A80"/>
    <w:rsid w:val="00DB3320"/>
    <w:rsid w:val="00DB3FEB"/>
    <w:rsid w:val="00DB5156"/>
    <w:rsid w:val="00DB6135"/>
    <w:rsid w:val="00DC229A"/>
    <w:rsid w:val="00DC4073"/>
    <w:rsid w:val="00DD141D"/>
    <w:rsid w:val="00DD328B"/>
    <w:rsid w:val="00DD7067"/>
    <w:rsid w:val="00DD7572"/>
    <w:rsid w:val="00DE1063"/>
    <w:rsid w:val="00DE2E88"/>
    <w:rsid w:val="00DE4E65"/>
    <w:rsid w:val="00DF31A3"/>
    <w:rsid w:val="00DF3F03"/>
    <w:rsid w:val="00DF408A"/>
    <w:rsid w:val="00E03C60"/>
    <w:rsid w:val="00E07952"/>
    <w:rsid w:val="00E13320"/>
    <w:rsid w:val="00E14A50"/>
    <w:rsid w:val="00E151EB"/>
    <w:rsid w:val="00E17907"/>
    <w:rsid w:val="00E22CBB"/>
    <w:rsid w:val="00E22D53"/>
    <w:rsid w:val="00E257ED"/>
    <w:rsid w:val="00E303B1"/>
    <w:rsid w:val="00E306F7"/>
    <w:rsid w:val="00E3286E"/>
    <w:rsid w:val="00E3349A"/>
    <w:rsid w:val="00E352E8"/>
    <w:rsid w:val="00E357C3"/>
    <w:rsid w:val="00E36415"/>
    <w:rsid w:val="00E364E1"/>
    <w:rsid w:val="00E42BBF"/>
    <w:rsid w:val="00E43470"/>
    <w:rsid w:val="00E43966"/>
    <w:rsid w:val="00E448EE"/>
    <w:rsid w:val="00E44D07"/>
    <w:rsid w:val="00E44DD3"/>
    <w:rsid w:val="00E546A6"/>
    <w:rsid w:val="00E548C3"/>
    <w:rsid w:val="00E56916"/>
    <w:rsid w:val="00E57CD3"/>
    <w:rsid w:val="00E614F9"/>
    <w:rsid w:val="00E62629"/>
    <w:rsid w:val="00E67EE6"/>
    <w:rsid w:val="00E71130"/>
    <w:rsid w:val="00E74DC3"/>
    <w:rsid w:val="00E74EBD"/>
    <w:rsid w:val="00E76282"/>
    <w:rsid w:val="00E77363"/>
    <w:rsid w:val="00E77396"/>
    <w:rsid w:val="00E865AE"/>
    <w:rsid w:val="00E93527"/>
    <w:rsid w:val="00E94302"/>
    <w:rsid w:val="00E966A4"/>
    <w:rsid w:val="00E966E0"/>
    <w:rsid w:val="00EA2ADF"/>
    <w:rsid w:val="00EA5407"/>
    <w:rsid w:val="00EA7A26"/>
    <w:rsid w:val="00EB0758"/>
    <w:rsid w:val="00EB2C98"/>
    <w:rsid w:val="00EB3B83"/>
    <w:rsid w:val="00EB3BE6"/>
    <w:rsid w:val="00EC1A25"/>
    <w:rsid w:val="00EC2A31"/>
    <w:rsid w:val="00EC2BA3"/>
    <w:rsid w:val="00EC52DB"/>
    <w:rsid w:val="00EC7161"/>
    <w:rsid w:val="00EC75D9"/>
    <w:rsid w:val="00EE29EE"/>
    <w:rsid w:val="00EE3456"/>
    <w:rsid w:val="00EE4639"/>
    <w:rsid w:val="00EE523B"/>
    <w:rsid w:val="00EE5E65"/>
    <w:rsid w:val="00EF2834"/>
    <w:rsid w:val="00EF2EE1"/>
    <w:rsid w:val="00EF5A93"/>
    <w:rsid w:val="00EF666D"/>
    <w:rsid w:val="00F00081"/>
    <w:rsid w:val="00F0036D"/>
    <w:rsid w:val="00F019F7"/>
    <w:rsid w:val="00F054D2"/>
    <w:rsid w:val="00F07562"/>
    <w:rsid w:val="00F10C51"/>
    <w:rsid w:val="00F10F95"/>
    <w:rsid w:val="00F168A2"/>
    <w:rsid w:val="00F16C96"/>
    <w:rsid w:val="00F17008"/>
    <w:rsid w:val="00F21168"/>
    <w:rsid w:val="00F229E8"/>
    <w:rsid w:val="00F261D5"/>
    <w:rsid w:val="00F301F2"/>
    <w:rsid w:val="00F32949"/>
    <w:rsid w:val="00F360F2"/>
    <w:rsid w:val="00F41EA3"/>
    <w:rsid w:val="00F43552"/>
    <w:rsid w:val="00F43657"/>
    <w:rsid w:val="00F46254"/>
    <w:rsid w:val="00F50564"/>
    <w:rsid w:val="00F51527"/>
    <w:rsid w:val="00F56827"/>
    <w:rsid w:val="00F56C35"/>
    <w:rsid w:val="00F60678"/>
    <w:rsid w:val="00F60CCB"/>
    <w:rsid w:val="00F6154A"/>
    <w:rsid w:val="00F61C83"/>
    <w:rsid w:val="00F638A4"/>
    <w:rsid w:val="00F663E0"/>
    <w:rsid w:val="00F664EF"/>
    <w:rsid w:val="00F66B68"/>
    <w:rsid w:val="00F7118D"/>
    <w:rsid w:val="00F71A57"/>
    <w:rsid w:val="00F7388F"/>
    <w:rsid w:val="00F73898"/>
    <w:rsid w:val="00F75E31"/>
    <w:rsid w:val="00F828BE"/>
    <w:rsid w:val="00F8305F"/>
    <w:rsid w:val="00F8627A"/>
    <w:rsid w:val="00F95E86"/>
    <w:rsid w:val="00FA1211"/>
    <w:rsid w:val="00FA2CEE"/>
    <w:rsid w:val="00FA3510"/>
    <w:rsid w:val="00FA73BB"/>
    <w:rsid w:val="00FB0B67"/>
    <w:rsid w:val="00FB0D9A"/>
    <w:rsid w:val="00FB3978"/>
    <w:rsid w:val="00FB7DA7"/>
    <w:rsid w:val="00FC26F0"/>
    <w:rsid w:val="00FC5718"/>
    <w:rsid w:val="00FD02C8"/>
    <w:rsid w:val="00FD0E5F"/>
    <w:rsid w:val="00FD26CB"/>
    <w:rsid w:val="00FD2C6F"/>
    <w:rsid w:val="00FD35D5"/>
    <w:rsid w:val="00FD7154"/>
    <w:rsid w:val="00FE4378"/>
    <w:rsid w:val="00FE55DC"/>
    <w:rsid w:val="00FE7CC9"/>
    <w:rsid w:val="00FF0425"/>
    <w:rsid w:val="00FF4C0D"/>
    <w:rsid w:val="00FF51F0"/>
    <w:rsid w:val="00FF703F"/>
    <w:rsid w:val="00FF7171"/>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292A41A-40D2-4DFF-9299-3D6F028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0B"/>
    <w:pPr>
      <w:jc w:val="both"/>
    </w:pPr>
  </w:style>
  <w:style w:type="paragraph" w:styleId="Heading1">
    <w:name w:val="heading 1"/>
    <w:basedOn w:val="Normal"/>
    <w:next w:val="Normal"/>
    <w:link w:val="Heading1Char"/>
    <w:uiPriority w:val="9"/>
    <w:qFormat/>
    <w:rsid w:val="00FD0E5F"/>
    <w:pPr>
      <w:keepNext/>
      <w:keepLines/>
      <w:numPr>
        <w:numId w:val="5"/>
      </w:numPr>
      <w:spacing w:before="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ED1"/>
    <w:pPr>
      <w:keepNext/>
      <w:keepLines/>
      <w:numPr>
        <w:ilvl w:val="1"/>
        <w:numId w:val="5"/>
      </w:numPr>
      <w:spacing w:before="240" w:after="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BDB"/>
    <w:pPr>
      <w:keepNext/>
      <w:keepLines/>
      <w:numPr>
        <w:ilvl w:val="2"/>
        <w:numId w:val="5"/>
      </w:numPr>
      <w:spacing w:before="18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aliases w:val="h,Header/Footer,header odd,header entry,HE,页眉"/>
    <w:basedOn w:val="Normal"/>
    <w:link w:val="HeaderChar"/>
    <w:unhideWhenUsed/>
    <w:rsid w:val="00BC5230"/>
    <w:pPr>
      <w:tabs>
        <w:tab w:val="center" w:pos="4680"/>
        <w:tab w:val="right" w:pos="9360"/>
      </w:tabs>
      <w:spacing w:after="0" w:line="240" w:lineRule="auto"/>
    </w:pPr>
  </w:style>
  <w:style w:type="character" w:customStyle="1" w:styleId="HeaderChar">
    <w:name w:val="Header Char"/>
    <w:aliases w:val="h Char,Header/Footer Char,header odd Char,header entry Char,HE Char,页眉 Char"/>
    <w:basedOn w:val="DefaultParagraphFont"/>
    <w:link w:val="Header"/>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433E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1BD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link w:val="ListParagraphChar"/>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51620B"/>
    <w:pPr>
      <w:keepLines/>
      <w:tabs>
        <w:tab w:val="left" w:pos="256"/>
        <w:tab w:val="left" w:pos="567"/>
        <w:tab w:val="left" w:pos="1134"/>
        <w:tab w:val="left" w:pos="1701"/>
        <w:tab w:val="left" w:pos="2268"/>
        <w:tab w:val="left" w:pos="2835"/>
      </w:tabs>
      <w:overflowPunct w:val="0"/>
      <w:autoSpaceDE w:val="0"/>
      <w:autoSpaceDN w:val="0"/>
      <w:adjustRightInd w:val="0"/>
      <w:spacing w:before="60" w:after="0" w:line="240" w:lineRule="auto"/>
      <w:ind w:left="255" w:hanging="255"/>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51620B"/>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table" w:customStyle="1" w:styleId="GridTable4-Accent12">
    <w:name w:val="Grid Table 4 - Accent 12"/>
    <w:basedOn w:val="TableNormal"/>
    <w:uiPriority w:val="49"/>
    <w:rsid w:val="00BE01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2">
    <w:name w:val="Plain Table 22"/>
    <w:basedOn w:val="TableNormal"/>
    <w:uiPriority w:val="42"/>
    <w:rsid w:val="00E569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E5691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05346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1">
    <w:name w:val="Medium Shading 1 Accent 1"/>
    <w:basedOn w:val="TableNormal"/>
    <w:uiPriority w:val="63"/>
    <w:rsid w:val="00057DA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B54C45"/>
    <w:pPr>
      <w:spacing w:after="200" w:line="240" w:lineRule="auto"/>
    </w:pPr>
    <w:rPr>
      <w:i/>
      <w:iCs/>
      <w:color w:val="44546A" w:themeColor="text2"/>
      <w:sz w:val="18"/>
      <w:szCs w:val="18"/>
    </w:rPr>
  </w:style>
  <w:style w:type="table" w:styleId="ListTable3-Accent1">
    <w:name w:val="List Table 3 Accent 1"/>
    <w:basedOn w:val="TableNormal"/>
    <w:uiPriority w:val="48"/>
    <w:rsid w:val="007466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D04DBB"/>
    <w:pPr>
      <w:spacing w:after="0" w:line="240" w:lineRule="auto"/>
    </w:pPr>
  </w:style>
  <w:style w:type="paragraph" w:customStyle="1" w:styleId="Docnumber">
    <w:name w:val="Docnumber"/>
    <w:basedOn w:val="Normal"/>
    <w:link w:val="DocnumberChar"/>
    <w:rsid w:val="000355F7"/>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0355F7"/>
    <w:rPr>
      <w:rFonts w:ascii="Times New Roman" w:hAnsi="Times New Roman" w:cs="Times New Roman"/>
      <w:b/>
      <w:bCs/>
      <w:sz w:val="40"/>
    </w:rPr>
  </w:style>
  <w:style w:type="paragraph" w:customStyle="1" w:styleId="Normalaftertitle">
    <w:name w:val="Normal after title"/>
    <w:basedOn w:val="Normal"/>
    <w:next w:val="Normal"/>
    <w:rsid w:val="002C38F0"/>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2C38F0"/>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customStyle="1" w:styleId="Headingb">
    <w:name w:val="Heading_b"/>
    <w:basedOn w:val="Heading3"/>
    <w:next w:val="Normal"/>
    <w:rsid w:val="00EF2834"/>
    <w:pPr>
      <w:numPr>
        <w:ilvl w:val="0"/>
        <w:numId w:val="0"/>
      </w:num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jc w:val="left"/>
      <w:textAlignment w:val="baseline"/>
      <w:outlineLvl w:val="0"/>
    </w:pPr>
    <w:rPr>
      <w:rFonts w:ascii="Calibri" w:eastAsia="Times New Roman" w:hAnsi="Calibri" w:cs="Times New Roman"/>
      <w:b/>
      <w:color w:val="auto"/>
      <w:szCs w:val="20"/>
      <w:lang w:val="en-GB"/>
    </w:rPr>
  </w:style>
  <w:style w:type="paragraph" w:customStyle="1" w:styleId="Table">
    <w:name w:val="Table_#"/>
    <w:basedOn w:val="Normal"/>
    <w:next w:val="Normal"/>
    <w:rsid w:val="00EF2834"/>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rPr>
  </w:style>
  <w:style w:type="paragraph" w:customStyle="1" w:styleId="Banner">
    <w:name w:val="Banner"/>
    <w:basedOn w:val="Normal"/>
    <w:rsid w:val="00815BD5"/>
    <w:pPr>
      <w:tabs>
        <w:tab w:val="left" w:pos="993"/>
      </w:tabs>
      <w:overflowPunct w:val="0"/>
      <w:autoSpaceDE w:val="0"/>
      <w:autoSpaceDN w:val="0"/>
      <w:adjustRightInd w:val="0"/>
      <w:spacing w:before="240" w:after="0" w:line="240" w:lineRule="auto"/>
      <w:ind w:left="993" w:hanging="993"/>
      <w:jc w:val="left"/>
    </w:pPr>
    <w:rPr>
      <w:rFonts w:ascii="Arial" w:eastAsia="Times New Roman" w:hAnsi="Arial" w:cs="Times New Roman"/>
      <w:lang w:val="en-GB"/>
    </w:rPr>
  </w:style>
  <w:style w:type="character" w:styleId="Emphasis">
    <w:name w:val="Emphasis"/>
    <w:basedOn w:val="DefaultParagraphFont"/>
    <w:uiPriority w:val="20"/>
    <w:qFormat/>
    <w:rsid w:val="00815BD5"/>
    <w:rPr>
      <w:i/>
      <w:iCs/>
    </w:rPr>
  </w:style>
  <w:style w:type="character" w:customStyle="1" w:styleId="ListParagraphChar">
    <w:name w:val="List Paragraph Char"/>
    <w:basedOn w:val="DefaultParagraphFont"/>
    <w:link w:val="ListParagraph"/>
    <w:uiPriority w:val="34"/>
    <w:rsid w:val="00815BD5"/>
  </w:style>
  <w:style w:type="paragraph" w:styleId="PlainText">
    <w:name w:val="Plain Text"/>
    <w:basedOn w:val="Normal"/>
    <w:link w:val="PlainTextChar"/>
    <w:uiPriority w:val="99"/>
    <w:unhideWhenUsed/>
    <w:rsid w:val="00815BD5"/>
    <w:pPr>
      <w:spacing w:after="0" w:line="240" w:lineRule="auto"/>
      <w:jc w:val="left"/>
    </w:pPr>
    <w:rPr>
      <w:rFonts w:ascii="Calibri" w:eastAsia="SimSun" w:hAnsi="Calibri" w:cs="Arial"/>
      <w:szCs w:val="21"/>
      <w:lang w:eastAsia="zh-CN"/>
    </w:rPr>
  </w:style>
  <w:style w:type="character" w:customStyle="1" w:styleId="PlainTextChar">
    <w:name w:val="Plain Text Char"/>
    <w:basedOn w:val="DefaultParagraphFont"/>
    <w:link w:val="PlainText"/>
    <w:uiPriority w:val="99"/>
    <w:rsid w:val="00815BD5"/>
    <w:rPr>
      <w:rFonts w:ascii="Calibri" w:eastAsia="SimSun" w:hAnsi="Calibri" w:cs="Arial"/>
      <w:szCs w:val="21"/>
      <w:lang w:eastAsia="zh-CN"/>
    </w:rPr>
  </w:style>
  <w:style w:type="paragraph" w:customStyle="1" w:styleId="Default">
    <w:name w:val="Default"/>
    <w:rsid w:val="00815BD5"/>
    <w:pPr>
      <w:autoSpaceDE w:val="0"/>
      <w:autoSpaceDN w:val="0"/>
      <w:adjustRightInd w:val="0"/>
      <w:spacing w:after="0" w:line="240" w:lineRule="auto"/>
    </w:pPr>
    <w:rPr>
      <w:rFonts w:ascii="Calibri" w:eastAsiaTheme="minorEastAsia"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018">
      <w:bodyDiv w:val="1"/>
      <w:marLeft w:val="0"/>
      <w:marRight w:val="0"/>
      <w:marTop w:val="0"/>
      <w:marBottom w:val="0"/>
      <w:divBdr>
        <w:top w:val="none" w:sz="0" w:space="0" w:color="auto"/>
        <w:left w:val="none" w:sz="0" w:space="0" w:color="auto"/>
        <w:bottom w:val="none" w:sz="0" w:space="0" w:color="auto"/>
        <w:right w:val="none" w:sz="0" w:space="0" w:color="auto"/>
      </w:divBdr>
    </w:div>
    <w:div w:id="37290873">
      <w:bodyDiv w:val="1"/>
      <w:marLeft w:val="0"/>
      <w:marRight w:val="0"/>
      <w:marTop w:val="0"/>
      <w:marBottom w:val="0"/>
      <w:divBdr>
        <w:top w:val="none" w:sz="0" w:space="0" w:color="auto"/>
        <w:left w:val="none" w:sz="0" w:space="0" w:color="auto"/>
        <w:bottom w:val="none" w:sz="0" w:space="0" w:color="auto"/>
        <w:right w:val="none" w:sz="0" w:space="0" w:color="auto"/>
      </w:divBdr>
    </w:div>
    <w:div w:id="231239480">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285235296">
      <w:bodyDiv w:val="1"/>
      <w:marLeft w:val="0"/>
      <w:marRight w:val="0"/>
      <w:marTop w:val="0"/>
      <w:marBottom w:val="0"/>
      <w:divBdr>
        <w:top w:val="none" w:sz="0" w:space="0" w:color="auto"/>
        <w:left w:val="none" w:sz="0" w:space="0" w:color="auto"/>
        <w:bottom w:val="none" w:sz="0" w:space="0" w:color="auto"/>
        <w:right w:val="none" w:sz="0" w:space="0" w:color="auto"/>
      </w:divBdr>
    </w:div>
    <w:div w:id="292250908">
      <w:bodyDiv w:val="1"/>
      <w:marLeft w:val="0"/>
      <w:marRight w:val="0"/>
      <w:marTop w:val="0"/>
      <w:marBottom w:val="0"/>
      <w:divBdr>
        <w:top w:val="none" w:sz="0" w:space="0" w:color="auto"/>
        <w:left w:val="none" w:sz="0" w:space="0" w:color="auto"/>
        <w:bottom w:val="none" w:sz="0" w:space="0" w:color="auto"/>
        <w:right w:val="none" w:sz="0" w:space="0" w:color="auto"/>
      </w:divBdr>
    </w:div>
    <w:div w:id="423263630">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68479441">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703485780">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4771942">
      <w:bodyDiv w:val="1"/>
      <w:marLeft w:val="0"/>
      <w:marRight w:val="0"/>
      <w:marTop w:val="0"/>
      <w:marBottom w:val="0"/>
      <w:divBdr>
        <w:top w:val="none" w:sz="0" w:space="0" w:color="auto"/>
        <w:left w:val="none" w:sz="0" w:space="0" w:color="auto"/>
        <w:bottom w:val="none" w:sz="0" w:space="0" w:color="auto"/>
        <w:right w:val="none" w:sz="0" w:space="0" w:color="auto"/>
      </w:divBdr>
    </w:div>
    <w:div w:id="1098216711">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223832706">
      <w:bodyDiv w:val="1"/>
      <w:marLeft w:val="0"/>
      <w:marRight w:val="0"/>
      <w:marTop w:val="0"/>
      <w:marBottom w:val="0"/>
      <w:divBdr>
        <w:top w:val="none" w:sz="0" w:space="0" w:color="auto"/>
        <w:left w:val="none" w:sz="0" w:space="0" w:color="auto"/>
        <w:bottom w:val="none" w:sz="0" w:space="0" w:color="auto"/>
        <w:right w:val="none" w:sz="0" w:space="0" w:color="auto"/>
      </w:divBdr>
    </w:div>
    <w:div w:id="1312057531">
      <w:bodyDiv w:val="1"/>
      <w:marLeft w:val="0"/>
      <w:marRight w:val="0"/>
      <w:marTop w:val="0"/>
      <w:marBottom w:val="0"/>
      <w:divBdr>
        <w:top w:val="none" w:sz="0" w:space="0" w:color="auto"/>
        <w:left w:val="none" w:sz="0" w:space="0" w:color="auto"/>
        <w:bottom w:val="none" w:sz="0" w:space="0" w:color="auto"/>
        <w:right w:val="none" w:sz="0" w:space="0" w:color="auto"/>
      </w:divBdr>
    </w:div>
    <w:div w:id="1324435356">
      <w:bodyDiv w:val="1"/>
      <w:marLeft w:val="0"/>
      <w:marRight w:val="0"/>
      <w:marTop w:val="0"/>
      <w:marBottom w:val="0"/>
      <w:divBdr>
        <w:top w:val="none" w:sz="0" w:space="0" w:color="auto"/>
        <w:left w:val="none" w:sz="0" w:space="0" w:color="auto"/>
        <w:bottom w:val="none" w:sz="0" w:space="0" w:color="auto"/>
        <w:right w:val="none" w:sz="0" w:space="0" w:color="auto"/>
      </w:divBdr>
    </w:div>
    <w:div w:id="1392118353">
      <w:bodyDiv w:val="1"/>
      <w:marLeft w:val="0"/>
      <w:marRight w:val="0"/>
      <w:marTop w:val="0"/>
      <w:marBottom w:val="0"/>
      <w:divBdr>
        <w:top w:val="none" w:sz="0" w:space="0" w:color="auto"/>
        <w:left w:val="none" w:sz="0" w:space="0" w:color="auto"/>
        <w:bottom w:val="none" w:sz="0" w:space="0" w:color="auto"/>
        <w:right w:val="none" w:sz="0" w:space="0" w:color="auto"/>
      </w:divBdr>
    </w:div>
    <w:div w:id="1392919211">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656567510">
      <w:bodyDiv w:val="1"/>
      <w:marLeft w:val="0"/>
      <w:marRight w:val="0"/>
      <w:marTop w:val="0"/>
      <w:marBottom w:val="0"/>
      <w:divBdr>
        <w:top w:val="none" w:sz="0" w:space="0" w:color="auto"/>
        <w:left w:val="none" w:sz="0" w:space="0" w:color="auto"/>
        <w:bottom w:val="none" w:sz="0" w:space="0" w:color="auto"/>
        <w:right w:val="none" w:sz="0" w:space="0" w:color="auto"/>
      </w:divBdr>
    </w:div>
    <w:div w:id="1689718030">
      <w:bodyDiv w:val="1"/>
      <w:marLeft w:val="0"/>
      <w:marRight w:val="0"/>
      <w:marTop w:val="0"/>
      <w:marBottom w:val="0"/>
      <w:divBdr>
        <w:top w:val="none" w:sz="0" w:space="0" w:color="auto"/>
        <w:left w:val="none" w:sz="0" w:space="0" w:color="auto"/>
        <w:bottom w:val="none" w:sz="0" w:space="0" w:color="auto"/>
        <w:right w:val="none" w:sz="0" w:space="0" w:color="auto"/>
      </w:divBdr>
    </w:div>
    <w:div w:id="1797941737">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839232236">
      <w:bodyDiv w:val="1"/>
      <w:marLeft w:val="0"/>
      <w:marRight w:val="0"/>
      <w:marTop w:val="0"/>
      <w:marBottom w:val="0"/>
      <w:divBdr>
        <w:top w:val="none" w:sz="0" w:space="0" w:color="auto"/>
        <w:left w:val="none" w:sz="0" w:space="0" w:color="auto"/>
        <w:bottom w:val="none" w:sz="0" w:space="0" w:color="auto"/>
        <w:right w:val="none" w:sz="0" w:space="0" w:color="auto"/>
      </w:divBdr>
    </w:div>
    <w:div w:id="1891724233">
      <w:bodyDiv w:val="1"/>
      <w:marLeft w:val="0"/>
      <w:marRight w:val="0"/>
      <w:marTop w:val="0"/>
      <w:marBottom w:val="0"/>
      <w:divBdr>
        <w:top w:val="none" w:sz="0" w:space="0" w:color="auto"/>
        <w:left w:val="none" w:sz="0" w:space="0" w:color="auto"/>
        <w:bottom w:val="none" w:sz="0" w:space="0" w:color="auto"/>
        <w:right w:val="none" w:sz="0" w:space="0" w:color="auto"/>
      </w:divBdr>
    </w:div>
    <w:div w:id="1905263320">
      <w:bodyDiv w:val="1"/>
      <w:marLeft w:val="0"/>
      <w:marRight w:val="0"/>
      <w:marTop w:val="0"/>
      <w:marBottom w:val="0"/>
      <w:divBdr>
        <w:top w:val="none" w:sz="0" w:space="0" w:color="auto"/>
        <w:left w:val="none" w:sz="0" w:space="0" w:color="auto"/>
        <w:bottom w:val="none" w:sz="0" w:space="0" w:color="auto"/>
        <w:right w:val="none" w:sz="0" w:space="0" w:color="auto"/>
      </w:divBdr>
    </w:div>
    <w:div w:id="1932204483">
      <w:bodyDiv w:val="1"/>
      <w:marLeft w:val="0"/>
      <w:marRight w:val="0"/>
      <w:marTop w:val="0"/>
      <w:marBottom w:val="0"/>
      <w:divBdr>
        <w:top w:val="none" w:sz="0" w:space="0" w:color="auto"/>
        <w:left w:val="none" w:sz="0" w:space="0" w:color="auto"/>
        <w:bottom w:val="none" w:sz="0" w:space="0" w:color="auto"/>
        <w:right w:val="none" w:sz="0" w:space="0" w:color="auto"/>
      </w:divBdr>
      <w:divsChild>
        <w:div w:id="1904756864">
          <w:marLeft w:val="0"/>
          <w:marRight w:val="0"/>
          <w:marTop w:val="0"/>
          <w:marBottom w:val="0"/>
          <w:divBdr>
            <w:top w:val="none" w:sz="0" w:space="0" w:color="auto"/>
            <w:left w:val="none" w:sz="0" w:space="0" w:color="auto"/>
            <w:bottom w:val="none" w:sz="0" w:space="0" w:color="auto"/>
            <w:right w:val="none" w:sz="0" w:space="0" w:color="auto"/>
          </w:divBdr>
          <w:divsChild>
            <w:div w:id="1807159206">
              <w:marLeft w:val="0"/>
              <w:marRight w:val="0"/>
              <w:marTop w:val="0"/>
              <w:marBottom w:val="0"/>
              <w:divBdr>
                <w:top w:val="none" w:sz="0" w:space="0" w:color="auto"/>
                <w:left w:val="none" w:sz="0" w:space="0" w:color="auto"/>
                <w:bottom w:val="none" w:sz="0" w:space="0" w:color="auto"/>
                <w:right w:val="none" w:sz="0" w:space="0" w:color="auto"/>
              </w:divBdr>
              <w:divsChild>
                <w:div w:id="51077206">
                  <w:marLeft w:val="0"/>
                  <w:marRight w:val="0"/>
                  <w:marTop w:val="0"/>
                  <w:marBottom w:val="0"/>
                  <w:divBdr>
                    <w:top w:val="none" w:sz="0" w:space="0" w:color="auto"/>
                    <w:left w:val="none" w:sz="0" w:space="0" w:color="auto"/>
                    <w:bottom w:val="none" w:sz="0" w:space="0" w:color="auto"/>
                    <w:right w:val="none" w:sz="0" w:space="0" w:color="auto"/>
                  </w:divBdr>
                  <w:divsChild>
                    <w:div w:id="1876769289">
                      <w:marLeft w:val="0"/>
                      <w:marRight w:val="0"/>
                      <w:marTop w:val="0"/>
                      <w:marBottom w:val="0"/>
                      <w:divBdr>
                        <w:top w:val="none" w:sz="0" w:space="0" w:color="auto"/>
                        <w:left w:val="none" w:sz="0" w:space="0" w:color="auto"/>
                        <w:bottom w:val="none" w:sz="0" w:space="0" w:color="auto"/>
                        <w:right w:val="none" w:sz="0" w:space="0" w:color="auto"/>
                      </w:divBdr>
                      <w:divsChild>
                        <w:div w:id="1916471843">
                          <w:marLeft w:val="0"/>
                          <w:marRight w:val="0"/>
                          <w:marTop w:val="0"/>
                          <w:marBottom w:val="0"/>
                          <w:divBdr>
                            <w:top w:val="none" w:sz="0" w:space="0" w:color="auto"/>
                            <w:left w:val="none" w:sz="0" w:space="0" w:color="auto"/>
                            <w:bottom w:val="none" w:sz="0" w:space="0" w:color="auto"/>
                            <w:right w:val="none" w:sz="0" w:space="0" w:color="auto"/>
                          </w:divBdr>
                          <w:divsChild>
                            <w:div w:id="1100375117">
                              <w:marLeft w:val="0"/>
                              <w:marRight w:val="0"/>
                              <w:marTop w:val="0"/>
                              <w:marBottom w:val="0"/>
                              <w:divBdr>
                                <w:top w:val="none" w:sz="0" w:space="0" w:color="auto"/>
                                <w:left w:val="none" w:sz="0" w:space="0" w:color="auto"/>
                                <w:bottom w:val="none" w:sz="0" w:space="0" w:color="auto"/>
                                <w:right w:val="none" w:sz="0" w:space="0" w:color="auto"/>
                              </w:divBdr>
                              <w:divsChild>
                                <w:div w:id="392235968">
                                  <w:marLeft w:val="0"/>
                                  <w:marRight w:val="0"/>
                                  <w:marTop w:val="0"/>
                                  <w:marBottom w:val="0"/>
                                  <w:divBdr>
                                    <w:top w:val="none" w:sz="0" w:space="0" w:color="auto"/>
                                    <w:left w:val="none" w:sz="0" w:space="0" w:color="auto"/>
                                    <w:bottom w:val="none" w:sz="0" w:space="0" w:color="auto"/>
                                    <w:right w:val="none" w:sz="0" w:space="0" w:color="auto"/>
                                  </w:divBdr>
                                  <w:divsChild>
                                    <w:div w:id="519200825">
                                      <w:marLeft w:val="0"/>
                                      <w:marRight w:val="0"/>
                                      <w:marTop w:val="0"/>
                                      <w:marBottom w:val="0"/>
                                      <w:divBdr>
                                        <w:top w:val="none" w:sz="0" w:space="0" w:color="auto"/>
                                        <w:left w:val="none" w:sz="0" w:space="0" w:color="auto"/>
                                        <w:bottom w:val="none" w:sz="0" w:space="0" w:color="auto"/>
                                        <w:right w:val="none" w:sz="0" w:space="0" w:color="auto"/>
                                      </w:divBdr>
                                      <w:divsChild>
                                        <w:div w:id="416630249">
                                          <w:marLeft w:val="0"/>
                                          <w:marRight w:val="0"/>
                                          <w:marTop w:val="0"/>
                                          <w:marBottom w:val="0"/>
                                          <w:divBdr>
                                            <w:top w:val="none" w:sz="0" w:space="0" w:color="auto"/>
                                            <w:left w:val="none" w:sz="0" w:space="0" w:color="auto"/>
                                            <w:bottom w:val="none" w:sz="0" w:space="0" w:color="auto"/>
                                            <w:right w:val="none" w:sz="0" w:space="0" w:color="auto"/>
                                          </w:divBdr>
                                          <w:divsChild>
                                            <w:div w:id="1017804889">
                                              <w:marLeft w:val="0"/>
                                              <w:marRight w:val="0"/>
                                              <w:marTop w:val="0"/>
                                              <w:marBottom w:val="0"/>
                                              <w:divBdr>
                                                <w:top w:val="none" w:sz="0" w:space="0" w:color="auto"/>
                                                <w:left w:val="none" w:sz="0" w:space="0" w:color="auto"/>
                                                <w:bottom w:val="none" w:sz="0" w:space="0" w:color="auto"/>
                                                <w:right w:val="none" w:sz="0" w:space="0" w:color="auto"/>
                                              </w:divBdr>
                                              <w:divsChild>
                                                <w:div w:id="1642923470">
                                                  <w:marLeft w:val="0"/>
                                                  <w:marRight w:val="0"/>
                                                  <w:marTop w:val="0"/>
                                                  <w:marBottom w:val="0"/>
                                                  <w:divBdr>
                                                    <w:top w:val="none" w:sz="0" w:space="0" w:color="auto"/>
                                                    <w:left w:val="none" w:sz="0" w:space="0" w:color="auto"/>
                                                    <w:bottom w:val="none" w:sz="0" w:space="0" w:color="auto"/>
                                                    <w:right w:val="none" w:sz="0" w:space="0" w:color="auto"/>
                                                  </w:divBdr>
                                                  <w:divsChild>
                                                    <w:div w:id="1062488569">
                                                      <w:marLeft w:val="0"/>
                                                      <w:marRight w:val="0"/>
                                                      <w:marTop w:val="0"/>
                                                      <w:marBottom w:val="0"/>
                                                      <w:divBdr>
                                                        <w:top w:val="none" w:sz="0" w:space="0" w:color="auto"/>
                                                        <w:left w:val="none" w:sz="0" w:space="0" w:color="auto"/>
                                                        <w:bottom w:val="none" w:sz="0" w:space="0" w:color="auto"/>
                                                        <w:right w:val="none" w:sz="0" w:space="0" w:color="auto"/>
                                                      </w:divBdr>
                                                      <w:divsChild>
                                                        <w:div w:id="2036543213">
                                                          <w:marLeft w:val="0"/>
                                                          <w:marRight w:val="0"/>
                                                          <w:marTop w:val="0"/>
                                                          <w:marBottom w:val="0"/>
                                                          <w:divBdr>
                                                            <w:top w:val="none" w:sz="0" w:space="0" w:color="auto"/>
                                                            <w:left w:val="none" w:sz="0" w:space="0" w:color="auto"/>
                                                            <w:bottom w:val="none" w:sz="0" w:space="0" w:color="auto"/>
                                                            <w:right w:val="none" w:sz="0" w:space="0" w:color="auto"/>
                                                          </w:divBdr>
                                                          <w:divsChild>
                                                            <w:div w:id="1642419733">
                                                              <w:marLeft w:val="0"/>
                                                              <w:marRight w:val="0"/>
                                                              <w:marTop w:val="0"/>
                                                              <w:marBottom w:val="0"/>
                                                              <w:divBdr>
                                                                <w:top w:val="none" w:sz="0" w:space="0" w:color="auto"/>
                                                                <w:left w:val="none" w:sz="0" w:space="0" w:color="auto"/>
                                                                <w:bottom w:val="none" w:sz="0" w:space="0" w:color="auto"/>
                                                                <w:right w:val="none" w:sz="0" w:space="0" w:color="auto"/>
                                                              </w:divBdr>
                                                              <w:divsChild>
                                                                <w:div w:id="556664925">
                                                                  <w:marLeft w:val="0"/>
                                                                  <w:marRight w:val="0"/>
                                                                  <w:marTop w:val="0"/>
                                                                  <w:marBottom w:val="0"/>
                                                                  <w:divBdr>
                                                                    <w:top w:val="none" w:sz="0" w:space="0" w:color="auto"/>
                                                                    <w:left w:val="none" w:sz="0" w:space="0" w:color="auto"/>
                                                                    <w:bottom w:val="none" w:sz="0" w:space="0" w:color="auto"/>
                                                                    <w:right w:val="none" w:sz="0" w:space="0" w:color="auto"/>
                                                                  </w:divBdr>
                                                                  <w:divsChild>
                                                                    <w:div w:id="1896811116">
                                                                      <w:marLeft w:val="0"/>
                                                                      <w:marRight w:val="0"/>
                                                                      <w:marTop w:val="0"/>
                                                                      <w:marBottom w:val="0"/>
                                                                      <w:divBdr>
                                                                        <w:top w:val="none" w:sz="0" w:space="0" w:color="auto"/>
                                                                        <w:left w:val="none" w:sz="0" w:space="0" w:color="auto"/>
                                                                        <w:bottom w:val="none" w:sz="0" w:space="0" w:color="auto"/>
                                                                        <w:right w:val="none" w:sz="0" w:space="0" w:color="auto"/>
                                                                      </w:divBdr>
                                                                    </w:div>
                                                                    <w:div w:id="1372538879">
                                                                      <w:marLeft w:val="0"/>
                                                                      <w:marRight w:val="0"/>
                                                                      <w:marTop w:val="0"/>
                                                                      <w:marBottom w:val="0"/>
                                                                      <w:divBdr>
                                                                        <w:top w:val="none" w:sz="0" w:space="0" w:color="auto"/>
                                                                        <w:left w:val="none" w:sz="0" w:space="0" w:color="auto"/>
                                                                        <w:bottom w:val="none" w:sz="0" w:space="0" w:color="auto"/>
                                                                        <w:right w:val="none" w:sz="0" w:space="0" w:color="auto"/>
                                                                      </w:divBdr>
                                                                    </w:div>
                                                                    <w:div w:id="330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T13-TSAG-R-0004/en" TargetMode="External"/><Relationship Id="rId18" Type="http://schemas.openxmlformats.org/officeDocument/2006/relationships/hyperlink" Target="https://www.itu.int/md/D14-TDAG21-C-002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D14-TDAG21-C-0038/" TargetMode="External"/><Relationship Id="rId7" Type="http://schemas.openxmlformats.org/officeDocument/2006/relationships/endnotes" Target="endnotes.xml"/><Relationship Id="rId12" Type="http://schemas.openxmlformats.org/officeDocument/2006/relationships/hyperlink" Target="http://www.itu.int/md/R00-CA-CIR-0223/en" TargetMode="External"/><Relationship Id="rId17" Type="http://schemas.openxmlformats.org/officeDocument/2006/relationships/hyperlink" Target="https://www.itu.int/en/ITU-D/Conferences/TDAG/Pages/inter-sectoral-team-on-issues-of-mutual-interes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13-TSAG-R" TargetMode="External"/><Relationship Id="rId20" Type="http://schemas.openxmlformats.org/officeDocument/2006/relationships/hyperlink" Target="https://www.itu.int/md/D14-TDAG21-C-00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0-C-0032/" TargetMode="External"/><Relationship Id="rId24" Type="http://schemas.openxmlformats.org/officeDocument/2006/relationships/hyperlink" Target="http://www.itu.int/ITU-D/TDAG" TargetMode="External"/><Relationship Id="rId5" Type="http://schemas.openxmlformats.org/officeDocument/2006/relationships/webSettings" Target="webSettings.xml"/><Relationship Id="rId15" Type="http://schemas.openxmlformats.org/officeDocument/2006/relationships/hyperlink" Target="http://www.itu.int/md/T13-TSAG-R-0004/" TargetMode="External"/><Relationship Id="rId23" Type="http://schemas.openxmlformats.org/officeDocument/2006/relationships/hyperlink" Target="http://www.itu.int/en/ITU-D/Conferences/TDAG/Pages/default.aspx"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itu.int/md/D14-TDAG21-C-002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R00-CA-CIR-0223/en" TargetMode="External"/><Relationship Id="rId22" Type="http://schemas.openxmlformats.org/officeDocument/2006/relationships/hyperlink" Target="https://www.itu.int/md/D14-TDAG21-C-0002/e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8414-B19B-4B47-B93A-C29113B0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GS draft four-year rolling Operational Plan 2017-2020</vt:lpstr>
    </vt:vector>
  </TitlesOfParts>
  <Manager>ITU-T</Manager>
  <Company>International Telecommunication Union (ITU)</Company>
  <LinksUpToDate>false</LinksUpToDate>
  <CharactersWithSpaces>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draft four-year rolling Operational Plan 2017-2020</dc:title>
  <dc:creator>Report by the Secretary-General</dc:creator>
  <cp:keywords>C2016, C16</cp:keywords>
  <dc:description/>
  <cp:lastModifiedBy>Faure Graciela</cp:lastModifiedBy>
  <cp:revision>13</cp:revision>
  <cp:lastPrinted>2015-03-24T13:00:00Z</cp:lastPrinted>
  <dcterms:created xsi:type="dcterms:W3CDTF">2016-05-11T06:40:00Z</dcterms:created>
  <dcterms:modified xsi:type="dcterms:W3CDTF">2016-05-11T08:05:00Z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417</vt:lpwstr>
  </property>
  <property fmtid="{D5CDD505-2E9C-101B-9397-08002B2CF9AE}" pid="3" name="Docdate">
    <vt:lpwstr>28 January 2016</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February 2016</vt:lpwstr>
  </property>
  <property fmtid="{D5CDD505-2E9C-101B-9397-08002B2CF9AE}" pid="7" name="Docauthor">
    <vt:lpwstr>Report by the Secretary-General</vt:lpwstr>
  </property>
</Properties>
</file>