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1559"/>
        <w:gridCol w:w="1559"/>
      </w:tblGrid>
      <w:tr w:rsidR="00D95965" w:rsidRPr="00B765AF" w:rsidTr="00D95965">
        <w:trPr>
          <w:cantSplit/>
        </w:trPr>
        <w:tc>
          <w:tcPr>
            <w:tcW w:w="1526" w:type="dxa"/>
            <w:vAlign w:val="center"/>
          </w:tcPr>
          <w:p w:rsidR="00D95965" w:rsidRPr="00B765AF" w:rsidRDefault="00D95965" w:rsidP="00D95965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  <w:tab w:val="left" w:pos="510"/>
              </w:tabs>
              <w:spacing w:before="0" w:after="100" w:afterAutospacing="1"/>
              <w:rPr>
                <w:rFonts w:ascii="Verdana" w:hAnsi="Verdana"/>
                <w:b/>
                <w:bCs/>
              </w:rPr>
            </w:pPr>
            <w:r w:rsidRPr="00B765AF">
              <w:rPr>
                <w:rFonts w:ascii="Verdana" w:hAnsi="Verdana" w:cs="Times New Roman Bold"/>
                <w:b/>
                <w:bCs/>
                <w:noProof/>
                <w:sz w:val="20"/>
                <w:szCs w:val="26"/>
                <w:lang w:val="en-US" w:eastAsia="zh-CN"/>
              </w:rPr>
              <w:drawing>
                <wp:inline distT="0" distB="0" distL="0" distR="0" wp14:anchorId="718357A6" wp14:editId="56C67C2E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2"/>
            <w:vAlign w:val="center"/>
          </w:tcPr>
          <w:p w:rsidR="00D95965" w:rsidRPr="00B765AF" w:rsidRDefault="00D95965" w:rsidP="000C06D8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r w:rsidRPr="00B765AF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B765AF">
              <w:rPr>
                <w:rFonts w:ascii="Verdana" w:hAnsi="Verdana"/>
                <w:b/>
                <w:sz w:val="25"/>
                <w:szCs w:val="25"/>
              </w:rPr>
              <w:br/>
            </w:r>
            <w:r w:rsidRPr="00B765AF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B765AF">
              <w:rPr>
                <w:rFonts w:ascii="Verdana" w:hAnsi="Verdana"/>
                <w:b/>
                <w:bCs/>
                <w:sz w:val="20"/>
              </w:rPr>
              <w:t xml:space="preserve"> 10-13 mai 2016</w:t>
            </w:r>
          </w:p>
        </w:tc>
        <w:tc>
          <w:tcPr>
            <w:tcW w:w="1559" w:type="dxa"/>
          </w:tcPr>
          <w:p w:rsidR="00D95965" w:rsidRPr="00B765AF" w:rsidRDefault="00D95965" w:rsidP="00677EE5">
            <w:pPr>
              <w:shd w:val="solid" w:color="FFFFFF" w:fill="FFFFFF"/>
              <w:spacing w:before="0" w:line="240" w:lineRule="atLeast"/>
              <w:jc w:val="right"/>
            </w:pPr>
            <w:r w:rsidRPr="00B765AF">
              <w:rPr>
                <w:rFonts w:cs="Arial"/>
                <w:noProof/>
                <w:lang w:val="en-US" w:eastAsia="zh-CN"/>
              </w:rPr>
              <w:drawing>
                <wp:inline distT="0" distB="0" distL="0" distR="0" wp14:anchorId="1A6006F7" wp14:editId="70F80426">
                  <wp:extent cx="1017905" cy="925067"/>
                  <wp:effectExtent l="0" t="0" r="0" b="889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050" cy="9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B765AF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:rsidR="002D238A" w:rsidRPr="00B765AF" w:rsidRDefault="00C72A86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  <w:r w:rsidRPr="00B765AF">
              <w:rPr>
                <w:rFonts w:ascii="Verdana" w:hAnsi="Verdana"/>
                <w:b/>
                <w:bCs/>
                <w:sz w:val="20"/>
              </w:rPr>
              <w:t>UNION INTERNATIONALE DES TÉLÉCOMMUNICATIONS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:rsidR="002D238A" w:rsidRPr="00B765AF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2D238A" w:rsidRPr="00B765AF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:rsidR="002D238A" w:rsidRPr="00B765AF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:rsidR="002D238A" w:rsidRPr="00B765AF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</w:rPr>
            </w:pPr>
          </w:p>
        </w:tc>
      </w:tr>
      <w:tr w:rsidR="002D238A" w:rsidRPr="00B765AF">
        <w:trPr>
          <w:cantSplit/>
        </w:trPr>
        <w:tc>
          <w:tcPr>
            <w:tcW w:w="6771" w:type="dxa"/>
            <w:gridSpan w:val="2"/>
            <w:vMerge w:val="restart"/>
          </w:tcPr>
          <w:p w:rsidR="002D238A" w:rsidRPr="00B765AF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  <w:gridSpan w:val="2"/>
          </w:tcPr>
          <w:p w:rsidR="002D238A" w:rsidRPr="00B765AF" w:rsidRDefault="005772D7" w:rsidP="005772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B765AF">
              <w:rPr>
                <w:rFonts w:ascii="Verdana" w:hAnsi="Verdana"/>
                <w:b/>
                <w:sz w:val="20"/>
              </w:rPr>
              <w:t>Document RAG16/15-F</w:t>
            </w:r>
          </w:p>
        </w:tc>
      </w:tr>
      <w:tr w:rsidR="002D238A" w:rsidRPr="00B765AF">
        <w:trPr>
          <w:cantSplit/>
        </w:trPr>
        <w:tc>
          <w:tcPr>
            <w:tcW w:w="6771" w:type="dxa"/>
            <w:gridSpan w:val="2"/>
            <w:vMerge/>
          </w:tcPr>
          <w:p w:rsidR="002D238A" w:rsidRPr="00B765AF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  <w:gridSpan w:val="2"/>
          </w:tcPr>
          <w:p w:rsidR="002D238A" w:rsidRPr="00B765AF" w:rsidRDefault="005772D7" w:rsidP="005772D7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B765AF">
              <w:rPr>
                <w:rFonts w:ascii="Verdana" w:hAnsi="Verdana"/>
                <w:b/>
                <w:sz w:val="20"/>
              </w:rPr>
              <w:t>26 avril 2016</w:t>
            </w:r>
          </w:p>
        </w:tc>
      </w:tr>
      <w:tr w:rsidR="002D238A" w:rsidRPr="00B765AF">
        <w:trPr>
          <w:cantSplit/>
        </w:trPr>
        <w:tc>
          <w:tcPr>
            <w:tcW w:w="6771" w:type="dxa"/>
            <w:gridSpan w:val="2"/>
            <w:vMerge/>
          </w:tcPr>
          <w:p w:rsidR="002D238A" w:rsidRPr="00B765AF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  <w:gridSpan w:val="2"/>
          </w:tcPr>
          <w:p w:rsidR="002D238A" w:rsidRPr="00B765AF" w:rsidRDefault="005772D7" w:rsidP="005772D7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B765AF">
              <w:rPr>
                <w:rFonts w:ascii="Verdana" w:hAnsi="Verdana"/>
                <w:b/>
                <w:sz w:val="20"/>
              </w:rPr>
              <w:t>Original: anglais</w:t>
            </w:r>
          </w:p>
        </w:tc>
      </w:tr>
      <w:tr w:rsidR="002D238A" w:rsidRPr="00B765AF">
        <w:trPr>
          <w:cantSplit/>
        </w:trPr>
        <w:tc>
          <w:tcPr>
            <w:tcW w:w="9889" w:type="dxa"/>
            <w:gridSpan w:val="4"/>
          </w:tcPr>
          <w:p w:rsidR="002D238A" w:rsidRPr="00B765AF" w:rsidRDefault="005772D7" w:rsidP="00773E5E">
            <w:pPr>
              <w:pStyle w:val="Source"/>
            </w:pPr>
            <w:bookmarkStart w:id="3" w:name="dsource" w:colFirst="0" w:colLast="0"/>
            <w:bookmarkEnd w:id="2"/>
            <w:r w:rsidRPr="00B765AF">
              <w:t>Etats Unis d'Amérique</w:t>
            </w:r>
          </w:p>
        </w:tc>
      </w:tr>
      <w:tr w:rsidR="002D238A" w:rsidRPr="00B765AF">
        <w:trPr>
          <w:cantSplit/>
        </w:trPr>
        <w:tc>
          <w:tcPr>
            <w:tcW w:w="9889" w:type="dxa"/>
            <w:gridSpan w:val="4"/>
          </w:tcPr>
          <w:p w:rsidR="002D238A" w:rsidRPr="00B765AF" w:rsidRDefault="00F54486" w:rsidP="00F54486">
            <w:pPr>
              <w:pStyle w:val="Title1"/>
            </w:pPr>
            <w:bookmarkStart w:id="4" w:name="dtitle1" w:colFirst="0" w:colLast="0"/>
            <w:bookmarkEnd w:id="3"/>
            <w:r>
              <w:t>date de p</w:t>
            </w:r>
            <w:r w:rsidR="005772D7" w:rsidRPr="00B765AF">
              <w:t xml:space="preserve">résentation du rapport du directeur </w:t>
            </w:r>
            <w:r>
              <w:t>DU</w:t>
            </w:r>
            <w:r w:rsidR="00B765AF">
              <w:br/>
            </w:r>
            <w:r w:rsidR="005772D7" w:rsidRPr="00B765AF">
              <w:t>Bureau des radiocommunications à la cmr</w:t>
            </w:r>
          </w:p>
        </w:tc>
      </w:tr>
    </w:tbl>
    <w:p w:rsidR="00F11640" w:rsidRPr="00B765AF" w:rsidRDefault="00F11640" w:rsidP="00F54486">
      <w:pPr>
        <w:pStyle w:val="Headingb"/>
      </w:pPr>
      <w:bookmarkStart w:id="5" w:name="lt_pId010"/>
      <w:bookmarkEnd w:id="4"/>
      <w:r w:rsidRPr="00B765AF">
        <w:t>Introduction</w:t>
      </w:r>
      <w:bookmarkEnd w:id="5"/>
    </w:p>
    <w:p w:rsidR="00F11640" w:rsidRPr="00B765AF" w:rsidRDefault="00F11640" w:rsidP="00C47165">
      <w:bookmarkStart w:id="6" w:name="lt_pId011"/>
      <w:r w:rsidRPr="00B765AF">
        <w:t xml:space="preserve">Le </w:t>
      </w:r>
      <w:r w:rsidR="00B765AF" w:rsidRPr="00B765AF">
        <w:t>D</w:t>
      </w:r>
      <w:r w:rsidRPr="00B765AF">
        <w:t xml:space="preserve">irecteur du Bureau des radiocommunications </w:t>
      </w:r>
      <w:r w:rsidR="00C47165">
        <w:t xml:space="preserve">présente </w:t>
      </w:r>
      <w:r w:rsidRPr="00B765AF">
        <w:t xml:space="preserve">un rapport </w:t>
      </w:r>
      <w:r w:rsidR="00C47165">
        <w:t>à</w:t>
      </w:r>
      <w:r w:rsidRPr="00B765AF">
        <w:t xml:space="preserve"> chaque Conférence mondiale des radiocommunications (CMR), conformément au numéro 180 de la Convention et au point 9 de l'ordre du jour.</w:t>
      </w:r>
      <w:bookmarkEnd w:id="6"/>
      <w:r w:rsidRPr="00B765AF">
        <w:t xml:space="preserve"> </w:t>
      </w:r>
      <w:bookmarkStart w:id="7" w:name="lt_pId012"/>
      <w:r w:rsidRPr="00B765AF">
        <w:t>Ce rapport, qui donne l'avis du Directeur du BR sur les activités et les difficultés rencontrées depuis la précédente CMR, est très utile aux administrations.</w:t>
      </w:r>
      <w:bookmarkEnd w:id="7"/>
      <w:r w:rsidRPr="00B765AF">
        <w:t xml:space="preserve"> </w:t>
      </w:r>
      <w:bookmarkStart w:id="8" w:name="lt_pId013"/>
      <w:r w:rsidRPr="00B765AF">
        <w:t>Cependant, son efficacité est considérablement réduite en raison de la proximité entre sa date de publication et le début de la CMR.</w:t>
      </w:r>
      <w:bookmarkEnd w:id="8"/>
      <w:r w:rsidRPr="00B765AF">
        <w:t xml:space="preserve"> </w:t>
      </w:r>
    </w:p>
    <w:p w:rsidR="00F11640" w:rsidRPr="00B765AF" w:rsidRDefault="00F11640" w:rsidP="00F54486">
      <w:pPr>
        <w:pStyle w:val="Headingb"/>
      </w:pPr>
      <w:bookmarkStart w:id="9" w:name="lt_pId014"/>
      <w:r w:rsidRPr="00B765AF">
        <w:t>Discussion</w:t>
      </w:r>
      <w:bookmarkEnd w:id="9"/>
    </w:p>
    <w:p w:rsidR="00F11640" w:rsidRPr="00B765AF" w:rsidRDefault="00F11640" w:rsidP="00F11640">
      <w:bookmarkStart w:id="10" w:name="lt_pId015"/>
      <w:r w:rsidRPr="00B765AF">
        <w:t>Le lien entre l'efficacité et le temps disponible est particulièrement vrai pour la Partie 2 du rapport qui rend compte de l'expérience du BR dans l'application des procédures du Règlement des radiocommunications et d'autres questions connexes et apporte des solutions ou des corrections aux questions identifiées.</w:t>
      </w:r>
      <w:bookmarkEnd w:id="10"/>
      <w:r w:rsidRPr="00B765AF">
        <w:t xml:space="preserve"> </w:t>
      </w:r>
      <w:bookmarkStart w:id="11" w:name="lt_pId016"/>
      <w:r w:rsidRPr="00B765AF">
        <w:t>Les administrations considèrent que cette partie du rapport est très utile et constitue une activité importante du BR.</w:t>
      </w:r>
      <w:bookmarkEnd w:id="11"/>
      <w:r w:rsidRPr="00B765AF">
        <w:t xml:space="preserve"> </w:t>
      </w:r>
      <w:bookmarkStart w:id="12" w:name="lt_pId017"/>
      <w:r w:rsidRPr="00B765AF">
        <w:t>Elle contient des questions concernant le Règlement des radiocommunications et les Règles de procédure pour lesquelles les procédures réglementaires sont incorrectes, peu claires ou nécessitent des modifications pour rester d'actualité.</w:t>
      </w:r>
      <w:bookmarkEnd w:id="12"/>
      <w:r w:rsidRPr="00B765AF">
        <w:t xml:space="preserve"> </w:t>
      </w:r>
      <w:bookmarkStart w:id="13" w:name="lt_pId018"/>
      <w:r w:rsidRPr="00B765AF">
        <w:t>Certaines des questions soulevées par le BR sont complexes et certaines des solutions potentielles évoquées le sont tout autant.</w:t>
      </w:r>
      <w:bookmarkEnd w:id="13"/>
    </w:p>
    <w:p w:rsidR="00F11640" w:rsidRPr="00B765AF" w:rsidRDefault="00F11640" w:rsidP="00CC682B">
      <w:bookmarkStart w:id="14" w:name="lt_pId019"/>
      <w:r w:rsidRPr="00B765AF">
        <w:t xml:space="preserve">Pour la CMR-15, la Partie 2 du rapport du Directeur du BR n'a été mise en ligne sur le site </w:t>
      </w:r>
      <w:r w:rsidR="00F54486" w:rsidRPr="00B765AF">
        <w:t>I</w:t>
      </w:r>
      <w:r w:rsidRPr="00B765AF">
        <w:t>nternet de la CMR qu'en octobre 2015.</w:t>
      </w:r>
      <w:bookmarkEnd w:id="14"/>
      <w:r w:rsidRPr="00B765AF">
        <w:t xml:space="preserve"> </w:t>
      </w:r>
      <w:bookmarkStart w:id="15" w:name="lt_pId020"/>
      <w:r w:rsidRPr="00B765AF">
        <w:t>Elle recensait plus de soixante-dix questions, certaines simples et d'autres très complexes.</w:t>
      </w:r>
      <w:bookmarkEnd w:id="15"/>
      <w:r w:rsidRPr="00B765AF">
        <w:t xml:space="preserve"> </w:t>
      </w:r>
      <w:bookmarkStart w:id="16" w:name="lt_pId021"/>
      <w:r w:rsidRPr="00B765AF">
        <w:t>Pendant la conférence, il est apparu clairement que des administrations n'avaient pas eu suffisamment de temps pour évaluer la plupart des recommandations contenues dans la Partie 2 ou pour faire des propositions en réponse aux questions soulevées.</w:t>
      </w:r>
      <w:bookmarkEnd w:id="16"/>
      <w:r w:rsidRPr="00B765AF">
        <w:t xml:space="preserve"> </w:t>
      </w:r>
      <w:bookmarkStart w:id="17" w:name="lt_pId022"/>
      <w:r w:rsidRPr="00B765AF">
        <w:t>Par conséquent, la majeure partie des questions n'ont pas été débattues pendant la conférence et, partant, les recommandations correspondantes n'ont pas été approuvées.</w:t>
      </w:r>
      <w:bookmarkEnd w:id="17"/>
      <w:r w:rsidRPr="00B765AF">
        <w:t xml:space="preserve"> </w:t>
      </w:r>
      <w:bookmarkStart w:id="18" w:name="lt_pId023"/>
      <w:r w:rsidRPr="00B765AF">
        <w:t>Dès lors, de nombreuses questions identifiées par le BR comme nécessitant une attention particulière n'ont pas eu de suite, ce qui a réduit l'efficacité d'ensemble du rapport.</w:t>
      </w:r>
      <w:bookmarkEnd w:id="18"/>
      <w:r w:rsidRPr="00B765AF">
        <w:t xml:space="preserve"> </w:t>
      </w:r>
      <w:bookmarkStart w:id="19" w:name="lt_pId024"/>
      <w:r w:rsidR="007975F4">
        <w:t>Pour la CMR-12, un projet de r</w:t>
      </w:r>
      <w:r w:rsidRPr="00B765AF">
        <w:t xml:space="preserve">apport du Directeur avait été présenté à la dernière réunion de la Commission spéciale, </w:t>
      </w:r>
      <w:r w:rsidR="00CC682B" w:rsidRPr="00B765AF">
        <w:t>ce qui avait laissé le temps d'examiner l</w:t>
      </w:r>
      <w:r w:rsidRPr="00B765AF">
        <w:t>es questions identifiées. Toutefois, le BR a</w:t>
      </w:r>
      <w:r w:rsidR="00CC682B" w:rsidRPr="00B765AF">
        <w:t>vait</w:t>
      </w:r>
      <w:r w:rsidRPr="00B765AF">
        <w:t xml:space="preserve"> rajouté des questions dans le rapport final, publié juste avant la conférence, qui ont connu un sort similaire à celles d</w:t>
      </w:r>
      <w:r w:rsidR="00CC682B" w:rsidRPr="00B765AF">
        <w:t>ont a été saisie</w:t>
      </w:r>
      <w:r w:rsidRPr="00B765AF">
        <w:t xml:space="preserve"> la CMR-15.</w:t>
      </w:r>
      <w:bookmarkEnd w:id="19"/>
    </w:p>
    <w:p w:rsidR="00F11640" w:rsidRPr="00B765AF" w:rsidRDefault="00F11640" w:rsidP="00CC682B">
      <w:bookmarkStart w:id="20" w:name="lt_pId025"/>
      <w:r w:rsidRPr="00B765AF">
        <w:t xml:space="preserve">L'utilité et l'efficacité du </w:t>
      </w:r>
      <w:r w:rsidR="00BE7E80">
        <w:t>rapport</w:t>
      </w:r>
      <w:r w:rsidRPr="00B765AF">
        <w:t xml:space="preserve"> du Directeur sont directement liées à la quantité de temps dont disposent les administrations pour l</w:t>
      </w:r>
      <w:r w:rsidR="00CC682B" w:rsidRPr="00B765AF">
        <w:t>'</w:t>
      </w:r>
      <w:r w:rsidRPr="00B765AF">
        <w:t>e</w:t>
      </w:r>
      <w:r w:rsidR="00CC682B" w:rsidRPr="00B765AF">
        <w:t>xaminer</w:t>
      </w:r>
      <w:r w:rsidRPr="00B765AF">
        <w:t xml:space="preserve"> avant le début de la conférence.</w:t>
      </w:r>
      <w:bookmarkEnd w:id="20"/>
      <w:r w:rsidRPr="00B765AF">
        <w:t xml:space="preserve"> </w:t>
      </w:r>
      <w:bookmarkStart w:id="21" w:name="lt_pId026"/>
      <w:r w:rsidRPr="00B765AF">
        <w:t xml:space="preserve">Les organisations </w:t>
      </w:r>
      <w:r w:rsidRPr="00B765AF">
        <w:lastRenderedPageBreak/>
        <w:t>régionales, qui jouent un rôle important pendant les conférences, n'ont en réalité pas la possibilité de réfléchir a</w:t>
      </w:r>
      <w:r w:rsidR="00480041">
        <w:t>ux solutions proposées dans le r</w:t>
      </w:r>
      <w:r w:rsidRPr="00B765AF">
        <w:t xml:space="preserve">apport du Directeur, étant donné que beaucoup d'entre elles </w:t>
      </w:r>
      <w:r w:rsidR="00CC682B" w:rsidRPr="00B765AF">
        <w:t xml:space="preserve">établissent la version finale de </w:t>
      </w:r>
      <w:r w:rsidRPr="00B765AF">
        <w:t>leurs contributions à la conférenc</w:t>
      </w:r>
      <w:r w:rsidR="00CC682B" w:rsidRPr="00B765AF">
        <w:t xml:space="preserve">e plusieurs mois auparavant et </w:t>
      </w:r>
      <w:r w:rsidR="00F54486">
        <w:t>ont</w:t>
      </w:r>
      <w:r w:rsidRPr="00B765AF">
        <w:t xml:space="preserve"> </w:t>
      </w:r>
      <w:r w:rsidR="00CC682B" w:rsidRPr="00B765AF">
        <w:t xml:space="preserve">des </w:t>
      </w:r>
      <w:r w:rsidRPr="00B765AF">
        <w:t>procédures internes</w:t>
      </w:r>
      <w:r w:rsidR="00CC682B" w:rsidRPr="00B765AF">
        <w:t xml:space="preserve"> quant à la dernière date à </w:t>
      </w:r>
      <w:r w:rsidRPr="00B765AF">
        <w:t>laquelle de possibles nouvelles propositions communes peuvent être examinées</w:t>
      </w:r>
      <w:r w:rsidR="00CC682B" w:rsidRPr="00B765AF">
        <w:t xml:space="preserve"> avant une conférence</w:t>
      </w:r>
      <w:r w:rsidRPr="00B765AF">
        <w:t>.</w:t>
      </w:r>
      <w:bookmarkEnd w:id="21"/>
      <w:r w:rsidRPr="00B765AF">
        <w:t xml:space="preserve"> </w:t>
      </w:r>
      <w:bookmarkStart w:id="22" w:name="lt_pId027"/>
      <w:r w:rsidRPr="00B765AF">
        <w:t xml:space="preserve">Le rapport devrait être mis à disposition des administrations au plus tard au début de la seconde session de la RPC, et même avant pour ce qui est du projet de rapport, </w:t>
      </w:r>
      <w:r w:rsidR="00CC682B" w:rsidRPr="00B765AF">
        <w:t xml:space="preserve">et </w:t>
      </w:r>
      <w:r w:rsidRPr="00B765AF">
        <w:t>le nombre de nouvelles questions soulevées entre la RPC et le début de la CMR</w:t>
      </w:r>
      <w:r w:rsidR="00CC682B" w:rsidRPr="00B765AF">
        <w:t xml:space="preserve"> devrait être réduit au minimum</w:t>
      </w:r>
      <w:r w:rsidRPr="00B765AF">
        <w:t>.</w:t>
      </w:r>
      <w:bookmarkEnd w:id="22"/>
      <w:r w:rsidRPr="00B765AF">
        <w:t xml:space="preserve"> </w:t>
      </w:r>
      <w:bookmarkStart w:id="23" w:name="lt_pId028"/>
      <w:r w:rsidRPr="00B765AF">
        <w:t>Les questions de réglementation particulièrement complexes devraient dans l'idéal être présentées</w:t>
      </w:r>
      <w:bookmarkEnd w:id="23"/>
      <w:r w:rsidR="00CC682B" w:rsidRPr="00B765AF">
        <w:t xml:space="preserve"> </w:t>
      </w:r>
      <w:bookmarkStart w:id="24" w:name="lt_pId029"/>
      <w:r w:rsidRPr="00B765AF">
        <w:t>à la commission d'études ou au groupe de travail concerné de l'UIT-R pendant le cycle d'étude.</w:t>
      </w:r>
      <w:bookmarkEnd w:id="24"/>
      <w:r w:rsidRPr="00B765AF">
        <w:t xml:space="preserve"> </w:t>
      </w:r>
      <w:bookmarkStart w:id="25" w:name="lt_pId030"/>
      <w:r w:rsidRPr="00B765AF">
        <w:t xml:space="preserve">En avril 2016, le BR a présenté </w:t>
      </w:r>
      <w:r w:rsidR="00CC682B" w:rsidRPr="00B765AF">
        <w:t xml:space="preserve">à </w:t>
      </w:r>
      <w:r w:rsidRPr="00B765AF">
        <w:t xml:space="preserve">la réunion du Groupe de </w:t>
      </w:r>
      <w:r w:rsidR="00F54486" w:rsidRPr="00B765AF">
        <w:t>t</w:t>
      </w:r>
      <w:r w:rsidRPr="00B765AF">
        <w:t>ravail 4A certaines des questions de la CMR-15 pour qu'elles soient débattues.</w:t>
      </w:r>
      <w:bookmarkEnd w:id="25"/>
      <w:r w:rsidRPr="00B765AF">
        <w:t xml:space="preserve"> </w:t>
      </w:r>
      <w:bookmarkStart w:id="26" w:name="lt_pId031"/>
      <w:r w:rsidRPr="00B765AF">
        <w:t>Ceci constitue un pas dans la bonne direction.</w:t>
      </w:r>
      <w:bookmarkEnd w:id="26"/>
      <w:r w:rsidRPr="00B765AF">
        <w:t xml:space="preserve"> </w:t>
      </w:r>
    </w:p>
    <w:p w:rsidR="00F11640" w:rsidRPr="00B765AF" w:rsidRDefault="00F11640" w:rsidP="00F54486">
      <w:pPr>
        <w:pStyle w:val="Headingb"/>
      </w:pPr>
      <w:bookmarkStart w:id="27" w:name="lt_pId032"/>
      <w:r w:rsidRPr="00B765AF">
        <w:t>Proposition</w:t>
      </w:r>
      <w:bookmarkEnd w:id="27"/>
    </w:p>
    <w:p w:rsidR="00F11640" w:rsidRPr="00B765AF" w:rsidRDefault="00F11640" w:rsidP="00CC682B">
      <w:bookmarkStart w:id="28" w:name="lt_pId033"/>
      <w:r w:rsidRPr="00B765AF">
        <w:t xml:space="preserve">La date de publication du </w:t>
      </w:r>
      <w:r w:rsidR="00BE7E80">
        <w:t>rapport</w:t>
      </w:r>
      <w:r w:rsidRPr="00B765AF">
        <w:t xml:space="preserve"> du Directeur du BR pourrait être avancée, soit par la création de nouvelles procédures réglementaires ou la modification de</w:t>
      </w:r>
      <w:r w:rsidR="00CC682B" w:rsidRPr="00B765AF">
        <w:t>s</w:t>
      </w:r>
      <w:r w:rsidRPr="00B765AF">
        <w:t xml:space="preserve"> </w:t>
      </w:r>
      <w:r w:rsidR="00CC682B" w:rsidRPr="00B765AF">
        <w:t xml:space="preserve">procédures </w:t>
      </w:r>
      <w:r w:rsidRPr="00B765AF">
        <w:t>en vigueur, soit sur décision du Directeur du BR.</w:t>
      </w:r>
      <w:bookmarkEnd w:id="28"/>
      <w:r w:rsidRPr="00B765AF">
        <w:t xml:space="preserve"> </w:t>
      </w:r>
      <w:bookmarkStart w:id="29" w:name="lt_pId034"/>
      <w:r w:rsidRPr="00B765AF">
        <w:t>Le choix de la méthode doit revenir au Directeur du BR.</w:t>
      </w:r>
      <w:bookmarkEnd w:id="29"/>
      <w:r w:rsidRPr="00B765AF">
        <w:t xml:space="preserve"> </w:t>
      </w:r>
      <w:bookmarkStart w:id="30" w:name="lt_pId035"/>
      <w:r w:rsidRPr="00B765AF">
        <w:t>Quoi qu</w:t>
      </w:r>
      <w:r w:rsidR="00CC682B" w:rsidRPr="00B765AF">
        <w:t>'</w:t>
      </w:r>
      <w:r w:rsidRPr="00B765AF">
        <w:t xml:space="preserve">il en soit, plus les administrations et les organisations régionales ont du temps pour examiner les questions soulevées dans le rapport, plus celui-ci est </w:t>
      </w:r>
      <w:r w:rsidR="00CC682B" w:rsidRPr="00B765AF">
        <w:t>utile</w:t>
      </w:r>
      <w:r w:rsidRPr="00B765AF">
        <w:t>.</w:t>
      </w:r>
      <w:bookmarkEnd w:id="30"/>
      <w:r w:rsidRPr="00B765AF">
        <w:t xml:space="preserve"> </w:t>
      </w:r>
      <w:bookmarkStart w:id="31" w:name="lt_pId036"/>
      <w:r w:rsidRPr="00B765AF">
        <w:t xml:space="preserve">Comme indiqué précédemment, il est possible de </w:t>
      </w:r>
      <w:r w:rsidR="00CC682B" w:rsidRPr="00B765AF">
        <w:t>donn</w:t>
      </w:r>
      <w:r w:rsidRPr="00B765AF">
        <w:t>er aux administrations et aux organisations régionales le temps nécessaire pour aborder et évaluer les recommandations du rapport en rendant celui-ci disponible avant la seconde session de la RPC.</w:t>
      </w:r>
      <w:bookmarkEnd w:id="31"/>
      <w:r w:rsidRPr="00B765AF">
        <w:t xml:space="preserve"> </w:t>
      </w:r>
      <w:bookmarkStart w:id="32" w:name="lt_pId037"/>
      <w:r w:rsidRPr="00B765AF">
        <w:t xml:space="preserve">Le </w:t>
      </w:r>
      <w:r w:rsidR="00480041" w:rsidRPr="00B765AF">
        <w:t>r</w:t>
      </w:r>
      <w:r w:rsidRPr="00B765AF">
        <w:t xml:space="preserve">apport du Directeur du BR </w:t>
      </w:r>
      <w:r w:rsidR="00CC682B" w:rsidRPr="00B765AF">
        <w:t>étant</w:t>
      </w:r>
      <w:r w:rsidRPr="00B765AF">
        <w:t xml:space="preserve"> un outil fort utile pour mettre en œuvre les améliorations requises</w:t>
      </w:r>
      <w:bookmarkEnd w:id="32"/>
      <w:r w:rsidR="00CC682B" w:rsidRPr="00B765AF">
        <w:t>,</w:t>
      </w:r>
      <w:r w:rsidRPr="00B765AF">
        <w:t xml:space="preserve"> </w:t>
      </w:r>
      <w:bookmarkStart w:id="33" w:name="lt_pId038"/>
      <w:r w:rsidRPr="00B765AF">
        <w:t xml:space="preserve">le BR ne devrait pas laisser le manque de temps nécessaire à l'examen des questions soulevées </w:t>
      </w:r>
      <w:r w:rsidR="00CC682B" w:rsidRPr="00B765AF">
        <w:t xml:space="preserve">en </w:t>
      </w:r>
      <w:r w:rsidRPr="00B765AF">
        <w:t>diminuer l</w:t>
      </w:r>
      <w:r w:rsidR="00CC682B" w:rsidRPr="00B765AF">
        <w:t>'intérêt</w:t>
      </w:r>
      <w:r w:rsidRPr="00B765AF">
        <w:t>.</w:t>
      </w:r>
      <w:bookmarkEnd w:id="33"/>
    </w:p>
    <w:p w:rsidR="00F11640" w:rsidRPr="00B765AF" w:rsidRDefault="00F11640" w:rsidP="00DE78D1">
      <w:bookmarkStart w:id="34" w:name="_GoBack"/>
    </w:p>
    <w:p w:rsidR="00F11640" w:rsidRPr="00B765AF" w:rsidRDefault="00F11640" w:rsidP="00DE78D1"/>
    <w:bookmarkEnd w:id="34"/>
    <w:p w:rsidR="00F11640" w:rsidRPr="00B765AF" w:rsidRDefault="00F11640">
      <w:pPr>
        <w:jc w:val="center"/>
      </w:pPr>
      <w:r w:rsidRPr="00B765AF">
        <w:t>______________</w:t>
      </w:r>
    </w:p>
    <w:p w:rsidR="00F11640" w:rsidRPr="00B765AF" w:rsidRDefault="00F11640" w:rsidP="00F11640"/>
    <w:sectPr w:rsidR="00F11640" w:rsidRPr="00B765A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D7" w:rsidRDefault="005772D7">
      <w:r>
        <w:separator/>
      </w:r>
    </w:p>
  </w:endnote>
  <w:endnote w:type="continuationSeparator" w:id="0">
    <w:p w:rsidR="005772D7" w:rsidRDefault="0057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BE7E80">
      <w:rPr>
        <w:lang w:val="en-US"/>
      </w:rPr>
      <w:t>P:\FRA\ITU-R\AG\RAG\RAG16\000\015F.docx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DE78D1">
      <w:t>02.05.16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BE7E80">
      <w:t>29.04.16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F11640" w:rsidRDefault="00DE78D1" w:rsidP="00F11640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BE7E80">
      <w:t>P:\FRA\ITU-R\AG\RAG\RAG16\000\015F.docx</w:t>
    </w:r>
    <w:r>
      <w:fldChar w:fldCharType="end"/>
    </w:r>
    <w:r w:rsidR="00F11640">
      <w:t xml:space="preserve"> (397704)</w:t>
    </w:r>
    <w:r w:rsidR="00F11640">
      <w:tab/>
    </w:r>
    <w:r w:rsidR="00F11640">
      <w:fldChar w:fldCharType="begin"/>
    </w:r>
    <w:r w:rsidR="00F11640">
      <w:instrText xml:space="preserve"> SAVEDATE \@ DD.MM.YY </w:instrText>
    </w:r>
    <w:r w:rsidR="00F11640">
      <w:fldChar w:fldCharType="separate"/>
    </w:r>
    <w:r>
      <w:t>02.05.16</w:t>
    </w:r>
    <w:r w:rsidR="00F11640">
      <w:fldChar w:fldCharType="end"/>
    </w:r>
    <w:r w:rsidR="00F11640">
      <w:tab/>
    </w:r>
    <w:r w:rsidR="00F11640">
      <w:fldChar w:fldCharType="begin"/>
    </w:r>
    <w:r w:rsidR="00F11640">
      <w:instrText xml:space="preserve"> PRINTDATE \@ DD.MM.YY </w:instrText>
    </w:r>
    <w:r w:rsidR="00F11640">
      <w:fldChar w:fldCharType="separate"/>
    </w:r>
    <w:r w:rsidR="00BE7E80">
      <w:t>29.04.16</w:t>
    </w:r>
    <w:r w:rsidR="00F1164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Pr="00F11640" w:rsidRDefault="00F54486" w:rsidP="00F11640">
    <w:pPr>
      <w:pStyle w:val="Footer"/>
    </w:pPr>
    <w:fldSimple w:instr=" FILENAME \p  \* MERGEFORMAT ">
      <w:r w:rsidR="00BE7E80">
        <w:t>P:\FRA\ITU-R\AG\RAG\RAG16\000\015F.docx</w:t>
      </w:r>
    </w:fldSimple>
    <w:r w:rsidR="00F11640">
      <w:t xml:space="preserve"> (397704)</w:t>
    </w:r>
    <w:r w:rsidR="00F11640">
      <w:tab/>
    </w:r>
    <w:r w:rsidR="00F11640">
      <w:fldChar w:fldCharType="begin"/>
    </w:r>
    <w:r w:rsidR="00F11640">
      <w:instrText xml:space="preserve"> SAVEDATE \@ DD.MM.YY </w:instrText>
    </w:r>
    <w:r w:rsidR="00F11640">
      <w:fldChar w:fldCharType="separate"/>
    </w:r>
    <w:r w:rsidR="00DE78D1">
      <w:t>02.05.16</w:t>
    </w:r>
    <w:r w:rsidR="00F11640">
      <w:fldChar w:fldCharType="end"/>
    </w:r>
    <w:r w:rsidR="00F11640">
      <w:tab/>
    </w:r>
    <w:r w:rsidR="00F11640">
      <w:fldChar w:fldCharType="begin"/>
    </w:r>
    <w:r w:rsidR="00F11640">
      <w:instrText xml:space="preserve"> PRINTDATE \@ DD.MM.YY </w:instrText>
    </w:r>
    <w:r w:rsidR="00F11640">
      <w:fldChar w:fldCharType="separate"/>
    </w:r>
    <w:r w:rsidR="00BE7E80">
      <w:t>29.04.16</w:t>
    </w:r>
    <w:r w:rsidR="00F1164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D7" w:rsidRDefault="005772D7">
      <w:r>
        <w:t>____________________</w:t>
      </w:r>
    </w:p>
  </w:footnote>
  <w:footnote w:type="continuationSeparator" w:id="0">
    <w:p w:rsidR="005772D7" w:rsidRDefault="00577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DE78D1">
      <w:rPr>
        <w:noProof/>
      </w:rPr>
      <w:t>2</w:t>
    </w:r>
    <w:r>
      <w:rPr>
        <w:noProof/>
      </w:rPr>
      <w:fldChar w:fldCharType="end"/>
    </w:r>
  </w:p>
  <w:p w:rsidR="00847AAC" w:rsidRDefault="0097156E" w:rsidP="00EC0F12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EC0F12">
      <w:rPr>
        <w:lang w:val="es-ES"/>
      </w:rPr>
      <w:t>6</w:t>
    </w:r>
    <w:r w:rsidR="00F11640">
      <w:rPr>
        <w:lang w:val="es-ES"/>
      </w:rPr>
      <w:t>/15</w:t>
    </w:r>
    <w:r w:rsidR="00847AAC">
      <w:rPr>
        <w:lang w:val="es-ES"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D7"/>
    <w:rsid w:val="000C06D8"/>
    <w:rsid w:val="00140AE6"/>
    <w:rsid w:val="002D238A"/>
    <w:rsid w:val="003A6CEE"/>
    <w:rsid w:val="00480041"/>
    <w:rsid w:val="005207F5"/>
    <w:rsid w:val="005430E4"/>
    <w:rsid w:val="005772D7"/>
    <w:rsid w:val="0067019B"/>
    <w:rsid w:val="00677EE5"/>
    <w:rsid w:val="00694DEF"/>
    <w:rsid w:val="00773E5E"/>
    <w:rsid w:val="007975F4"/>
    <w:rsid w:val="00847AAC"/>
    <w:rsid w:val="00925627"/>
    <w:rsid w:val="0093101F"/>
    <w:rsid w:val="0097156E"/>
    <w:rsid w:val="00A9055C"/>
    <w:rsid w:val="00AB7F92"/>
    <w:rsid w:val="00AC39EE"/>
    <w:rsid w:val="00B41D84"/>
    <w:rsid w:val="00B765AF"/>
    <w:rsid w:val="00BA0C7B"/>
    <w:rsid w:val="00BC4591"/>
    <w:rsid w:val="00BE7E80"/>
    <w:rsid w:val="00C47165"/>
    <w:rsid w:val="00C72A86"/>
    <w:rsid w:val="00CC5B9E"/>
    <w:rsid w:val="00CC682B"/>
    <w:rsid w:val="00CC7208"/>
    <w:rsid w:val="00D228F7"/>
    <w:rsid w:val="00D34E1C"/>
    <w:rsid w:val="00D95965"/>
    <w:rsid w:val="00DD55EB"/>
    <w:rsid w:val="00DE78D1"/>
    <w:rsid w:val="00E2659D"/>
    <w:rsid w:val="00EC0F12"/>
    <w:rsid w:val="00ED59FA"/>
    <w:rsid w:val="00F11640"/>
    <w:rsid w:val="00F54486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6ED9C37-C913-49A1-8F70-C341587C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Pr>
      <w:b w:val="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BA0C7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0C7B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F1164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RAG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PF_RAG16.dotm</Template>
  <TotalTime>169</TotalTime>
  <Pages>2</Pages>
  <Words>771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DE PPRÉSENTATION DU RAPPORT DU DIRECTEUR DU BUREAU DES RADIOCOMMUNICATIONS À LA CMR</vt:lpstr>
    </vt:vector>
  </TitlesOfParts>
  <Manager>General Secretariat - Pool</Manager>
  <Company>International Telecommunication Union (ITU)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PPRÉSENTATION DU RAPPORT DU DIRECTEUR DU BUREAU DES RADIOCOMMUNICATIONS À LA CMR</dc:title>
  <dc:subject>GROUPE CONSULTATIF DES RADIOCOMMUNICATIONS</dc:subject>
  <dc:creator>Etats Unis d'Amérique</dc:creator>
  <cp:keywords>RAG03-1</cp:keywords>
  <dc:description>Document RAG16/15-F  For: _x000d_Document date: 26 avril 2016_x000d_Saved by ITU51009313 at 14:42:58 on 29/04/2016</dc:description>
  <cp:lastModifiedBy>Saxod, Nathalie</cp:lastModifiedBy>
  <cp:revision>8</cp:revision>
  <cp:lastPrinted>2016-04-29T12:42:00Z</cp:lastPrinted>
  <dcterms:created xsi:type="dcterms:W3CDTF">2016-04-29T09:53:00Z</dcterms:created>
  <dcterms:modified xsi:type="dcterms:W3CDTF">2016-05-02T12:05:00Z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RAG16/15-F</vt:lpwstr>
  </property>
  <property fmtid="{D5CDD505-2E9C-101B-9397-08002B2CF9AE}" pid="3" name="Docdate">
    <vt:lpwstr>26 avril 2016</vt:lpwstr>
  </property>
  <property fmtid="{D5CDD505-2E9C-101B-9397-08002B2CF9AE}" pid="4" name="Docorlang">
    <vt:lpwstr>Original: anglais</vt:lpwstr>
  </property>
  <property fmtid="{D5CDD505-2E9C-101B-9397-08002B2CF9AE}" pid="5" name="Docauthor">
    <vt:lpwstr>Etats Unis d'Amérique</vt:lpwstr>
  </property>
</Properties>
</file>