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1559"/>
        <w:gridCol w:w="1559"/>
      </w:tblGrid>
      <w:tr w:rsidR="00D95965" w:rsidTr="00D95965">
        <w:trPr>
          <w:cantSplit/>
        </w:trPr>
        <w:tc>
          <w:tcPr>
            <w:tcW w:w="1526" w:type="dxa"/>
            <w:vAlign w:val="center"/>
          </w:tcPr>
          <w:p w:rsidR="00D95965" w:rsidRPr="002D238A" w:rsidRDefault="00D95965" w:rsidP="00D95965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</w:tabs>
              <w:spacing w:before="0" w:after="100" w:afterAutospacing="1"/>
              <w:rPr>
                <w:rFonts w:ascii="Verdana" w:hAnsi="Verdana"/>
                <w:b/>
                <w:bCs/>
              </w:rPr>
            </w:pPr>
            <w:r w:rsidRPr="002B0BE0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4EEDCF50" wp14:editId="14371059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95965" w:rsidRPr="002D238A" w:rsidRDefault="00D95965" w:rsidP="000C06D8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10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 xml:space="preserve">13 mai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>
              <w:rPr>
                <w:rFonts w:ascii="Verdana" w:hAnsi="Verdana"/>
                <w:b/>
                <w:bCs/>
                <w:sz w:val="20"/>
              </w:rPr>
              <w:t>16</w:t>
            </w:r>
          </w:p>
        </w:tc>
        <w:tc>
          <w:tcPr>
            <w:tcW w:w="1559" w:type="dxa"/>
          </w:tcPr>
          <w:p w:rsidR="00D95965" w:rsidRDefault="00D95965" w:rsidP="00677EE5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1F7AE978" wp14:editId="495B70D7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2D238A" w:rsidRPr="0051782D" w:rsidRDefault="00C72A86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642DBE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gridSpan w:val="2"/>
            <w:vMerge w:val="restart"/>
          </w:tcPr>
          <w:p w:rsidR="002D238A" w:rsidRDefault="002D238A" w:rsidP="00773E5E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  <w:gridSpan w:val="2"/>
          </w:tcPr>
          <w:p w:rsidR="002D238A" w:rsidRPr="007406AF" w:rsidRDefault="007406AF" w:rsidP="007406A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RAG16/12-F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gridSpan w:val="2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  <w:gridSpan w:val="2"/>
          </w:tcPr>
          <w:p w:rsidR="002D238A" w:rsidRPr="007406AF" w:rsidRDefault="007406AF" w:rsidP="007406A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26 avril 2016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gridSpan w:val="2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  <w:gridSpan w:val="2"/>
          </w:tcPr>
          <w:p w:rsidR="002D238A" w:rsidRPr="007406AF" w:rsidRDefault="007406AF" w:rsidP="007406AF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4"/>
          </w:tcPr>
          <w:p w:rsidR="002D238A" w:rsidRPr="007406AF" w:rsidRDefault="007406AF" w:rsidP="007406AF">
            <w:pPr>
              <w:pStyle w:val="Source"/>
            </w:pPr>
            <w:bookmarkStart w:id="3" w:name="lt_pId006"/>
            <w:bookmarkStart w:id="4" w:name="dsource" w:colFirst="0" w:colLast="0"/>
            <w:bookmarkEnd w:id="2"/>
            <w:r w:rsidRPr="008A6A7D">
              <w:t>France</w:t>
            </w:r>
            <w:bookmarkEnd w:id="3"/>
          </w:p>
        </w:tc>
      </w:tr>
      <w:tr w:rsidR="002D238A">
        <w:trPr>
          <w:cantSplit/>
        </w:trPr>
        <w:tc>
          <w:tcPr>
            <w:tcW w:w="9889" w:type="dxa"/>
            <w:gridSpan w:val="4"/>
          </w:tcPr>
          <w:p w:rsidR="002D238A" w:rsidRPr="007406AF" w:rsidRDefault="007406AF" w:rsidP="007406AF">
            <w:pPr>
              <w:pStyle w:val="Title1"/>
            </w:pPr>
            <w:bookmarkStart w:id="5" w:name="lt_pId007"/>
            <w:bookmarkStart w:id="6" w:name="dtitle1" w:colFirst="0" w:colLast="0"/>
            <w:bookmarkEnd w:id="4"/>
            <w:r w:rsidRPr="007406AF">
              <w:t>Mise en oeuvre des Résolutions 907 (R</w:t>
            </w:r>
            <w:r>
              <w:t>é</w:t>
            </w:r>
            <w:r w:rsidRPr="007406AF">
              <w:t xml:space="preserve">V.CMR-15) </w:t>
            </w:r>
            <w:r w:rsidR="00CE0786">
              <w:br/>
            </w:r>
            <w:r w:rsidRPr="007406AF">
              <w:t>et 908 (R</w:t>
            </w:r>
            <w:r>
              <w:t>é</w:t>
            </w:r>
            <w:r w:rsidRPr="007406AF">
              <w:t>V.CMR-15)</w:t>
            </w:r>
            <w:bookmarkEnd w:id="5"/>
          </w:p>
        </w:tc>
      </w:tr>
    </w:tbl>
    <w:p w:rsidR="007406AF" w:rsidRPr="008A6A7D" w:rsidRDefault="007406AF" w:rsidP="007406AF">
      <w:pPr>
        <w:pStyle w:val="Heading1"/>
      </w:pPr>
      <w:bookmarkStart w:id="7" w:name="lt_pId008"/>
      <w:bookmarkEnd w:id="6"/>
      <w:r w:rsidRPr="008A6A7D">
        <w:t>1</w:t>
      </w:r>
      <w:bookmarkEnd w:id="7"/>
      <w:r w:rsidRPr="008A6A7D">
        <w:tab/>
      </w:r>
      <w:bookmarkStart w:id="8" w:name="lt_pId009"/>
      <w:r w:rsidRPr="008A6A7D">
        <w:t>Introduction</w:t>
      </w:r>
      <w:bookmarkEnd w:id="8"/>
    </w:p>
    <w:p w:rsidR="007406AF" w:rsidRPr="008A6A7D" w:rsidRDefault="007406AF" w:rsidP="00CE0786">
      <w:pPr>
        <w:rPr>
          <w:bCs/>
        </w:rPr>
      </w:pPr>
      <w:bookmarkStart w:id="9" w:name="lt_pId010"/>
      <w:r w:rsidRPr="008A6A7D">
        <w:t xml:space="preserve">La CMR-15 a révisé la Résolution </w:t>
      </w:r>
      <w:r w:rsidRPr="008A6A7D">
        <w:rPr>
          <w:b/>
          <w:bCs/>
        </w:rPr>
        <w:t>907</w:t>
      </w:r>
      <w:r w:rsidRPr="008A6A7D">
        <w:t xml:space="preserve"> "Utilisation de moyens modernes de communication électroniques pour la correspondance administrative concernant la publication anticipée, la coordination et la notification des réseaux à satellite, y compris celle concernant les Appendices 30, 30A et 30B, les stations terriennes et les stations de radioastronomie" et la Résolution </w:t>
      </w:r>
      <w:r w:rsidRPr="008A6A7D">
        <w:rPr>
          <w:b/>
          <w:bCs/>
        </w:rPr>
        <w:t>908</w:t>
      </w:r>
      <w:r w:rsidRPr="008A6A7D">
        <w:t xml:space="preserve"> "Soumission et publication par voie électronique des fiches de notification des réseaux à satellite" pour faciliter l</w:t>
      </w:r>
      <w:r w:rsidR="005C2D8D">
        <w:t>'</w:t>
      </w:r>
      <w:r w:rsidRPr="008A6A7D">
        <w:t xml:space="preserve">utilisation de moyens électroniques modernes à la fois </w:t>
      </w:r>
      <w:r w:rsidR="005C2D8D">
        <w:t>pour</w:t>
      </w:r>
      <w:r w:rsidRPr="008A6A7D">
        <w:t xml:space="preserve"> la soumission de fiches de notification des réseaux à satellite et </w:t>
      </w:r>
      <w:r w:rsidR="005C2D8D">
        <w:t>pour</w:t>
      </w:r>
      <w:r w:rsidRPr="008A6A7D">
        <w:t xml:space="preserve"> la correspondance administrative associée.</w:t>
      </w:r>
      <w:bookmarkEnd w:id="9"/>
      <w:r w:rsidRPr="008A6A7D">
        <w:rPr>
          <w:bCs/>
        </w:rPr>
        <w:t xml:space="preserve"> </w:t>
      </w:r>
    </w:p>
    <w:p w:rsidR="007406AF" w:rsidRPr="008A6A7D" w:rsidRDefault="007406AF" w:rsidP="00CE0786">
      <w:bookmarkStart w:id="10" w:name="lt_pId011"/>
      <w:r w:rsidRPr="008A6A7D">
        <w:t>La CMR-15 a également chargé le Bureau des radiocommunications d</w:t>
      </w:r>
      <w:r w:rsidR="005C2D8D">
        <w:t>'</w:t>
      </w:r>
      <w:r w:rsidRPr="008A6A7D">
        <w:t>élaborer et de mettre en oeuvre les outils et les moyens décrits dans les parties "</w:t>
      </w:r>
      <w:r w:rsidRPr="008A6A7D">
        <w:rPr>
          <w:i/>
          <w:iCs/>
        </w:rPr>
        <w:t>charge le Bureau des radiocommunications</w:t>
      </w:r>
      <w:r w:rsidRPr="008A6A7D">
        <w:t>" et "</w:t>
      </w:r>
      <w:r w:rsidRPr="008A6A7D">
        <w:rPr>
          <w:i/>
          <w:iCs/>
        </w:rPr>
        <w:t>charge le Directeur du Bureau des radiocommunications</w:t>
      </w:r>
      <w:r w:rsidRPr="008A6A7D">
        <w:t>" des deux Résolutions concernées, de préférence avant le 1er janvier 2017 et au plus tard le 30 juin 2017 (voir le §</w:t>
      </w:r>
      <w:r w:rsidR="00CE0786">
        <w:t> </w:t>
      </w:r>
      <w:r w:rsidRPr="008A6A7D">
        <w:t xml:space="preserve">1.10 du </w:t>
      </w:r>
      <w:r w:rsidR="00CE0786" w:rsidRPr="008A6A7D">
        <w:t>D</w:t>
      </w:r>
      <w:r w:rsidRPr="008A6A7D">
        <w:t xml:space="preserve">ocument CMR15/272 </w:t>
      </w:r>
      <w:r w:rsidR="005C2D8D" w:rsidRPr="005C2D8D">
        <w:t>–</w:t>
      </w:r>
      <w:r w:rsidRPr="008A6A7D">
        <w:t xml:space="preserve"> Procès-verbal de la quatrième séance plénière).</w:t>
      </w:r>
      <w:bookmarkEnd w:id="10"/>
    </w:p>
    <w:p w:rsidR="007406AF" w:rsidRPr="008A6A7D" w:rsidRDefault="007406AF" w:rsidP="00CE0786">
      <w:bookmarkStart w:id="11" w:name="lt_pId012"/>
      <w:r w:rsidRPr="008A6A7D">
        <w:t>Le parag</w:t>
      </w:r>
      <w:r w:rsidR="00CE0786">
        <w:t>raphe 3.2.4 du Document RAG16/1</w:t>
      </w:r>
      <w:bookmarkStart w:id="12" w:name="_GoBack"/>
      <w:bookmarkEnd w:id="12"/>
      <w:r w:rsidRPr="008A6A7D">
        <w:t>(Rév.1)</w:t>
      </w:r>
      <w:bookmarkStart w:id="13" w:name="lt_pId013"/>
      <w:bookmarkEnd w:id="11"/>
      <w:r w:rsidRPr="008A6A7D">
        <w:t xml:space="preserve"> fait le point </w:t>
      </w:r>
      <w:r w:rsidR="005C2D8D">
        <w:t>concernant</w:t>
      </w:r>
      <w:r w:rsidRPr="008A6A7D">
        <w:t xml:space="preserve"> la conception de logiciels en application des décisions de la CMR-15 correspondantes</w:t>
      </w:r>
      <w:bookmarkEnd w:id="13"/>
      <w:r w:rsidRPr="008A6A7D">
        <w:t xml:space="preserve">: </w:t>
      </w:r>
    </w:p>
    <w:p w:rsidR="007406AF" w:rsidRPr="008A6A7D" w:rsidRDefault="007406AF" w:rsidP="00CE0786">
      <w:pPr>
        <w:pStyle w:val="enumlev1"/>
      </w:pPr>
      <w:bookmarkStart w:id="14" w:name="lt_pId014"/>
      <w:r w:rsidRPr="008A6A7D">
        <w:t>–</w:t>
      </w:r>
      <w:bookmarkEnd w:id="14"/>
      <w:r w:rsidRPr="008A6A7D">
        <w:tab/>
      </w:r>
      <w:bookmarkStart w:id="15" w:name="lt_pId015"/>
      <w:r w:rsidRPr="008A6A7D">
        <w:t xml:space="preserve">Résolution </w:t>
      </w:r>
      <w:r w:rsidRPr="008A6A7D">
        <w:rPr>
          <w:b/>
          <w:bCs/>
        </w:rPr>
        <w:t>907 (Rév.CMR-15)</w:t>
      </w:r>
      <w:r w:rsidRPr="008A6A7D">
        <w:t xml:space="preserve"> </w:t>
      </w:r>
      <w:r w:rsidR="005C2D8D">
        <w:t>–</w:t>
      </w:r>
      <w:r w:rsidRPr="008A6A7D">
        <w:t xml:space="preserve"> Situation: phase de conception (en collaboration avec le Département des services informatiques pour les aspects relatifs à l</w:t>
      </w:r>
      <w:r w:rsidR="005C2D8D">
        <w:t>'</w:t>
      </w:r>
      <w:r w:rsidRPr="008A6A7D">
        <w:t>infrastructure de sécurité)</w:t>
      </w:r>
      <w:bookmarkEnd w:id="15"/>
      <w:r w:rsidR="00CE0786">
        <w:t>.</w:t>
      </w:r>
    </w:p>
    <w:p w:rsidR="007406AF" w:rsidRPr="00CC10A6" w:rsidRDefault="007406AF" w:rsidP="007406AF">
      <w:pPr>
        <w:pStyle w:val="enumlev1"/>
        <w:rPr>
          <w:lang w:val="fr-CH"/>
        </w:rPr>
      </w:pPr>
      <w:bookmarkStart w:id="16" w:name="lt_pId016"/>
      <w:r w:rsidRPr="008A6A7D">
        <w:t>–</w:t>
      </w:r>
      <w:bookmarkEnd w:id="16"/>
      <w:r w:rsidRPr="008A6A7D">
        <w:tab/>
      </w:r>
      <w:bookmarkStart w:id="17" w:name="lt_pId017"/>
      <w:r w:rsidRPr="008A6A7D">
        <w:t xml:space="preserve">Résolution </w:t>
      </w:r>
      <w:r w:rsidR="00CE0786">
        <w:rPr>
          <w:b/>
          <w:bCs/>
        </w:rPr>
        <w:t>908 (Rév.</w:t>
      </w:r>
      <w:r w:rsidRPr="008A6A7D">
        <w:rPr>
          <w:b/>
          <w:bCs/>
        </w:rPr>
        <w:t>CMR-15)</w:t>
      </w:r>
      <w:r w:rsidRPr="008A6A7D">
        <w:t xml:space="preserve"> </w:t>
      </w:r>
      <w:r w:rsidR="005C2D8D">
        <w:t>–</w:t>
      </w:r>
      <w:r w:rsidRPr="008A6A7D">
        <w:t xml:space="preserve"> Situation: l</w:t>
      </w:r>
      <w:r w:rsidR="005C2D8D">
        <w:t>'</w:t>
      </w:r>
      <w:r w:rsidRPr="008A6A7D">
        <w:t>application SpaceWISC est en service depuis le 1er mars 2015 et a été utilisée pour soumettre et publier plus de 1 600 fiches API</w:t>
      </w:r>
      <w:bookmarkEnd w:id="17"/>
      <w:r w:rsidR="005C2D8D">
        <w:t>.</w:t>
      </w:r>
      <w:r w:rsidRPr="008A6A7D">
        <w:t xml:space="preserve"> </w:t>
      </w:r>
      <w:bookmarkStart w:id="18" w:name="lt_pId018"/>
      <w:r w:rsidR="005C2D8D">
        <w:t>La </w:t>
      </w:r>
      <w:r w:rsidRPr="008A6A7D">
        <w:t>CMR-15 a décidé d</w:t>
      </w:r>
      <w:r w:rsidR="005C2D8D">
        <w:t>'</w:t>
      </w:r>
      <w:r w:rsidRPr="008A6A7D">
        <w:t>élargir le champ d</w:t>
      </w:r>
      <w:r w:rsidR="005C2D8D">
        <w:t>'</w:t>
      </w:r>
      <w:r w:rsidRPr="008A6A7D">
        <w:t>application de la Résolution 908 et de modifier également la manière dont les renseignements A</w:t>
      </w:r>
      <w:r w:rsidR="005C2D8D">
        <w:t>PI sont produits et publiés. En </w:t>
      </w:r>
      <w:r w:rsidRPr="008A6A7D">
        <w:t>conséquence, le BR modifie actuellement la conception de l</w:t>
      </w:r>
      <w:r w:rsidR="005C2D8D">
        <w:t>'</w:t>
      </w:r>
      <w:r w:rsidRPr="008A6A7D">
        <w:t>application SpaceWISC pour répondre aux nouveaux besoins. Le système devrait être mis en oeuvre en 2017.</w:t>
      </w:r>
      <w:bookmarkEnd w:id="18"/>
      <w:r w:rsidRPr="008A6A7D">
        <w:t xml:space="preserve"> </w:t>
      </w:r>
    </w:p>
    <w:p w:rsidR="007406AF" w:rsidRDefault="007406AF" w:rsidP="007406AF">
      <w:pPr>
        <w:pStyle w:val="Heading1"/>
      </w:pPr>
      <w:bookmarkStart w:id="19" w:name="lt_pId021"/>
      <w:r w:rsidRPr="008A6A7D">
        <w:t>2</w:t>
      </w:r>
      <w:bookmarkEnd w:id="19"/>
      <w:r w:rsidRPr="008A6A7D">
        <w:tab/>
      </w:r>
      <w:bookmarkStart w:id="20" w:name="lt_pId022"/>
      <w:r w:rsidRPr="008A6A7D">
        <w:t>Proposition</w:t>
      </w:r>
      <w:bookmarkStart w:id="21" w:name="lt_pId023"/>
      <w:bookmarkEnd w:id="20"/>
    </w:p>
    <w:p w:rsidR="007406AF" w:rsidRPr="008A6A7D" w:rsidRDefault="007406AF" w:rsidP="00CE0786">
      <w:pPr>
        <w:rPr>
          <w:bCs/>
          <w:szCs w:val="28"/>
        </w:rPr>
      </w:pPr>
      <w:r w:rsidRPr="008A6A7D">
        <w:t>Compte tenu du laps de temps réduit avant l</w:t>
      </w:r>
      <w:r w:rsidR="005C2D8D">
        <w:t>'</w:t>
      </w:r>
      <w:r w:rsidRPr="008A6A7D">
        <w:t xml:space="preserve">échéance </w:t>
      </w:r>
      <w:r w:rsidR="005C2D8D">
        <w:t>du</w:t>
      </w:r>
      <w:r w:rsidRPr="008A6A7D">
        <w:t xml:space="preserve"> 30 juin 2017, la France propose que le GCR crée un groupe spécialisé, de préférence sous la forme d</w:t>
      </w:r>
      <w:r w:rsidR="005C2D8D">
        <w:t>'</w:t>
      </w:r>
      <w:r w:rsidRPr="008A6A7D">
        <w:t>un Groupe d</w:t>
      </w:r>
      <w:r w:rsidR="005C2D8D">
        <w:t>u</w:t>
      </w:r>
      <w:r w:rsidRPr="008A6A7D">
        <w:t xml:space="preserve"> Rapporteur, afin de suivre la mise en oeuvre des Résolutions </w:t>
      </w:r>
      <w:r w:rsidRPr="00CE0786">
        <w:rPr>
          <w:b/>
          <w:bCs/>
        </w:rPr>
        <w:t>907</w:t>
      </w:r>
      <w:r w:rsidRPr="008A6A7D">
        <w:t xml:space="preserve"> </w:t>
      </w:r>
      <w:r w:rsidR="00CE0786">
        <w:rPr>
          <w:b/>
          <w:bCs/>
        </w:rPr>
        <w:t>(Rév.</w:t>
      </w:r>
      <w:r w:rsidRPr="008A6A7D">
        <w:rPr>
          <w:b/>
          <w:bCs/>
        </w:rPr>
        <w:t>CMR-15)</w:t>
      </w:r>
      <w:r w:rsidRPr="008A6A7D">
        <w:t xml:space="preserve"> et </w:t>
      </w:r>
      <w:r w:rsidRPr="00CE0786">
        <w:rPr>
          <w:b/>
          <w:bCs/>
        </w:rPr>
        <w:t xml:space="preserve">908 </w:t>
      </w:r>
      <w:r w:rsidRPr="008A6A7D">
        <w:rPr>
          <w:b/>
          <w:bCs/>
        </w:rPr>
        <w:t>(Rév.CMR-15)</w:t>
      </w:r>
      <w:r w:rsidRPr="008A6A7D">
        <w:t xml:space="preserve">, en particulier </w:t>
      </w:r>
      <w:r w:rsidRPr="008A6A7D">
        <w:lastRenderedPageBreak/>
        <w:t xml:space="preserve">en ce qui concerne les améliorations logicielles nécessaires. </w:t>
      </w:r>
      <w:bookmarkStart w:id="22" w:name="lt_pId024"/>
      <w:bookmarkEnd w:id="21"/>
      <w:r w:rsidRPr="008A6A7D">
        <w:rPr>
          <w:bCs/>
          <w:szCs w:val="28"/>
        </w:rPr>
        <w:t>Dans l</w:t>
      </w:r>
      <w:r w:rsidR="005C2D8D">
        <w:rPr>
          <w:bCs/>
          <w:szCs w:val="28"/>
        </w:rPr>
        <w:t>'</w:t>
      </w:r>
      <w:r w:rsidRPr="008A6A7D">
        <w:rPr>
          <w:bCs/>
          <w:szCs w:val="28"/>
        </w:rPr>
        <w:t xml:space="preserve">intervalle entre les deux réunions </w:t>
      </w:r>
      <w:r w:rsidR="005C2D8D">
        <w:rPr>
          <w:bCs/>
          <w:szCs w:val="28"/>
        </w:rPr>
        <w:t>du GCR</w:t>
      </w:r>
      <w:r w:rsidRPr="008A6A7D">
        <w:rPr>
          <w:bCs/>
          <w:szCs w:val="28"/>
        </w:rPr>
        <w:t xml:space="preserve"> de 2016 et 2017, ce groupe permettrait aux administrations et au Bureau:</w:t>
      </w:r>
      <w:bookmarkEnd w:id="22"/>
      <w:r w:rsidRPr="008A6A7D">
        <w:rPr>
          <w:bCs/>
          <w:szCs w:val="28"/>
        </w:rPr>
        <w:t xml:space="preserve"> </w:t>
      </w:r>
    </w:p>
    <w:p w:rsidR="007406AF" w:rsidRPr="008A6A7D" w:rsidRDefault="007406AF" w:rsidP="007406AF">
      <w:pPr>
        <w:pStyle w:val="enumlev1"/>
      </w:pPr>
      <w:bookmarkStart w:id="23" w:name="lt_pId025"/>
      <w:r w:rsidRPr="008A6A7D">
        <w:t>–</w:t>
      </w:r>
      <w:bookmarkEnd w:id="23"/>
      <w:r w:rsidRPr="008A6A7D">
        <w:tab/>
      </w:r>
      <w:bookmarkStart w:id="24" w:name="lt_pId026"/>
      <w:r w:rsidRPr="008A6A7D">
        <w:t>d</w:t>
      </w:r>
      <w:r w:rsidR="005C2D8D">
        <w:t>'</w:t>
      </w:r>
      <w:r w:rsidRPr="008A6A7D">
        <w:t>échanger des vues concernant les besoins des utilisateurs et le calendrier détaillé de la mise en oeuvre;</w:t>
      </w:r>
      <w:bookmarkEnd w:id="24"/>
    </w:p>
    <w:p w:rsidR="007406AF" w:rsidRPr="008A6A7D" w:rsidRDefault="007406AF" w:rsidP="005C2D8D">
      <w:pPr>
        <w:pStyle w:val="enumlev1"/>
      </w:pPr>
      <w:bookmarkStart w:id="25" w:name="lt_pId027"/>
      <w:r w:rsidRPr="008A6A7D">
        <w:t>–</w:t>
      </w:r>
      <w:bookmarkEnd w:id="25"/>
      <w:r w:rsidRPr="008A6A7D">
        <w:tab/>
      </w:r>
      <w:bookmarkStart w:id="26" w:name="lt_pId028"/>
      <w:r w:rsidRPr="008A6A7D">
        <w:t>de veiller à ce que les commentaires initiaux formulés par les administrations puissent être pris en considération lors de la conception des outils demandés aux termes des deux Résolutions ou</w:t>
      </w:r>
      <w:r w:rsidR="005C2D8D">
        <w:t xml:space="preserve"> puissent être</w:t>
      </w:r>
      <w:r w:rsidRPr="008A6A7D">
        <w:t xml:space="preserve"> intégrés </w:t>
      </w:r>
      <w:r w:rsidR="005C2D8D">
        <w:t>dans ces outils</w:t>
      </w:r>
      <w:r w:rsidRPr="008A6A7D">
        <w:t>;</w:t>
      </w:r>
      <w:bookmarkEnd w:id="26"/>
      <w:r w:rsidRPr="008A6A7D">
        <w:t xml:space="preserve"> </w:t>
      </w:r>
    </w:p>
    <w:p w:rsidR="007406AF" w:rsidRPr="008A6A7D" w:rsidRDefault="007406AF" w:rsidP="005C2D8D">
      <w:pPr>
        <w:pStyle w:val="enumlev1"/>
      </w:pPr>
      <w:bookmarkStart w:id="27" w:name="lt_pId029"/>
      <w:r w:rsidRPr="008A6A7D">
        <w:t>–</w:t>
      </w:r>
      <w:bookmarkEnd w:id="27"/>
      <w:r w:rsidRPr="008A6A7D">
        <w:tab/>
      </w:r>
      <w:bookmarkStart w:id="28" w:name="lt_pId030"/>
      <w:r w:rsidRPr="008A6A7D">
        <w:t xml:space="preserve">de mettre en place une communauté de testeurs </w:t>
      </w:r>
      <w:r w:rsidR="005C2D8D">
        <w:t>"</w:t>
      </w:r>
      <w:r w:rsidRPr="008A6A7D">
        <w:t>bêta</w:t>
      </w:r>
      <w:r w:rsidR="005C2D8D">
        <w:t>"</w:t>
      </w:r>
      <w:r w:rsidRPr="008A6A7D">
        <w:t xml:space="preserve"> afin d</w:t>
      </w:r>
      <w:r w:rsidR="005C2D8D">
        <w:t>'</w:t>
      </w:r>
      <w:r w:rsidRPr="008A6A7D">
        <w:t>accroître le nombre de personnes testant le logiciel avant sa version définitive.</w:t>
      </w:r>
      <w:bookmarkEnd w:id="28"/>
    </w:p>
    <w:p w:rsidR="00EC0F12" w:rsidRDefault="007406AF" w:rsidP="00CE0786">
      <w:bookmarkStart w:id="29" w:name="lt_pId031"/>
      <w:r w:rsidRPr="008A6A7D">
        <w:t>En ce qui concerne l</w:t>
      </w:r>
      <w:r w:rsidR="005C2D8D">
        <w:t>'</w:t>
      </w:r>
      <w:r w:rsidRPr="008A6A7D">
        <w:t>application SpaceWISC, dont la première version est déjà en service, la France propose également que les utilisateurs issus des administrations et des exploitations soient invités à formuler leurs suggestions selon des modalités permettant au Bureau de les recueillir de la manière la plus commode possible (peut-être au moyen du forum correspondant).</w:t>
      </w:r>
      <w:bookmarkEnd w:id="29"/>
    </w:p>
    <w:p w:rsidR="007406AF" w:rsidRDefault="007406AF" w:rsidP="007406AF"/>
    <w:p w:rsidR="00CE0786" w:rsidRDefault="00CE0786" w:rsidP="007406AF"/>
    <w:p w:rsidR="00CE0786" w:rsidRDefault="00CE0786" w:rsidP="007406AF"/>
    <w:p w:rsidR="007406AF" w:rsidRDefault="007406AF">
      <w:pPr>
        <w:jc w:val="center"/>
      </w:pPr>
      <w:r>
        <w:t>______________</w:t>
      </w:r>
    </w:p>
    <w:p w:rsidR="007406AF" w:rsidRPr="007406AF" w:rsidRDefault="007406AF" w:rsidP="007406AF"/>
    <w:sectPr w:rsidR="007406AF" w:rsidRPr="007406A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AF" w:rsidRDefault="007406AF">
      <w:r>
        <w:separator/>
      </w:r>
    </w:p>
  </w:endnote>
  <w:endnote w:type="continuationSeparator" w:id="0">
    <w:p w:rsidR="007406AF" w:rsidRDefault="0074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A24819">
      <w:rPr>
        <w:lang w:val="en-US"/>
      </w:rPr>
      <w:t>P:\FRA\ITU-R\AG\RAG\RAG16\000\012F.docx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CE0786">
      <w:t>29.04.16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A24819">
      <w:t>29.04.16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A24819">
      <w:rPr>
        <w:lang w:val="en-US"/>
      </w:rPr>
      <w:t>P:\FRA\ITU-R\AG\RAG\RAG16\000\012F.docx</w:t>
    </w:r>
    <w:r>
      <w:rPr>
        <w:lang w:val="en-US"/>
      </w:rPr>
      <w:fldChar w:fldCharType="end"/>
    </w:r>
    <w:r w:rsidR="005C2D8D">
      <w:rPr>
        <w:lang w:val="en-US"/>
      </w:rPr>
      <w:t xml:space="preserve"> (397670)</w:t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CE0786">
      <w:t>29.04.16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A24819">
      <w:t>29.04.16</w:t>
    </w:r>
    <w:r w:rsidR="00847AA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A24819">
      <w:rPr>
        <w:lang w:val="en-US"/>
      </w:rPr>
      <w:t>P:\FRA\ITU-R\AG\RAG\RAG16\000\012F.docx</w:t>
    </w:r>
    <w:r>
      <w:rPr>
        <w:lang w:val="en-US"/>
      </w:rPr>
      <w:fldChar w:fldCharType="end"/>
    </w:r>
    <w:r w:rsidR="005C2D8D">
      <w:rPr>
        <w:lang w:val="en-US"/>
      </w:rPr>
      <w:t xml:space="preserve"> (397670)</w:t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CE0786">
      <w:t>29.04.16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A24819">
      <w:t>29.04.16</w:t>
    </w:r>
    <w:r w:rsidR="00847A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AF" w:rsidRDefault="007406AF">
      <w:r>
        <w:t>____________________</w:t>
      </w:r>
    </w:p>
  </w:footnote>
  <w:footnote w:type="continuationSeparator" w:id="0">
    <w:p w:rsidR="007406AF" w:rsidRDefault="0074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CE0786">
      <w:rPr>
        <w:noProof/>
      </w:rPr>
      <w:t>2</w:t>
    </w:r>
    <w:r>
      <w:rPr>
        <w:noProof/>
      </w:rPr>
      <w:fldChar w:fldCharType="end"/>
    </w:r>
  </w:p>
  <w:p w:rsidR="00847AAC" w:rsidRDefault="0097156E" w:rsidP="00EC0F12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EC0F12">
      <w:rPr>
        <w:lang w:val="es-ES"/>
      </w:rPr>
      <w:t>6</w:t>
    </w:r>
    <w:r w:rsidR="005C2D8D">
      <w:rPr>
        <w:lang w:val="es-ES"/>
      </w:rPr>
      <w:t>/12</w:t>
    </w:r>
    <w:r w:rsidR="00847AAC">
      <w:rPr>
        <w:lang w:val="es-ES"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AF"/>
    <w:rsid w:val="000C06D8"/>
    <w:rsid w:val="00140AE6"/>
    <w:rsid w:val="002D238A"/>
    <w:rsid w:val="003A6CEE"/>
    <w:rsid w:val="005207F5"/>
    <w:rsid w:val="005430E4"/>
    <w:rsid w:val="005C2D8D"/>
    <w:rsid w:val="0067019B"/>
    <w:rsid w:val="00677EE5"/>
    <w:rsid w:val="00694DEF"/>
    <w:rsid w:val="007406AF"/>
    <w:rsid w:val="00773E5E"/>
    <w:rsid w:val="00847AAC"/>
    <w:rsid w:val="00925627"/>
    <w:rsid w:val="0093101F"/>
    <w:rsid w:val="0097156E"/>
    <w:rsid w:val="00A24819"/>
    <w:rsid w:val="00A9055C"/>
    <w:rsid w:val="00AB7F92"/>
    <w:rsid w:val="00AC39EE"/>
    <w:rsid w:val="00B41D84"/>
    <w:rsid w:val="00BA0C7B"/>
    <w:rsid w:val="00BC4591"/>
    <w:rsid w:val="00C72A86"/>
    <w:rsid w:val="00CC5B9E"/>
    <w:rsid w:val="00CC7208"/>
    <w:rsid w:val="00CE0786"/>
    <w:rsid w:val="00D228F7"/>
    <w:rsid w:val="00D34E1C"/>
    <w:rsid w:val="00D95965"/>
    <w:rsid w:val="00DD55EB"/>
    <w:rsid w:val="00E2659D"/>
    <w:rsid w:val="00EC0F12"/>
    <w:rsid w:val="00ED59FA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212452-E0DA-4EAB-B4E8-A6CB05A3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A0C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7B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7406AF"/>
    <w:rPr>
      <w:rFonts w:ascii="Times New Roman" w:hAnsi="Times New Roman"/>
      <w:b/>
      <w:sz w:val="24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6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6AF"/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nhideWhenUsed/>
    <w:rsid w:val="007406AF"/>
    <w:rPr>
      <w:color w:val="0000FF" w:themeColor="hyperlink"/>
      <w:u w:val="single"/>
    </w:rPr>
  </w:style>
  <w:style w:type="paragraph" w:customStyle="1" w:styleId="Reasons">
    <w:name w:val="Reasons"/>
    <w:basedOn w:val="Normal"/>
    <w:qFormat/>
    <w:rsid w:val="007406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RAG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PF_RAG16.dotm</Template>
  <TotalTime>14</TotalTime>
  <Pages>2</Pages>
  <Words>528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MISE EN OEUVRE DES RÉSOLUTIONS 907 (RÉV.CMR-15) ET 908 (RÉV.CMR-15)</vt:lpstr>
    </vt:vector>
  </TitlesOfParts>
  <Manager>General Secretariat - Pool</Manager>
  <Company>International Telecommunication Union (ITU)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OEUVRE DES RÉSOLUTIONS 907 (RÉV.CMR-15) ET 908 (RÉV.CMR-15)</dc:title>
  <dc:subject>GROUPE CONSULTATIF DES RADIOCOMMUNICATIONS</dc:subject>
  <dc:creator>France</dc:creator>
  <cp:keywords>RAG03-1</cp:keywords>
  <dc:description>Document RAG16/12-F  For: _x000d_Document date: 26 avril 2016_x000d_Saved by ITU51007810 at 10:42:47 on 29/04/2016</dc:description>
  <cp:lastModifiedBy>Saxod, Nathalie</cp:lastModifiedBy>
  <cp:revision>4</cp:revision>
  <cp:lastPrinted>2016-04-29T08:40:00Z</cp:lastPrinted>
  <dcterms:created xsi:type="dcterms:W3CDTF">2016-04-29T08:31:00Z</dcterms:created>
  <dcterms:modified xsi:type="dcterms:W3CDTF">2016-04-29T11:45:00Z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RAG16/12-F</vt:lpwstr>
  </property>
  <property fmtid="{D5CDD505-2E9C-101B-9397-08002B2CF9AE}" pid="3" name="Docdate">
    <vt:lpwstr>26 avril 2016</vt:lpwstr>
  </property>
  <property fmtid="{D5CDD505-2E9C-101B-9397-08002B2CF9AE}" pid="4" name="Docorlang">
    <vt:lpwstr>Original: anglais</vt:lpwstr>
  </property>
  <property fmtid="{D5CDD505-2E9C-101B-9397-08002B2CF9AE}" pid="5" name="Docauthor">
    <vt:lpwstr>France</vt:lpwstr>
  </property>
</Properties>
</file>