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883" w:type="dxa"/>
        <w:tblLayout w:type="fixed"/>
        <w:tblLook w:val="0000" w:firstRow="0" w:lastRow="0" w:firstColumn="0" w:lastColumn="0" w:noHBand="0" w:noVBand="0"/>
      </w:tblPr>
      <w:tblGrid>
        <w:gridCol w:w="1554"/>
        <w:gridCol w:w="5191"/>
        <w:gridCol w:w="1585"/>
        <w:gridCol w:w="1553"/>
      </w:tblGrid>
      <w:tr w:rsidR="001D2E57" w:rsidRPr="00D872CB" w:rsidTr="00FB571D">
        <w:trPr>
          <w:cantSplit/>
        </w:trPr>
        <w:tc>
          <w:tcPr>
            <w:tcW w:w="1554" w:type="dxa"/>
            <w:vAlign w:val="center"/>
          </w:tcPr>
          <w:p w:rsidR="001D2E57" w:rsidRPr="00D872CB" w:rsidRDefault="001D2E57" w:rsidP="001E0B1F">
            <w:pPr>
              <w:shd w:val="solid" w:color="FFFFFF" w:fill="FFFFFF"/>
              <w:spacing w:before="0"/>
              <w:rPr>
                <w:rFonts w:ascii="Verdana" w:hAnsi="Verdana" w:cs="Times New Roman Bold"/>
                <w:b/>
                <w:bCs/>
                <w:lang w:eastAsia="zh-CN"/>
              </w:rPr>
            </w:pPr>
            <w:bookmarkStart w:id="0" w:name="ditulogo"/>
            <w:bookmarkEnd w:id="0"/>
            <w:r w:rsidRPr="00C25F52">
              <w:rPr>
                <w:rFonts w:ascii="Verdana" w:hAnsi="Verdana" w:cs="Times New Roman Bold"/>
                <w:b/>
                <w:bCs/>
                <w:noProof/>
                <w:sz w:val="20"/>
                <w:szCs w:val="26"/>
                <w:lang w:eastAsia="zh-CN"/>
              </w:rPr>
              <w:drawing>
                <wp:inline distT="0" distB="0" distL="0" distR="0" wp14:anchorId="53E4744C" wp14:editId="7E4E6C9C">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776" w:type="dxa"/>
            <w:gridSpan w:val="2"/>
            <w:vAlign w:val="center"/>
          </w:tcPr>
          <w:p w:rsidR="00751C68" w:rsidRDefault="001D2E57" w:rsidP="00751C68">
            <w:pPr>
              <w:shd w:val="solid" w:color="FFFFFF" w:fill="FFFFFF"/>
              <w:tabs>
                <w:tab w:val="clear" w:pos="794"/>
                <w:tab w:val="clear" w:pos="1191"/>
                <w:tab w:val="clear" w:pos="1588"/>
                <w:tab w:val="clear" w:pos="1985"/>
                <w:tab w:val="left" w:pos="2160"/>
              </w:tabs>
              <w:spacing w:before="360"/>
              <w:jc w:val="center"/>
              <w:rPr>
                <w:rFonts w:ascii="Verdana" w:hAnsi="Verdana" w:cs="Times New Roman Bold"/>
                <w:b/>
                <w:sz w:val="26"/>
                <w:szCs w:val="26"/>
                <w:lang w:eastAsia="zh-CN"/>
              </w:rPr>
            </w:pPr>
            <w:r>
              <w:rPr>
                <w:rFonts w:ascii="Verdana" w:hAnsi="Verdana" w:cs="Times New Roman Bold" w:hint="eastAsia"/>
                <w:b/>
                <w:sz w:val="26"/>
                <w:szCs w:val="26"/>
                <w:lang w:eastAsia="zh-CN"/>
              </w:rPr>
              <w:t>无线电通信顾问组</w:t>
            </w:r>
          </w:p>
          <w:p w:rsidR="001D2E57" w:rsidRPr="00D872CB" w:rsidRDefault="001D2E57" w:rsidP="00751C68">
            <w:pPr>
              <w:shd w:val="solid" w:color="FFFFFF" w:fill="FFFFFF"/>
              <w:tabs>
                <w:tab w:val="clear" w:pos="794"/>
                <w:tab w:val="clear" w:pos="1191"/>
                <w:tab w:val="clear" w:pos="1588"/>
                <w:tab w:val="clear" w:pos="1985"/>
                <w:tab w:val="left" w:pos="2160"/>
              </w:tabs>
              <w:spacing w:before="0" w:after="240"/>
              <w:jc w:val="center"/>
              <w:rPr>
                <w:rFonts w:ascii="Verdana" w:hAnsi="Verdana" w:cs="Times New Roman Bold"/>
                <w:b/>
                <w:bCs/>
                <w:lang w:eastAsia="zh-CN"/>
              </w:rPr>
            </w:pPr>
            <w:r w:rsidRPr="00B41DCB">
              <w:rPr>
                <w:rFonts w:ascii="Verdana" w:hAnsi="Verdana" w:cs="Times New Roman Bold"/>
                <w:b/>
                <w:bCs/>
                <w:sz w:val="20"/>
                <w:lang w:eastAsia="zh-CN"/>
              </w:rPr>
              <w:t>201</w:t>
            </w:r>
            <w:r>
              <w:rPr>
                <w:rFonts w:ascii="Verdana" w:hAnsi="Verdana" w:cs="Times New Roman Bold"/>
                <w:b/>
                <w:bCs/>
                <w:sz w:val="20"/>
                <w:lang w:eastAsia="zh-CN"/>
              </w:rPr>
              <w:t>6</w:t>
            </w:r>
            <w:r w:rsidRPr="00B41DCB">
              <w:rPr>
                <w:rFonts w:ascii="Verdana" w:hAnsi="Verdana" w:cs="Times New Roman Bold" w:hint="eastAsia"/>
                <w:b/>
                <w:bCs/>
                <w:sz w:val="20"/>
                <w:lang w:eastAsia="zh-CN"/>
              </w:rPr>
              <w:t>年</w:t>
            </w:r>
            <w:r>
              <w:rPr>
                <w:rFonts w:ascii="Verdana" w:hAnsi="Verdana" w:cs="Times New Roman Bold"/>
                <w:b/>
                <w:bCs/>
                <w:sz w:val="20"/>
                <w:lang w:eastAsia="zh-CN"/>
              </w:rPr>
              <w:t>5</w:t>
            </w:r>
            <w:r w:rsidRPr="00B41DCB">
              <w:rPr>
                <w:rFonts w:ascii="Verdana" w:hAnsi="Verdana" w:cs="Times New Roman Bold" w:hint="eastAsia"/>
                <w:b/>
                <w:bCs/>
                <w:sz w:val="20"/>
                <w:lang w:eastAsia="zh-CN"/>
              </w:rPr>
              <w:t>月</w:t>
            </w:r>
            <w:r>
              <w:rPr>
                <w:rFonts w:ascii="Verdana" w:hAnsi="Verdana" w:cs="Times New Roman Bold"/>
                <w:b/>
                <w:bCs/>
                <w:sz w:val="20"/>
                <w:lang w:eastAsia="zh-CN"/>
              </w:rPr>
              <w:t>10</w:t>
            </w:r>
            <w:r w:rsidRPr="00B41DCB">
              <w:rPr>
                <w:rFonts w:ascii="Verdana" w:hAnsi="Verdana" w:cs="Times New Roman Bold"/>
                <w:b/>
                <w:bCs/>
                <w:sz w:val="20"/>
                <w:lang w:eastAsia="zh-CN"/>
              </w:rPr>
              <w:t>-</w:t>
            </w:r>
            <w:r>
              <w:rPr>
                <w:rFonts w:ascii="Verdana" w:hAnsi="Verdana" w:cs="Times New Roman Bold"/>
                <w:b/>
                <w:bCs/>
                <w:sz w:val="20"/>
                <w:lang w:eastAsia="zh-CN"/>
              </w:rPr>
              <w:t>13</w:t>
            </w:r>
            <w:r w:rsidRPr="00B41DCB">
              <w:rPr>
                <w:rFonts w:ascii="Verdana" w:hAnsi="Verdana" w:cs="Times New Roman Bold" w:hint="eastAsia"/>
                <w:b/>
                <w:bCs/>
                <w:sz w:val="20"/>
                <w:lang w:eastAsia="zh-CN"/>
              </w:rPr>
              <w:t>日，日内瓦</w:t>
            </w:r>
          </w:p>
        </w:tc>
        <w:tc>
          <w:tcPr>
            <w:tcW w:w="1553" w:type="dxa"/>
            <w:vAlign w:val="center"/>
          </w:tcPr>
          <w:p w:rsidR="001D2E57" w:rsidRPr="00432D7F" w:rsidRDefault="001D2E57" w:rsidP="00747D24">
            <w:pPr>
              <w:shd w:val="solid" w:color="FFFFFF" w:fill="FFFFFF"/>
              <w:spacing w:before="0"/>
              <w:jc w:val="right"/>
              <w:rPr>
                <w:lang w:val="en-US"/>
              </w:rPr>
            </w:pPr>
            <w:r w:rsidRPr="00975D6F">
              <w:rPr>
                <w:rFonts w:cs="Arial"/>
                <w:noProof/>
                <w:lang w:eastAsia="zh-CN"/>
              </w:rPr>
              <w:drawing>
                <wp:inline distT="0" distB="0" distL="0" distR="0" wp14:anchorId="21A9972F" wp14:editId="021998F4">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D872CB" w:rsidTr="00FB571D">
        <w:trPr>
          <w:cantSplit/>
        </w:trPr>
        <w:tc>
          <w:tcPr>
            <w:tcW w:w="6745" w:type="dxa"/>
            <w:gridSpan w:val="2"/>
            <w:tcBorders>
              <w:bottom w:val="single" w:sz="12" w:space="0" w:color="auto"/>
            </w:tcBorders>
          </w:tcPr>
          <w:p w:rsidR="0051782D" w:rsidRPr="00D872CB" w:rsidRDefault="001D2E57" w:rsidP="000A4F34">
            <w:pPr>
              <w:shd w:val="solid" w:color="FFFFFF" w:fill="FFFFFF"/>
              <w:spacing w:before="0" w:after="48"/>
              <w:rPr>
                <w:rFonts w:ascii="Verdana" w:hAnsi="Verdana" w:cs="Times New Roman Bold"/>
                <w:b/>
                <w:sz w:val="22"/>
                <w:szCs w:val="22"/>
              </w:rPr>
            </w:pPr>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38" w:type="dxa"/>
            <w:gridSpan w:val="2"/>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FB571D">
        <w:trPr>
          <w:cantSplit/>
        </w:trPr>
        <w:tc>
          <w:tcPr>
            <w:tcW w:w="6745" w:type="dxa"/>
            <w:gridSpan w:val="2"/>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38" w:type="dxa"/>
            <w:gridSpan w:val="2"/>
            <w:tcBorders>
              <w:top w:val="single" w:sz="12" w:space="0" w:color="auto"/>
            </w:tcBorders>
          </w:tcPr>
          <w:p w:rsidR="0051782D" w:rsidRPr="00D872CB" w:rsidRDefault="0051782D" w:rsidP="000A4F34">
            <w:pPr>
              <w:shd w:val="solid" w:color="FFFFFF" w:fill="FFFFFF"/>
              <w:spacing w:before="0" w:after="48"/>
            </w:pPr>
          </w:p>
        </w:tc>
      </w:tr>
      <w:tr w:rsidR="0051782D" w:rsidRPr="00D872CB" w:rsidTr="00FB571D">
        <w:trPr>
          <w:cantSplit/>
        </w:trPr>
        <w:tc>
          <w:tcPr>
            <w:tcW w:w="6745" w:type="dxa"/>
            <w:gridSpan w:val="2"/>
            <w:vMerge w:val="restart"/>
          </w:tcPr>
          <w:p w:rsidR="0051782D" w:rsidRPr="00D872CB" w:rsidRDefault="0051782D" w:rsidP="000A4F34">
            <w:pPr>
              <w:shd w:val="solid" w:color="FFFFFF" w:fill="FFFFFF"/>
              <w:spacing w:after="240"/>
              <w:rPr>
                <w:sz w:val="20"/>
              </w:rPr>
            </w:pPr>
            <w:bookmarkStart w:id="1" w:name="dnum" w:colFirst="1" w:colLast="1"/>
          </w:p>
        </w:tc>
        <w:tc>
          <w:tcPr>
            <w:tcW w:w="3138" w:type="dxa"/>
            <w:gridSpan w:val="2"/>
          </w:tcPr>
          <w:p w:rsidR="0051782D" w:rsidRPr="000A4F34" w:rsidRDefault="006A7022" w:rsidP="00FB571D">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522272">
              <w:rPr>
                <w:rFonts w:ascii="Verdana" w:hAnsi="Verdana"/>
                <w:b/>
                <w:sz w:val="20"/>
                <w:lang w:eastAsia="zh-CN"/>
              </w:rPr>
              <w:t>6</w:t>
            </w:r>
            <w:r w:rsidR="00BD7223" w:rsidRPr="000A4F34">
              <w:rPr>
                <w:rFonts w:ascii="Verdana" w:hAnsi="Verdana"/>
                <w:b/>
                <w:sz w:val="20"/>
                <w:lang w:eastAsia="zh-CN"/>
              </w:rPr>
              <w:t>/</w:t>
            </w:r>
            <w:r w:rsidR="00FB571D">
              <w:rPr>
                <w:rFonts w:ascii="Verdana" w:hAnsi="Verdana"/>
                <w:b/>
                <w:sz w:val="20"/>
                <w:lang w:eastAsia="zh-CN"/>
              </w:rPr>
              <w:t>10</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FB571D">
        <w:trPr>
          <w:cantSplit/>
        </w:trPr>
        <w:tc>
          <w:tcPr>
            <w:tcW w:w="6745" w:type="dxa"/>
            <w:gridSpan w:val="2"/>
            <w:vMerge/>
          </w:tcPr>
          <w:p w:rsidR="0051782D" w:rsidRPr="00D872CB" w:rsidRDefault="0051782D" w:rsidP="000A4F34">
            <w:pPr>
              <w:spacing w:before="60"/>
              <w:jc w:val="center"/>
              <w:rPr>
                <w:b/>
                <w:smallCaps/>
                <w:sz w:val="32"/>
                <w:lang w:eastAsia="zh-CN"/>
              </w:rPr>
            </w:pPr>
            <w:bookmarkStart w:id="2" w:name="ddate" w:colFirst="1" w:colLast="1"/>
            <w:bookmarkEnd w:id="1"/>
          </w:p>
        </w:tc>
        <w:tc>
          <w:tcPr>
            <w:tcW w:w="3138" w:type="dxa"/>
            <w:gridSpan w:val="2"/>
          </w:tcPr>
          <w:p w:rsidR="0051782D" w:rsidRPr="000A4F34" w:rsidRDefault="00BD7223" w:rsidP="00FB571D">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522272">
              <w:rPr>
                <w:rFonts w:ascii="Verdana" w:hAnsi="Verdana"/>
                <w:b/>
                <w:sz w:val="20"/>
                <w:lang w:eastAsia="zh-CN"/>
              </w:rPr>
              <w:t>6</w:t>
            </w:r>
            <w:r w:rsidR="00426448" w:rsidRPr="000A4F34">
              <w:rPr>
                <w:rFonts w:ascii="Verdana" w:hAnsi="SimSun"/>
                <w:b/>
                <w:sz w:val="20"/>
                <w:lang w:eastAsia="zh-CN"/>
              </w:rPr>
              <w:t>年</w:t>
            </w:r>
            <w:r w:rsidR="00FB571D">
              <w:rPr>
                <w:rFonts w:ascii="Verdana" w:hAnsi="Verdana"/>
                <w:b/>
                <w:sz w:val="20"/>
                <w:lang w:eastAsia="zh-CN"/>
              </w:rPr>
              <w:t>4</w:t>
            </w:r>
            <w:r w:rsidR="00426448" w:rsidRPr="000A4F34">
              <w:rPr>
                <w:rFonts w:ascii="Verdana" w:hAnsi="SimSun"/>
                <w:b/>
                <w:sz w:val="20"/>
                <w:lang w:eastAsia="zh-CN"/>
              </w:rPr>
              <w:t>月</w:t>
            </w:r>
            <w:r w:rsidR="00FB571D">
              <w:rPr>
                <w:rFonts w:ascii="Verdana" w:hAnsi="Verdana"/>
                <w:b/>
                <w:sz w:val="20"/>
                <w:lang w:eastAsia="zh-CN"/>
              </w:rPr>
              <w:t>22</w:t>
            </w:r>
            <w:r w:rsidR="00426448" w:rsidRPr="000A4F34">
              <w:rPr>
                <w:rFonts w:ascii="Verdana" w:hAnsi="SimSun"/>
                <w:b/>
                <w:sz w:val="20"/>
                <w:lang w:eastAsia="zh-CN"/>
              </w:rPr>
              <w:t>日</w:t>
            </w:r>
          </w:p>
        </w:tc>
      </w:tr>
      <w:tr w:rsidR="0051782D" w:rsidRPr="00D872CB" w:rsidTr="00FB571D">
        <w:trPr>
          <w:cantSplit/>
        </w:trPr>
        <w:tc>
          <w:tcPr>
            <w:tcW w:w="6745" w:type="dxa"/>
            <w:gridSpan w:val="2"/>
            <w:vMerge/>
          </w:tcPr>
          <w:p w:rsidR="0051782D" w:rsidRPr="00D872CB" w:rsidRDefault="0051782D" w:rsidP="000A4F34">
            <w:pPr>
              <w:spacing w:before="60"/>
              <w:jc w:val="center"/>
              <w:rPr>
                <w:b/>
                <w:smallCaps/>
                <w:sz w:val="32"/>
                <w:lang w:eastAsia="zh-CN"/>
              </w:rPr>
            </w:pPr>
            <w:bookmarkStart w:id="3" w:name="dorlang" w:colFirst="1" w:colLast="1"/>
            <w:bookmarkEnd w:id="2"/>
          </w:p>
        </w:tc>
        <w:tc>
          <w:tcPr>
            <w:tcW w:w="3138" w:type="dxa"/>
            <w:gridSpan w:val="2"/>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FB571D" w:rsidRPr="00D872CB" w:rsidTr="001E0B1F">
        <w:trPr>
          <w:cantSplit/>
        </w:trPr>
        <w:tc>
          <w:tcPr>
            <w:tcW w:w="9883" w:type="dxa"/>
            <w:gridSpan w:val="4"/>
          </w:tcPr>
          <w:p w:rsidR="00FB571D" w:rsidRDefault="00FB571D" w:rsidP="00FB571D">
            <w:pPr>
              <w:pStyle w:val="Source"/>
            </w:pPr>
            <w:bookmarkStart w:id="4" w:name="dsource" w:colFirst="0" w:colLast="0"/>
            <w:bookmarkEnd w:id="3"/>
            <w:r>
              <w:rPr>
                <w:rFonts w:hint="eastAsia"/>
                <w:lang w:eastAsia="zh-CN"/>
              </w:rPr>
              <w:t>俄罗斯联邦</w:t>
            </w:r>
          </w:p>
        </w:tc>
      </w:tr>
      <w:tr w:rsidR="00FB571D" w:rsidRPr="00D872CB" w:rsidTr="001E0B1F">
        <w:trPr>
          <w:cantSplit/>
        </w:trPr>
        <w:tc>
          <w:tcPr>
            <w:tcW w:w="9883" w:type="dxa"/>
            <w:gridSpan w:val="4"/>
          </w:tcPr>
          <w:p w:rsidR="00FB571D" w:rsidRDefault="00FB571D" w:rsidP="00FB571D">
            <w:pPr>
              <w:pStyle w:val="Title1"/>
              <w:rPr>
                <w:lang w:eastAsia="zh-CN"/>
              </w:rPr>
            </w:pPr>
            <w:bookmarkStart w:id="5" w:name="dtitle1" w:colFirst="0" w:colLast="0"/>
            <w:bookmarkEnd w:id="4"/>
            <w:r>
              <w:rPr>
                <w:rFonts w:hint="eastAsia"/>
                <w:lang w:eastAsia="zh-CN"/>
              </w:rPr>
              <w:t>关于在</w:t>
            </w:r>
            <w:r>
              <w:rPr>
                <w:rFonts w:hint="eastAsia"/>
                <w:lang w:eastAsia="zh-CN"/>
              </w:rPr>
              <w:t>ITU</w:t>
            </w:r>
            <w:r>
              <w:rPr>
                <w:lang w:eastAsia="zh-CN"/>
              </w:rPr>
              <w:t>-R</w:t>
            </w:r>
            <w:r>
              <w:rPr>
                <w:lang w:eastAsia="zh-CN"/>
              </w:rPr>
              <w:t>网页</w:t>
            </w:r>
            <w:r>
              <w:rPr>
                <w:rFonts w:hint="eastAsia"/>
                <w:lang w:eastAsia="zh-CN"/>
              </w:rPr>
              <w:t>上</w:t>
            </w:r>
            <w:r>
              <w:rPr>
                <w:lang w:eastAsia="zh-CN"/>
              </w:rPr>
              <w:t>创建</w:t>
            </w:r>
            <w:r w:rsidRPr="00FB571D">
              <w:rPr>
                <w:rFonts w:ascii="SimSun" w:hAnsi="SimSun"/>
                <w:lang w:eastAsia="zh-CN"/>
              </w:rPr>
              <w:t>“</w:t>
            </w:r>
            <w:r>
              <w:rPr>
                <w:rFonts w:hint="eastAsia"/>
                <w:lang w:eastAsia="zh-CN"/>
              </w:rPr>
              <w:t>历史网页</w:t>
            </w:r>
            <w:r w:rsidRPr="00FB571D">
              <w:rPr>
                <w:rFonts w:ascii="SimSun" w:hAnsi="SimSun"/>
                <w:lang w:eastAsia="zh-CN"/>
              </w:rPr>
              <w:t>”</w:t>
            </w:r>
            <w:r>
              <w:rPr>
                <w:rFonts w:hint="eastAsia"/>
                <w:lang w:eastAsia="zh-CN"/>
              </w:rPr>
              <w:t>的</w:t>
            </w:r>
            <w:r>
              <w:rPr>
                <w:lang w:eastAsia="zh-CN"/>
              </w:rPr>
              <w:t>提案</w:t>
            </w:r>
          </w:p>
        </w:tc>
      </w:tr>
      <w:bookmarkEnd w:id="5"/>
    </w:tbl>
    <w:p w:rsidR="00777351" w:rsidRDefault="00777351" w:rsidP="000A4F34">
      <w:pPr>
        <w:rPr>
          <w:lang w:val="en-US" w:eastAsia="zh-CN"/>
        </w:rPr>
      </w:pPr>
    </w:p>
    <w:p w:rsidR="00FB571D" w:rsidRPr="006D01FE" w:rsidRDefault="0072246C" w:rsidP="00FB571D">
      <w:pPr>
        <w:pStyle w:val="Headingb"/>
        <w:rPr>
          <w:lang w:eastAsia="zh-CN"/>
        </w:rPr>
      </w:pPr>
      <w:r>
        <w:rPr>
          <w:rFonts w:hint="eastAsia"/>
          <w:lang w:eastAsia="zh-CN"/>
        </w:rPr>
        <w:t>概述</w:t>
      </w:r>
    </w:p>
    <w:p w:rsidR="00FB571D" w:rsidRPr="00FB571D" w:rsidRDefault="00FB571D" w:rsidP="00FB571D">
      <w:pPr>
        <w:ind w:firstLineChars="200" w:firstLine="480"/>
        <w:rPr>
          <w:rFonts w:asciiTheme="majorBidi" w:eastAsiaTheme="minorEastAsia" w:hAnsiTheme="majorBidi" w:cstheme="majorBidi"/>
        </w:rPr>
      </w:pPr>
      <w:proofErr w:type="spellStart"/>
      <w:r w:rsidRPr="00FB571D">
        <w:rPr>
          <w:rFonts w:asciiTheme="majorBidi" w:eastAsiaTheme="minorEastAsia" w:hAnsiTheme="majorBidi" w:cstheme="majorBidi"/>
        </w:rPr>
        <w:t>有关国际电联及其各部门、顾问组、研究组等活动的历史资料应向公众和参与者开放，这对宣传国际电联及其各部门的成就极其重要</w:t>
      </w:r>
      <w:proofErr w:type="spellEnd"/>
      <w:r w:rsidRPr="00FB571D">
        <w:rPr>
          <w:rFonts w:asciiTheme="majorBidi" w:eastAsiaTheme="minorEastAsia" w:hAnsiTheme="majorBidi" w:cstheme="majorBidi"/>
        </w:rPr>
        <w:t>。</w:t>
      </w:r>
      <w:bookmarkStart w:id="6" w:name="_Toc446060752"/>
    </w:p>
    <w:p w:rsidR="00FB571D" w:rsidRPr="00FB571D" w:rsidRDefault="00FB571D" w:rsidP="00FB571D">
      <w:pPr>
        <w:ind w:firstLineChars="200" w:firstLine="480"/>
        <w:rPr>
          <w:rFonts w:asciiTheme="majorBidi" w:eastAsiaTheme="minorEastAsia" w:hAnsiTheme="majorBidi" w:cstheme="majorBidi"/>
        </w:rPr>
      </w:pPr>
      <w:proofErr w:type="spellStart"/>
      <w:r w:rsidRPr="00FB571D">
        <w:rPr>
          <w:rFonts w:asciiTheme="majorBidi" w:eastAsiaTheme="minorEastAsia" w:hAnsiTheme="majorBidi" w:cstheme="majorBidi"/>
        </w:rPr>
        <w:t>国际电联门户网站历史栏中</w:t>
      </w:r>
      <w:proofErr w:type="spellEnd"/>
      <w:r w:rsidRPr="00FB571D">
        <w:rPr>
          <w:rFonts w:asciiTheme="majorBidi" w:eastAsiaTheme="minorEastAsia" w:hAnsiTheme="majorBidi" w:cstheme="majorBidi"/>
        </w:rPr>
        <w:t>（</w:t>
      </w:r>
      <w:hyperlink r:id="rId9" w:history="1">
        <w:r w:rsidRPr="00FB571D">
          <w:rPr>
            <w:rStyle w:val="Hyperlink"/>
            <w:rFonts w:asciiTheme="majorBidi" w:eastAsiaTheme="minorEastAsia" w:hAnsiTheme="majorBidi" w:cstheme="majorBidi"/>
          </w:rPr>
          <w:t>http://www.itu.int/en/history/Pages/Home.aspx</w:t>
        </w:r>
      </w:hyperlink>
      <w:r w:rsidRPr="00FB571D">
        <w:rPr>
          <w:rFonts w:asciiTheme="majorBidi" w:eastAsiaTheme="minorEastAsia" w:hAnsiTheme="majorBidi" w:cstheme="majorBidi"/>
        </w:rPr>
        <w:t>）含有大量引人关注和有教育意义的整个国际电联活动的历史资料。然而，国际电联官网有关各部门活动的资料甚少，而且几乎找不到各研究组活动的历史信息。这方面本的资料就不多，各部门间分布也不均匀。例如，网站按研究期列有</w:t>
      </w:r>
      <w:r w:rsidRPr="00FB571D">
        <w:rPr>
          <w:rFonts w:asciiTheme="majorBidi" w:eastAsiaTheme="minorEastAsia" w:hAnsiTheme="majorBidi" w:cstheme="majorBidi"/>
        </w:rPr>
        <w:t>1956</w:t>
      </w:r>
      <w:proofErr w:type="spellStart"/>
      <w:r w:rsidRPr="00FB571D">
        <w:rPr>
          <w:rFonts w:asciiTheme="majorBidi" w:eastAsiaTheme="minorEastAsia" w:hAnsiTheme="majorBidi" w:cstheme="majorBidi"/>
        </w:rPr>
        <w:t>年以来</w:t>
      </w:r>
      <w:proofErr w:type="spellEnd"/>
      <w:r w:rsidRPr="00FB571D">
        <w:rPr>
          <w:rFonts w:asciiTheme="majorBidi" w:eastAsiaTheme="minorEastAsia" w:hAnsiTheme="majorBidi" w:cstheme="majorBidi"/>
        </w:rPr>
        <w:t>CCITT</w:t>
      </w:r>
      <w:r w:rsidRPr="00FB571D">
        <w:rPr>
          <w:rFonts w:asciiTheme="majorBidi" w:eastAsiaTheme="minorEastAsia" w:hAnsiTheme="majorBidi" w:cstheme="majorBidi"/>
        </w:rPr>
        <w:t>和</w:t>
      </w:r>
      <w:r w:rsidRPr="00FB571D">
        <w:rPr>
          <w:rFonts w:asciiTheme="majorBidi" w:eastAsiaTheme="minorEastAsia" w:hAnsiTheme="majorBidi" w:cstheme="majorBidi"/>
        </w:rPr>
        <w:t>ITU-T</w:t>
      </w:r>
      <w:proofErr w:type="spellStart"/>
      <w:r w:rsidRPr="00FB571D">
        <w:rPr>
          <w:rFonts w:asciiTheme="majorBidi" w:eastAsiaTheme="minorEastAsia" w:hAnsiTheme="majorBidi" w:cstheme="majorBidi"/>
        </w:rPr>
        <w:t>研究组和研究组主席的姓名</w:t>
      </w:r>
      <w:proofErr w:type="spellEnd"/>
      <w:r w:rsidRPr="00FB571D">
        <w:rPr>
          <w:rFonts w:asciiTheme="majorBidi" w:eastAsiaTheme="minorEastAsia" w:hAnsiTheme="majorBidi" w:cstheme="majorBidi"/>
        </w:rPr>
        <w:t>（</w:t>
      </w:r>
      <w:hyperlink r:id="rId10" w:history="1">
        <w:r w:rsidRPr="00FB571D">
          <w:rPr>
            <w:rStyle w:val="Hyperlink"/>
            <w:rFonts w:asciiTheme="majorBidi" w:eastAsiaTheme="minorEastAsia" w:hAnsiTheme="majorBidi" w:cstheme="majorBidi"/>
          </w:rPr>
          <w:t>http://www.itu.int/en/history/Pages/ITU-TStudyGroups.aspx</w:t>
        </w:r>
      </w:hyperlink>
      <w:r w:rsidRPr="00FB571D">
        <w:rPr>
          <w:rFonts w:asciiTheme="majorBidi" w:eastAsiaTheme="minorEastAsia" w:hAnsiTheme="majorBidi" w:cstheme="majorBidi"/>
        </w:rPr>
        <w:t>），而</w:t>
      </w:r>
      <w:r w:rsidRPr="00FB571D">
        <w:rPr>
          <w:rFonts w:asciiTheme="majorBidi" w:eastAsiaTheme="minorEastAsia" w:hAnsiTheme="majorBidi" w:cstheme="majorBidi"/>
        </w:rPr>
        <w:lastRenderedPageBreak/>
        <w:t>ITU-R</w:t>
      </w:r>
      <w:proofErr w:type="spellStart"/>
      <w:r w:rsidRPr="00FB571D">
        <w:rPr>
          <w:rFonts w:asciiTheme="majorBidi" w:eastAsiaTheme="minorEastAsia" w:hAnsiTheme="majorBidi" w:cstheme="majorBidi"/>
        </w:rPr>
        <w:t>则没有类似内容</w:t>
      </w:r>
      <w:proofErr w:type="spellEnd"/>
      <w:r>
        <w:rPr>
          <w:rFonts w:asciiTheme="majorBidi" w:eastAsiaTheme="minorEastAsia" w:hAnsiTheme="majorBidi" w:cstheme="majorBidi" w:hint="eastAsia"/>
          <w:lang w:eastAsia="zh-CN"/>
        </w:rPr>
        <w:t>。</w:t>
      </w:r>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及其研究组网页没有历史栏。有关</w:t>
      </w:r>
      <w:proofErr w:type="spellEnd"/>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及其研究组活动的历史资料散落在国际电联新闻杂志不同期刊中，在一个地方要找到全部历史内容几乎不可能。因此</w:t>
      </w:r>
      <w:proofErr w:type="spellEnd"/>
      <w:r w:rsidRPr="00FB571D">
        <w:rPr>
          <w:rFonts w:asciiTheme="majorBidi" w:eastAsiaTheme="minorEastAsia" w:hAnsiTheme="majorBidi" w:cstheme="majorBidi"/>
        </w:rPr>
        <w:t>，</w:t>
      </w:r>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研究组活动历史被埋没在国际电联的整个历史中，踪迹难寻</w:t>
      </w:r>
      <w:bookmarkEnd w:id="6"/>
      <w:proofErr w:type="spellEnd"/>
      <w:r w:rsidRPr="00FB571D">
        <w:rPr>
          <w:rFonts w:asciiTheme="majorBidi" w:eastAsiaTheme="minorEastAsia" w:hAnsiTheme="majorBidi" w:cstheme="majorBidi"/>
        </w:rPr>
        <w:t>。</w:t>
      </w:r>
    </w:p>
    <w:p w:rsidR="00FB571D" w:rsidRPr="00FB571D" w:rsidRDefault="00FB571D" w:rsidP="00FB571D">
      <w:pPr>
        <w:pStyle w:val="Headingb"/>
      </w:pPr>
      <w:proofErr w:type="spellStart"/>
      <w:r w:rsidRPr="00FB571D">
        <w:t>提案</w:t>
      </w:r>
      <w:proofErr w:type="spellEnd"/>
    </w:p>
    <w:p w:rsidR="00FB571D" w:rsidRPr="00FB571D" w:rsidRDefault="00FB571D" w:rsidP="00FB571D">
      <w:pPr>
        <w:ind w:firstLineChars="200" w:firstLine="480"/>
        <w:rPr>
          <w:rFonts w:asciiTheme="majorBidi" w:eastAsiaTheme="minorEastAsia" w:hAnsiTheme="majorBidi" w:cstheme="majorBidi"/>
        </w:rPr>
      </w:pPr>
      <w:r w:rsidRPr="00FB571D">
        <w:rPr>
          <w:rFonts w:asciiTheme="majorBidi" w:eastAsiaTheme="minorEastAsia" w:hAnsiTheme="majorBidi" w:cstheme="majorBidi"/>
          <w:lang w:eastAsia="zh-CN"/>
        </w:rPr>
        <w:t>本提案意在在</w:t>
      </w:r>
      <w:r w:rsidRPr="00FB571D">
        <w:rPr>
          <w:rFonts w:asciiTheme="majorBidi" w:eastAsiaTheme="minorEastAsia" w:hAnsiTheme="majorBidi" w:cstheme="majorBidi"/>
          <w:lang w:eastAsia="zh-CN"/>
        </w:rPr>
        <w:t>ITU-R</w:t>
      </w:r>
      <w:r w:rsidRPr="00FB571D">
        <w:rPr>
          <w:rFonts w:asciiTheme="majorBidi" w:eastAsiaTheme="minorEastAsia" w:hAnsiTheme="majorBidi" w:cstheme="majorBidi"/>
          <w:lang w:eastAsia="zh-CN"/>
        </w:rPr>
        <w:t>及其研究组网页上创建历史栏（</w:t>
      </w:r>
      <w:r w:rsidRPr="00FB571D">
        <w:rPr>
          <w:rFonts w:ascii="SimSun" w:hAnsi="SimSun" w:cstheme="majorBidi"/>
          <w:lang w:eastAsia="zh-CN"/>
        </w:rPr>
        <w:t>“</w:t>
      </w:r>
      <w:r w:rsidRPr="00FB571D">
        <w:rPr>
          <w:rFonts w:asciiTheme="majorBidi" w:eastAsiaTheme="minorEastAsia" w:hAnsiTheme="majorBidi" w:cstheme="majorBidi"/>
          <w:lang w:eastAsia="zh-CN"/>
        </w:rPr>
        <w:t>历史网页</w:t>
      </w:r>
      <w:r w:rsidRPr="00FB571D">
        <w:rPr>
          <w:rFonts w:ascii="SimSun" w:hAnsi="SimSun" w:cstheme="majorBidi"/>
          <w:lang w:eastAsia="zh-CN"/>
        </w:rPr>
        <w:t>”</w:t>
      </w:r>
      <w:r w:rsidRPr="00FB571D">
        <w:rPr>
          <w:rFonts w:asciiTheme="majorBidi" w:eastAsiaTheme="minorEastAsia" w:hAnsiTheme="majorBidi" w:cstheme="majorBidi"/>
          <w:lang w:eastAsia="zh-CN"/>
        </w:rPr>
        <w:t>）。</w:t>
      </w:r>
      <w:r w:rsidRPr="00FB571D">
        <w:rPr>
          <w:rFonts w:asciiTheme="majorBidi" w:eastAsiaTheme="minorEastAsia" w:hAnsiTheme="majorBidi" w:cstheme="majorBidi"/>
          <w:lang w:eastAsia="zh-CN"/>
        </w:rPr>
        <w:t>ITU-R</w:t>
      </w:r>
      <w:r w:rsidRPr="00FB571D">
        <w:rPr>
          <w:rFonts w:asciiTheme="majorBidi" w:eastAsiaTheme="minorEastAsia" w:hAnsiTheme="majorBidi" w:cstheme="majorBidi"/>
          <w:lang w:eastAsia="zh-CN"/>
        </w:rPr>
        <w:t>历史栏开篇应为</w:t>
      </w:r>
      <w:r w:rsidRPr="00FB571D">
        <w:rPr>
          <w:rFonts w:asciiTheme="majorBidi" w:eastAsiaTheme="minorEastAsia" w:hAnsiTheme="majorBidi" w:cstheme="majorBidi"/>
          <w:lang w:eastAsia="zh-CN"/>
        </w:rPr>
        <w:t>1978</w:t>
      </w:r>
      <w:r w:rsidRPr="00FB571D">
        <w:rPr>
          <w:rFonts w:asciiTheme="majorBidi" w:eastAsiaTheme="minorEastAsia" w:hAnsiTheme="majorBidi" w:cstheme="majorBidi"/>
          <w:lang w:eastAsia="zh-CN"/>
        </w:rPr>
        <w:t>年</w:t>
      </w:r>
      <w:r w:rsidRPr="00FB571D">
        <w:rPr>
          <w:rFonts w:asciiTheme="majorBidi" w:eastAsiaTheme="minorEastAsia" w:hAnsiTheme="majorBidi" w:cstheme="majorBidi"/>
          <w:lang w:eastAsia="zh-CN"/>
        </w:rPr>
        <w:t>CCIR</w:t>
      </w:r>
      <w:r w:rsidRPr="00FB571D">
        <w:rPr>
          <w:rFonts w:asciiTheme="majorBidi" w:eastAsiaTheme="minorEastAsia" w:hAnsiTheme="majorBidi" w:cstheme="majorBidi"/>
          <w:lang w:eastAsia="zh-CN"/>
        </w:rPr>
        <w:t>，即</w:t>
      </w:r>
      <w:r w:rsidRPr="00FB571D">
        <w:rPr>
          <w:rFonts w:asciiTheme="majorBidi" w:eastAsiaTheme="minorEastAsia" w:hAnsiTheme="majorBidi" w:cstheme="majorBidi"/>
          <w:lang w:eastAsia="zh-CN"/>
        </w:rPr>
        <w:t>ITU-R</w:t>
      </w:r>
      <w:r w:rsidRPr="00FB571D">
        <w:rPr>
          <w:rFonts w:asciiTheme="majorBidi" w:eastAsiaTheme="minorEastAsia" w:hAnsiTheme="majorBidi" w:cstheme="majorBidi"/>
          <w:lang w:eastAsia="zh-CN"/>
        </w:rPr>
        <w:t>前身，为庆祝成立</w:t>
      </w:r>
      <w:r w:rsidRPr="00FB571D">
        <w:rPr>
          <w:rFonts w:asciiTheme="majorBidi" w:eastAsiaTheme="minorEastAsia" w:hAnsiTheme="majorBidi" w:cstheme="majorBidi"/>
          <w:lang w:eastAsia="zh-CN"/>
        </w:rPr>
        <w:t>50</w:t>
      </w:r>
      <w:r w:rsidRPr="00FB571D">
        <w:rPr>
          <w:rFonts w:asciiTheme="majorBidi" w:eastAsiaTheme="minorEastAsia" w:hAnsiTheme="majorBidi" w:cstheme="majorBidi"/>
          <w:lang w:eastAsia="zh-CN"/>
        </w:rPr>
        <w:t>周年出版的历史小册子（现已成为</w:t>
      </w:r>
      <w:r w:rsidRPr="00FB571D">
        <w:rPr>
          <w:rFonts w:ascii="SimSun" w:hAnsi="SimSun" w:cstheme="majorBidi"/>
          <w:lang w:eastAsia="zh-CN"/>
        </w:rPr>
        <w:t>“</w:t>
      </w:r>
      <w:r w:rsidRPr="00FB571D">
        <w:rPr>
          <w:rFonts w:asciiTheme="majorBidi" w:eastAsiaTheme="minorEastAsia" w:hAnsiTheme="majorBidi" w:cstheme="majorBidi"/>
          <w:lang w:eastAsia="zh-CN"/>
        </w:rPr>
        <w:t>稀世真版</w:t>
      </w:r>
      <w:r w:rsidRPr="00FB571D">
        <w:rPr>
          <w:rFonts w:ascii="SimSun" w:hAnsi="SimSun" w:cstheme="majorBidi"/>
          <w:lang w:eastAsia="zh-CN"/>
        </w:rPr>
        <w:t>”</w:t>
      </w:r>
      <w:r w:rsidRPr="00FB571D">
        <w:rPr>
          <w:rFonts w:asciiTheme="majorBidi" w:eastAsiaTheme="minorEastAsia" w:hAnsiTheme="majorBidi" w:cstheme="majorBidi"/>
          <w:lang w:eastAsia="zh-CN"/>
        </w:rPr>
        <w:t>）。</w:t>
      </w:r>
      <w:proofErr w:type="spellStart"/>
      <w:r w:rsidRPr="00FB571D">
        <w:rPr>
          <w:rFonts w:asciiTheme="majorBidi" w:eastAsiaTheme="minorEastAsia" w:hAnsiTheme="majorBidi" w:cstheme="majorBidi"/>
        </w:rPr>
        <w:t>研究组网页的历史栏应刊登研究组成立（及其前身机构）以来全方位活动的大量详实资料和成就研究组存续期间里程碑事件的文章，包括</w:t>
      </w:r>
      <w:proofErr w:type="spellEnd"/>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重要建议书和手册的历史资料，主要贡献者的功绩等</w:t>
      </w:r>
      <w:proofErr w:type="spellEnd"/>
      <w:r w:rsidRPr="00FB571D">
        <w:rPr>
          <w:rFonts w:asciiTheme="majorBidi" w:eastAsiaTheme="minorEastAsia" w:hAnsiTheme="majorBidi" w:cstheme="majorBidi"/>
        </w:rPr>
        <w:t>。</w:t>
      </w:r>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研究组应按研究期编列，内容包括研究组主席、工作组主席、临时工作组</w:t>
      </w:r>
      <w:proofErr w:type="spellEnd"/>
      <w:r w:rsidRPr="00FB571D">
        <w:rPr>
          <w:rFonts w:asciiTheme="majorBidi" w:eastAsiaTheme="minorEastAsia" w:hAnsiTheme="majorBidi" w:cstheme="majorBidi"/>
        </w:rPr>
        <w:t>（</w:t>
      </w:r>
      <w:r w:rsidRPr="00FB571D">
        <w:rPr>
          <w:rFonts w:asciiTheme="majorBidi" w:eastAsiaTheme="minorEastAsia" w:hAnsiTheme="majorBidi" w:cstheme="majorBidi"/>
        </w:rPr>
        <w:t>IWP</w:t>
      </w:r>
      <w:r w:rsidRPr="00FB571D">
        <w:rPr>
          <w:rFonts w:asciiTheme="majorBidi" w:eastAsiaTheme="minorEastAsia" w:hAnsiTheme="majorBidi" w:cstheme="majorBidi"/>
        </w:rPr>
        <w:t>）</w:t>
      </w:r>
      <w:proofErr w:type="spellStart"/>
      <w:r w:rsidRPr="00FB571D">
        <w:rPr>
          <w:rFonts w:asciiTheme="majorBidi" w:eastAsiaTheme="minorEastAsia" w:hAnsiTheme="majorBidi" w:cstheme="majorBidi"/>
        </w:rPr>
        <w:t>主席和任务组主席姓名。根据主管部门和</w:t>
      </w:r>
      <w:proofErr w:type="spellEnd"/>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部门成员文稿制定和批准</w:t>
      </w:r>
      <w:proofErr w:type="spellEnd"/>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建议书草案、报告和手册的主要工作落在工作组和其他类似小组的主席肩上，因此</w:t>
      </w:r>
      <w:proofErr w:type="spellEnd"/>
      <w:r w:rsidRPr="00FB571D">
        <w:rPr>
          <w:rFonts w:asciiTheme="majorBidi" w:eastAsiaTheme="minorEastAsia" w:hAnsiTheme="majorBidi" w:cstheme="majorBidi"/>
        </w:rPr>
        <w:t>，</w:t>
      </w:r>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向对多年来做了大量工作的个人致以敬意，实为情理之中</w:t>
      </w:r>
      <w:proofErr w:type="spellEnd"/>
      <w:r w:rsidRPr="00FB571D">
        <w:rPr>
          <w:rFonts w:asciiTheme="majorBidi" w:eastAsiaTheme="minorEastAsia" w:hAnsiTheme="majorBidi" w:cstheme="majorBidi"/>
        </w:rPr>
        <w:t>。</w:t>
      </w:r>
    </w:p>
    <w:p w:rsidR="00FB571D" w:rsidRPr="00FB571D" w:rsidRDefault="00FB571D" w:rsidP="00FB571D">
      <w:pPr>
        <w:ind w:firstLineChars="200" w:firstLine="480"/>
        <w:rPr>
          <w:rFonts w:asciiTheme="majorBidi" w:eastAsiaTheme="minorEastAsia" w:hAnsiTheme="majorBidi" w:cstheme="majorBidi"/>
        </w:rPr>
      </w:pPr>
      <w:proofErr w:type="spellStart"/>
      <w:r w:rsidRPr="00FB571D">
        <w:rPr>
          <w:rFonts w:asciiTheme="majorBidi" w:eastAsiaTheme="minorEastAsia" w:hAnsiTheme="majorBidi" w:cstheme="majorBidi"/>
        </w:rPr>
        <w:t>历史栏还可刊登国际电联网站从未发表的国际电联新闻杂志中具有历史意义的文章复印件以及对已发表文章的索引（如</w:t>
      </w:r>
      <w:proofErr w:type="spellEnd"/>
      <w:r w:rsidRPr="00FB571D">
        <w:rPr>
          <w:rFonts w:asciiTheme="majorBidi" w:eastAsiaTheme="minorEastAsia" w:hAnsiTheme="majorBidi" w:cstheme="majorBidi"/>
        </w:rPr>
        <w:t>，</w:t>
      </w:r>
      <w:hyperlink r:id="rId11" w:history="1">
        <w:r w:rsidRPr="00FB571D">
          <w:rPr>
            <w:rStyle w:val="Hyperlink"/>
            <w:rFonts w:asciiTheme="majorBidi" w:eastAsiaTheme="minorEastAsia" w:hAnsiTheme="majorBidi" w:cstheme="majorBidi"/>
          </w:rPr>
          <w:t>https://www.itu.int/itunews/issue/2000/02/radiocomm.html</w:t>
        </w:r>
      </w:hyperlink>
      <w:r w:rsidRPr="00FB571D">
        <w:rPr>
          <w:rFonts w:asciiTheme="majorBidi" w:eastAsiaTheme="minorEastAsia" w:hAnsiTheme="majorBidi" w:cstheme="majorBidi"/>
        </w:rPr>
        <w:t>）</w:t>
      </w:r>
      <w:proofErr w:type="spellStart"/>
      <w:r w:rsidRPr="00FB571D">
        <w:rPr>
          <w:rFonts w:asciiTheme="majorBidi" w:eastAsiaTheme="minorEastAsia" w:hAnsiTheme="majorBidi" w:cstheme="majorBidi"/>
        </w:rPr>
        <w:t>以方便感兴趣的读者进行查阅</w:t>
      </w:r>
      <w:proofErr w:type="spellEnd"/>
      <w:r w:rsidRPr="00FB571D">
        <w:rPr>
          <w:rFonts w:asciiTheme="majorBidi" w:eastAsiaTheme="minorEastAsia" w:hAnsiTheme="majorBidi" w:cstheme="majorBidi"/>
        </w:rPr>
        <w:t>。</w:t>
      </w:r>
    </w:p>
    <w:p w:rsidR="00FB571D" w:rsidRPr="00FB571D" w:rsidRDefault="00FB571D" w:rsidP="00FB571D">
      <w:pPr>
        <w:ind w:firstLineChars="200" w:firstLine="480"/>
        <w:rPr>
          <w:rFonts w:asciiTheme="majorBidi" w:eastAsiaTheme="minorEastAsia" w:hAnsiTheme="majorBidi" w:cstheme="majorBidi"/>
        </w:rPr>
      </w:pPr>
      <w:proofErr w:type="spellStart"/>
      <w:r w:rsidRPr="00FB571D">
        <w:rPr>
          <w:rFonts w:asciiTheme="majorBidi" w:eastAsiaTheme="minorEastAsia" w:hAnsiTheme="majorBidi" w:cstheme="majorBidi"/>
        </w:rPr>
        <w:t>如果无线电通信局无意自主开展这项历史性工程，可由当前和以前参加</w:t>
      </w:r>
      <w:proofErr w:type="spellEnd"/>
      <w:r w:rsidRPr="00FB571D">
        <w:rPr>
          <w:rFonts w:asciiTheme="majorBidi" w:eastAsiaTheme="minorEastAsia" w:hAnsiTheme="majorBidi" w:cstheme="majorBidi"/>
        </w:rPr>
        <w:t>ITU-R</w:t>
      </w:r>
      <w:proofErr w:type="spellStart"/>
      <w:r w:rsidRPr="00FB571D">
        <w:rPr>
          <w:rFonts w:asciiTheme="majorBidi" w:eastAsiaTheme="minorEastAsia" w:hAnsiTheme="majorBidi" w:cstheme="majorBidi"/>
        </w:rPr>
        <w:t>和研究组活动的自愿者主笔编写历史栏目内容，尽量避免给无线电通信局员工带来额外负担。无线电通信局负责管理维护</w:t>
      </w:r>
      <w:proofErr w:type="spellEnd"/>
      <w:r w:rsidRPr="00FB571D">
        <w:rPr>
          <w:rFonts w:asciiTheme="majorBidi" w:eastAsiaTheme="minorEastAsia" w:hAnsiTheme="majorBidi" w:cstheme="majorBidi"/>
        </w:rPr>
        <w:lastRenderedPageBreak/>
        <w:t>ITU-R</w:t>
      </w:r>
      <w:r w:rsidRPr="00FB571D">
        <w:rPr>
          <w:rFonts w:asciiTheme="majorBidi" w:eastAsiaTheme="minorEastAsia" w:hAnsiTheme="majorBidi" w:cstheme="majorBidi"/>
        </w:rPr>
        <w:t>及其研究组的网站。既然要避免额外工作，无线电通信局不应对所刊发的历史资料的准确</w:t>
      </w:r>
      <w:bookmarkStart w:id="7" w:name="_GoBack"/>
      <w:bookmarkEnd w:id="7"/>
      <w:r w:rsidRPr="00FB571D">
        <w:rPr>
          <w:rFonts w:asciiTheme="majorBidi" w:eastAsiaTheme="minorEastAsia" w:hAnsiTheme="majorBidi" w:cstheme="majorBidi"/>
        </w:rPr>
        <w:t>性和可靠性负责；编者应对此负责，在历史篇中需特别注明。</w:t>
      </w:r>
    </w:p>
    <w:p w:rsidR="00FB571D" w:rsidRDefault="00FB571D" w:rsidP="007C55FE">
      <w:pPr>
        <w:ind w:firstLineChars="200" w:firstLine="480"/>
        <w:rPr>
          <w:rFonts w:asciiTheme="majorBidi" w:eastAsiaTheme="minorEastAsia" w:hAnsiTheme="majorBidi" w:cstheme="majorBidi"/>
        </w:rPr>
      </w:pPr>
      <w:proofErr w:type="spellStart"/>
      <w:r w:rsidRPr="00FB571D">
        <w:rPr>
          <w:rFonts w:asciiTheme="majorBidi" w:eastAsiaTheme="minorEastAsia" w:hAnsiTheme="majorBidi" w:cstheme="majorBidi"/>
        </w:rPr>
        <w:t>另一方面，在编撰</w:t>
      </w:r>
      <w:proofErr w:type="spellEnd"/>
      <w:r w:rsidRPr="00FB571D">
        <w:rPr>
          <w:rFonts w:asciiTheme="majorBidi" w:eastAsiaTheme="minorEastAsia" w:hAnsiTheme="majorBidi" w:cstheme="majorBidi"/>
        </w:rPr>
        <w:t>ITU-R</w:t>
      </w:r>
      <w:r w:rsidRPr="00FB571D">
        <w:rPr>
          <w:rFonts w:asciiTheme="majorBidi" w:eastAsiaTheme="minorEastAsia" w:hAnsiTheme="majorBidi" w:cstheme="majorBidi"/>
        </w:rPr>
        <w:t>各研究期研究组列表，包括研究组、工作组和其他小组主席姓名时，国际电联图书馆和档案室可以协议方式参加编辑工作。档案室已将国际电联成立以来的大量历史文献，包括国际电联历届大会、全会等文件，转换成电子格式（查阅资料，</w:t>
      </w:r>
      <w:hyperlink r:id="rId12" w:history="1">
        <w:r w:rsidR="007C55FE">
          <w:rPr>
            <w:rStyle w:val="Hyperlink"/>
            <w:lang w:eastAsia="ru-RU"/>
          </w:rPr>
          <w:t>http://www.itu.int/en/history/Pages/ListOfITU</w:t>
        </w:r>
        <w:r w:rsidR="007C55FE">
          <w:rPr>
            <w:rStyle w:val="Hyperlink"/>
            <w:lang w:eastAsia="ru-RU"/>
          </w:rPr>
          <w:t>C</w:t>
        </w:r>
        <w:r w:rsidR="007C55FE">
          <w:rPr>
            <w:rStyle w:val="Hyperlink"/>
            <w:lang w:eastAsia="ru-RU"/>
          </w:rPr>
          <w:t>onferencesAssembliesAndEvents.aspx</w:t>
        </w:r>
      </w:hyperlink>
      <w:r w:rsidRPr="00FB571D">
        <w:rPr>
          <w:rFonts w:asciiTheme="majorBidi" w:eastAsiaTheme="minorEastAsia" w:hAnsiTheme="majorBidi" w:cstheme="majorBidi"/>
        </w:rPr>
        <w:t>），</w:t>
      </w:r>
      <w:proofErr w:type="spellStart"/>
      <w:r w:rsidRPr="00FB571D">
        <w:rPr>
          <w:rFonts w:asciiTheme="majorBidi" w:eastAsiaTheme="minorEastAsia" w:hAnsiTheme="majorBidi" w:cstheme="majorBidi"/>
        </w:rPr>
        <w:t>功不可没。图书馆和档案室掌握国际电联所有档案，因此，完全有能力讯速高效递完成这项工作</w:t>
      </w:r>
      <w:proofErr w:type="spellEnd"/>
      <w:r w:rsidRPr="00FB571D">
        <w:rPr>
          <w:rFonts w:asciiTheme="majorBidi" w:eastAsiaTheme="minorEastAsia" w:hAnsiTheme="majorBidi" w:cstheme="majorBidi"/>
        </w:rPr>
        <w:t>。</w:t>
      </w:r>
    </w:p>
    <w:p w:rsidR="00FB571D" w:rsidRDefault="00FB571D" w:rsidP="00FB571D">
      <w:pPr>
        <w:rPr>
          <w:rFonts w:asciiTheme="majorBidi" w:eastAsiaTheme="minorEastAsia" w:hAnsiTheme="majorBidi" w:cstheme="majorBidi"/>
        </w:rPr>
      </w:pPr>
    </w:p>
    <w:p w:rsidR="00FB571D" w:rsidRDefault="00FB571D" w:rsidP="0032202E">
      <w:pPr>
        <w:pStyle w:val="Reasons"/>
      </w:pPr>
    </w:p>
    <w:p w:rsidR="00FB571D" w:rsidRDefault="00FB571D">
      <w:pPr>
        <w:jc w:val="center"/>
      </w:pPr>
      <w:r>
        <w:t>______________</w:t>
      </w:r>
    </w:p>
    <w:p w:rsidR="00FB571D" w:rsidRPr="00FB571D" w:rsidRDefault="00FB571D" w:rsidP="00FB571D">
      <w:pPr>
        <w:rPr>
          <w:rFonts w:asciiTheme="majorBidi" w:eastAsiaTheme="minorEastAsia" w:hAnsiTheme="majorBidi" w:cstheme="majorBidi"/>
        </w:rPr>
      </w:pPr>
    </w:p>
    <w:sectPr w:rsidR="00FB571D" w:rsidRPr="00FB571D" w:rsidSect="00A5181E">
      <w:headerReference w:type="default"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24B" w:rsidRDefault="00EA124B">
      <w:r>
        <w:separator/>
      </w:r>
    </w:p>
  </w:endnote>
  <w:endnote w:type="continuationSeparator" w:id="0">
    <w:p w:rsidR="00EA124B" w:rsidRDefault="00EA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71D" w:rsidRPr="00F658FA" w:rsidRDefault="00FB571D" w:rsidP="00FB571D">
    <w:pPr>
      <w:pStyle w:val="Footer"/>
    </w:pPr>
    <w:fldSimple w:instr=" FILENAME \p  \* MERGEFORMAT ">
      <w:r w:rsidR="00226176">
        <w:t>P:\CHI\ITU-R\AG\RAG\RAG16\000\010V2C.docx</w:t>
      </w:r>
    </w:fldSimple>
    <w:r>
      <w:t xml:space="preserve"> (397470)</w:t>
    </w:r>
    <w:r>
      <w:tab/>
    </w:r>
    <w:r>
      <w:fldChar w:fldCharType="begin"/>
    </w:r>
    <w:r>
      <w:instrText xml:space="preserve"> SAVEDATE \@ DD.MM.YY </w:instrText>
    </w:r>
    <w:r>
      <w:fldChar w:fldCharType="separate"/>
    </w:r>
    <w:r w:rsidR="007C55FE">
      <w:t>03.05.16</w:t>
    </w:r>
    <w:r>
      <w:fldChar w:fldCharType="end"/>
    </w:r>
    <w:r>
      <w:tab/>
    </w:r>
    <w:r>
      <w:fldChar w:fldCharType="begin"/>
    </w:r>
    <w:r>
      <w:instrText xml:space="preserve"> PRINTDATE \@ DD.MM.YY </w:instrText>
    </w:r>
    <w:r>
      <w:fldChar w:fldCharType="separate"/>
    </w:r>
    <w:r>
      <w:t>02.05.16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71D" w:rsidRPr="00F658FA" w:rsidRDefault="00FB571D" w:rsidP="00FB571D">
    <w:pPr>
      <w:pStyle w:val="Footer"/>
    </w:pPr>
    <w:fldSimple w:instr=" FILENAME \p  \* MERGEFORMAT ">
      <w:r w:rsidR="00226176">
        <w:t>P:\CHI\ITU-R\AG\RAG\RAG16\000\010V2C.docx</w:t>
      </w:r>
    </w:fldSimple>
    <w:r>
      <w:t xml:space="preserve"> (397470)</w:t>
    </w:r>
    <w:r>
      <w:tab/>
    </w:r>
    <w:r>
      <w:fldChar w:fldCharType="begin"/>
    </w:r>
    <w:r>
      <w:instrText xml:space="preserve"> SAVEDATE \@ DD.MM.YY </w:instrText>
    </w:r>
    <w:r>
      <w:fldChar w:fldCharType="separate"/>
    </w:r>
    <w:r w:rsidR="007C55FE">
      <w:t>03.05.16</w:t>
    </w:r>
    <w:r>
      <w:fldChar w:fldCharType="end"/>
    </w:r>
    <w:r>
      <w:tab/>
    </w:r>
    <w:r>
      <w:fldChar w:fldCharType="begin"/>
    </w:r>
    <w:r>
      <w:instrText xml:space="preserve"> PRINTDATE \@ DD.MM.YY </w:instrText>
    </w:r>
    <w:r>
      <w:fldChar w:fldCharType="separate"/>
    </w:r>
    <w:r>
      <w:t>02.05.16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24B" w:rsidRDefault="00EA124B">
      <w:r>
        <w:t>____________________</w:t>
      </w:r>
    </w:p>
  </w:footnote>
  <w:footnote w:type="continuationSeparator" w:id="0">
    <w:p w:rsidR="00EA124B" w:rsidRDefault="00EA1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891" w:rsidRPr="00AF0B82" w:rsidRDefault="005E6891" w:rsidP="000A4F34">
    <w:pPr>
      <w:pStyle w:val="Header"/>
    </w:pPr>
    <w:r>
      <w:fldChar w:fldCharType="begin"/>
    </w:r>
    <w:r>
      <w:instrText xml:space="preserve"> PAGE </w:instrText>
    </w:r>
    <w:r>
      <w:fldChar w:fldCharType="separate"/>
    </w:r>
    <w:r w:rsidR="00226176">
      <w:rPr>
        <w:noProof/>
      </w:rPr>
      <w:t>2</w:t>
    </w:r>
    <w:r>
      <w:fldChar w:fldCharType="end"/>
    </w:r>
  </w:p>
  <w:p w:rsidR="005E6891" w:rsidRPr="00AF0B82" w:rsidRDefault="005E6891" w:rsidP="00FB571D">
    <w:pPr>
      <w:pStyle w:val="Header"/>
      <w:rPr>
        <w:lang w:eastAsia="zh-CN"/>
      </w:rPr>
    </w:pPr>
    <w:r w:rsidRPr="00AF0B82">
      <w:t>RAG</w:t>
    </w:r>
    <w:r w:rsidR="00BC3ACA">
      <w:rPr>
        <w:lang w:eastAsia="zh-CN"/>
      </w:rPr>
      <w:t>1</w:t>
    </w:r>
    <w:r w:rsidR="00522272">
      <w:rPr>
        <w:lang w:eastAsia="zh-CN"/>
      </w:rPr>
      <w:t>6</w:t>
    </w:r>
    <w:r w:rsidRPr="00AF0B82">
      <w:t>/</w:t>
    </w:r>
    <w:r w:rsidR="00FB571D">
      <w:t>10</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4B"/>
    <w:rsid w:val="00020106"/>
    <w:rsid w:val="00021007"/>
    <w:rsid w:val="00034C59"/>
    <w:rsid w:val="00062FA4"/>
    <w:rsid w:val="0006614B"/>
    <w:rsid w:val="00082FBE"/>
    <w:rsid w:val="00084871"/>
    <w:rsid w:val="00085541"/>
    <w:rsid w:val="00093C73"/>
    <w:rsid w:val="000A0059"/>
    <w:rsid w:val="000A4F34"/>
    <w:rsid w:val="000A5F9E"/>
    <w:rsid w:val="000B0A4F"/>
    <w:rsid w:val="000B4D42"/>
    <w:rsid w:val="000C0FEC"/>
    <w:rsid w:val="000F275A"/>
    <w:rsid w:val="000F3718"/>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2E57"/>
    <w:rsid w:val="001D6E77"/>
    <w:rsid w:val="001E0B1F"/>
    <w:rsid w:val="001E5A76"/>
    <w:rsid w:val="001E692F"/>
    <w:rsid w:val="001E7277"/>
    <w:rsid w:val="001F6763"/>
    <w:rsid w:val="001F75CD"/>
    <w:rsid w:val="0020573C"/>
    <w:rsid w:val="00213AE0"/>
    <w:rsid w:val="00221367"/>
    <w:rsid w:val="00226176"/>
    <w:rsid w:val="00236FBE"/>
    <w:rsid w:val="00244613"/>
    <w:rsid w:val="00252B08"/>
    <w:rsid w:val="00271619"/>
    <w:rsid w:val="00271C4F"/>
    <w:rsid w:val="0029544B"/>
    <w:rsid w:val="002A6FC3"/>
    <w:rsid w:val="002B224F"/>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61609"/>
    <w:rsid w:val="00363AF1"/>
    <w:rsid w:val="0036411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E5C65"/>
    <w:rsid w:val="004F3435"/>
    <w:rsid w:val="0050528F"/>
    <w:rsid w:val="00507D0A"/>
    <w:rsid w:val="00513BEA"/>
    <w:rsid w:val="0051782D"/>
    <w:rsid w:val="005205CD"/>
    <w:rsid w:val="00522272"/>
    <w:rsid w:val="0053462E"/>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246C"/>
    <w:rsid w:val="00723E69"/>
    <w:rsid w:val="00725BEA"/>
    <w:rsid w:val="00730A2A"/>
    <w:rsid w:val="0074537E"/>
    <w:rsid w:val="00747D24"/>
    <w:rsid w:val="00751C68"/>
    <w:rsid w:val="0075704C"/>
    <w:rsid w:val="00757BB1"/>
    <w:rsid w:val="007669B2"/>
    <w:rsid w:val="00777351"/>
    <w:rsid w:val="007A299C"/>
    <w:rsid w:val="007A31FF"/>
    <w:rsid w:val="007A6C4A"/>
    <w:rsid w:val="007B56C2"/>
    <w:rsid w:val="007B7525"/>
    <w:rsid w:val="007C0529"/>
    <w:rsid w:val="007C0CCC"/>
    <w:rsid w:val="007C4F8B"/>
    <w:rsid w:val="007C55FE"/>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61ED"/>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2356"/>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11BA5"/>
    <w:rsid w:val="00B1508A"/>
    <w:rsid w:val="00B25A3A"/>
    <w:rsid w:val="00B41DCB"/>
    <w:rsid w:val="00B523C6"/>
    <w:rsid w:val="00B52992"/>
    <w:rsid w:val="00B57898"/>
    <w:rsid w:val="00B62CF3"/>
    <w:rsid w:val="00B651DB"/>
    <w:rsid w:val="00B76AE3"/>
    <w:rsid w:val="00B77421"/>
    <w:rsid w:val="00B865B8"/>
    <w:rsid w:val="00B9093E"/>
    <w:rsid w:val="00B90D98"/>
    <w:rsid w:val="00B925F8"/>
    <w:rsid w:val="00BA5299"/>
    <w:rsid w:val="00BB099B"/>
    <w:rsid w:val="00BB3DBA"/>
    <w:rsid w:val="00BB4ADA"/>
    <w:rsid w:val="00BC195C"/>
    <w:rsid w:val="00BC3ACA"/>
    <w:rsid w:val="00BC3C94"/>
    <w:rsid w:val="00BC42EE"/>
    <w:rsid w:val="00BC72C9"/>
    <w:rsid w:val="00BD05A7"/>
    <w:rsid w:val="00BD2F5F"/>
    <w:rsid w:val="00BD41C7"/>
    <w:rsid w:val="00BD7223"/>
    <w:rsid w:val="00BE163D"/>
    <w:rsid w:val="00BE1942"/>
    <w:rsid w:val="00BE1F57"/>
    <w:rsid w:val="00BE5A75"/>
    <w:rsid w:val="00C0211F"/>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24B"/>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81F3C"/>
    <w:rsid w:val="00F9582A"/>
    <w:rsid w:val="00FB1E59"/>
    <w:rsid w:val="00FB29A3"/>
    <w:rsid w:val="00FB571D"/>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B7A6B0-CB52-4FF4-960E-315B2A10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64285"/>
    <w:pPr>
      <w:keepNext/>
      <w:keepLines/>
      <w:spacing w:before="360"/>
      <w:ind w:left="794" w:hanging="794"/>
      <w:outlineLvl w:val="0"/>
    </w:pPr>
    <w:rPr>
      <w:b/>
    </w:rPr>
  </w:style>
  <w:style w:type="paragraph" w:styleId="Heading2">
    <w:name w:val="heading 2"/>
    <w:basedOn w:val="Heading1"/>
    <w:next w:val="Normal"/>
    <w:qFormat/>
    <w:rsid w:val="00964285"/>
    <w:pPr>
      <w:spacing w:before="240"/>
      <w:outlineLvl w:val="1"/>
    </w:pPr>
  </w:style>
  <w:style w:type="paragraph" w:styleId="Heading3">
    <w:name w:val="heading 3"/>
    <w:aliases w:val="Heading 3 Char,h3,H3,H31"/>
    <w:basedOn w:val="Heading1"/>
    <w:next w:val="Normal"/>
    <w:link w:val="Heading3Char1"/>
    <w:qFormat/>
    <w:rsid w:val="00964285"/>
    <w:pPr>
      <w:spacing w:before="160"/>
      <w:outlineLvl w:val="2"/>
    </w:pPr>
  </w:style>
  <w:style w:type="paragraph" w:styleId="Heading4">
    <w:name w:val="heading 4"/>
    <w:basedOn w:val="Heading3"/>
    <w:next w:val="Normal"/>
    <w:qFormat/>
    <w:rsid w:val="00964285"/>
    <w:pPr>
      <w:tabs>
        <w:tab w:val="clear" w:pos="794"/>
        <w:tab w:val="left" w:pos="1021"/>
      </w:tabs>
      <w:ind w:left="1021" w:hanging="1021"/>
      <w:outlineLvl w:val="3"/>
    </w:pPr>
  </w:style>
  <w:style w:type="paragraph" w:styleId="Heading5">
    <w:name w:val="heading 5"/>
    <w:basedOn w:val="Heading4"/>
    <w:next w:val="Normal"/>
    <w:qFormat/>
    <w:rsid w:val="00964285"/>
    <w:pPr>
      <w:outlineLvl w:val="4"/>
    </w:pPr>
  </w:style>
  <w:style w:type="paragraph" w:styleId="Heading6">
    <w:name w:val="heading 6"/>
    <w:basedOn w:val="Heading4"/>
    <w:next w:val="Normal"/>
    <w:qFormat/>
    <w:rsid w:val="00964285"/>
    <w:pPr>
      <w:tabs>
        <w:tab w:val="clear" w:pos="1021"/>
        <w:tab w:val="clear" w:pos="1191"/>
      </w:tabs>
      <w:ind w:left="1588" w:hanging="1588"/>
      <w:outlineLvl w:val="5"/>
    </w:pPr>
  </w:style>
  <w:style w:type="paragraph" w:styleId="Heading7">
    <w:name w:val="heading 7"/>
    <w:basedOn w:val="Heading6"/>
    <w:next w:val="Normal"/>
    <w:qFormat/>
    <w:rsid w:val="00964285"/>
    <w:pPr>
      <w:outlineLvl w:val="6"/>
    </w:pPr>
  </w:style>
  <w:style w:type="paragraph" w:styleId="Heading8">
    <w:name w:val="heading 8"/>
    <w:basedOn w:val="Heading6"/>
    <w:next w:val="Normal"/>
    <w:qFormat/>
    <w:rsid w:val="00964285"/>
    <w:pPr>
      <w:outlineLvl w:val="7"/>
    </w:pPr>
  </w:style>
  <w:style w:type="paragraph" w:styleId="Heading9">
    <w:name w:val="heading 9"/>
    <w:basedOn w:val="Heading6"/>
    <w:next w:val="Normal"/>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964285"/>
    <w:pPr>
      <w:keepLines/>
      <w:spacing w:before="240" w:after="120"/>
      <w:jc w:val="center"/>
    </w:pPr>
    <w:rPr>
      <w:b/>
    </w:rPr>
  </w:style>
  <w:style w:type="paragraph" w:customStyle="1" w:styleId="Normalaftertitle">
    <w:name w:val="Normal_after_title"/>
    <w:basedOn w:val="Normal"/>
    <w:next w:val="Normal"/>
    <w:rsid w:val="00964285"/>
    <w:pPr>
      <w:spacing w:before="360"/>
    </w:p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paragraph" w:customStyle="1" w:styleId="FooterQP">
    <w:name w:val="Footer_QP"/>
    <w:basedOn w:val="Normal"/>
    <w:rsid w:val="0096428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64285"/>
    <w:rPr>
      <w:b w:val="0"/>
    </w:rPr>
  </w:style>
  <w:style w:type="paragraph" w:customStyle="1" w:styleId="ASN1">
    <w:name w:val="ASN.1"/>
    <w:basedOn w:val="Normal"/>
    <w:rsid w:val="009642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aftertitle"/>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aftertitle"/>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aftertitle"/>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aftertitle"/>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64285"/>
  </w:style>
  <w:style w:type="character" w:styleId="EndnoteReference">
    <w:name w:val="endnote reference"/>
    <w:basedOn w:val="DefaultParagraphFont"/>
    <w:semiHidden/>
    <w:rsid w:val="00964285"/>
    <w:rPr>
      <w:vertAlign w:val="superscript"/>
    </w:rPr>
  </w:style>
  <w:style w:type="paragraph" w:customStyle="1" w:styleId="enumlev1">
    <w:name w:val="enumlev1"/>
    <w:basedOn w:val="Normal"/>
    <w:link w:val="enumlev1Char"/>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aftertitle"/>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aftertitle"/>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964285"/>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basedOn w:val="Normal"/>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semiHidden/>
    <w:rsid w:val="00964285"/>
  </w:style>
  <w:style w:type="paragraph" w:styleId="Index2">
    <w:name w:val="index 2"/>
    <w:basedOn w:val="Normal"/>
    <w:next w:val="Normal"/>
    <w:semiHidden/>
    <w:rsid w:val="00964285"/>
    <w:pPr>
      <w:ind w:left="283"/>
    </w:pPr>
  </w:style>
  <w:style w:type="paragraph" w:styleId="Index3">
    <w:name w:val="index 3"/>
    <w:basedOn w:val="Normal"/>
    <w:next w:val="Normal"/>
    <w:semiHidden/>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aftertitle"/>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aftertitle"/>
    <w:rsid w:val="00964285"/>
    <w:pPr>
      <w:keepNext/>
      <w:keepLines/>
      <w:spacing w:before="480" w:after="280"/>
      <w:jc w:val="center"/>
    </w:pPr>
    <w:rPr>
      <w:b/>
      <w:sz w:val="28"/>
    </w:rPr>
  </w:style>
  <w:style w:type="paragraph" w:customStyle="1" w:styleId="Source">
    <w:name w:val="Source"/>
    <w:basedOn w:val="Normal"/>
    <w:next w:val="Normalaftertitle"/>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uiPriority w:val="99"/>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semiHidden/>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64285"/>
    <w:pPr>
      <w:spacing w:before="80"/>
      <w:ind w:left="1531" w:hanging="851"/>
    </w:pPr>
  </w:style>
  <w:style w:type="paragraph" w:styleId="TOC3">
    <w:name w:val="toc 3"/>
    <w:basedOn w:val="TOC2"/>
    <w:semiHidden/>
    <w:rsid w:val="00964285"/>
  </w:style>
  <w:style w:type="paragraph" w:styleId="TOC4">
    <w:name w:val="toc 4"/>
    <w:basedOn w:val="TOC3"/>
    <w:semiHidden/>
    <w:rsid w:val="00964285"/>
  </w:style>
  <w:style w:type="paragraph" w:styleId="TOC5">
    <w:name w:val="toc 5"/>
    <w:basedOn w:val="TOC4"/>
    <w:semiHidden/>
    <w:rsid w:val="00964285"/>
  </w:style>
  <w:style w:type="paragraph" w:styleId="TOC6">
    <w:name w:val="toc 6"/>
    <w:basedOn w:val="TOC4"/>
    <w:semiHidden/>
    <w:rsid w:val="00964285"/>
  </w:style>
  <w:style w:type="paragraph" w:styleId="TOC7">
    <w:name w:val="toc 7"/>
    <w:basedOn w:val="TOC4"/>
    <w:semiHidden/>
    <w:rsid w:val="00964285"/>
  </w:style>
  <w:style w:type="paragraph" w:styleId="TOC8">
    <w:name w:val="toc 8"/>
    <w:basedOn w:val="TOC4"/>
    <w:semiHidden/>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aftertitle"/>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HeadingbChar">
    <w:name w:val="Heading_b Char"/>
    <w:link w:val="Headingb"/>
    <w:locked/>
    <w:rsid w:val="00FB571D"/>
    <w:rPr>
      <w:rFonts w:ascii="Times New Roman" w:hAnsi="Times New Roman"/>
      <w:b/>
      <w:sz w:val="24"/>
      <w:lang w:val="en-GB" w:eastAsia="en-US"/>
    </w:rPr>
  </w:style>
  <w:style w:type="character" w:customStyle="1" w:styleId="FooterChar">
    <w:name w:val="Footer Char"/>
    <w:basedOn w:val="DefaultParagraphFont"/>
    <w:link w:val="Footer"/>
    <w:rsid w:val="00FB571D"/>
    <w:rPr>
      <w:rFonts w:ascii="Times New Roman" w:hAnsi="Times New Roman"/>
      <w:caps/>
      <w:noProof/>
      <w:sz w:val="16"/>
      <w:lang w:val="en-GB" w:eastAsia="en-US"/>
    </w:rPr>
  </w:style>
  <w:style w:type="paragraph" w:customStyle="1" w:styleId="Reasons">
    <w:name w:val="Reasons"/>
    <w:basedOn w:val="Normal"/>
    <w:qFormat/>
    <w:rsid w:val="00FB571D"/>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itu.int/en/history/Pages/ListOfITUConferencesAssembliesAndEvents.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itunews/issue/2000/02/radiocomm.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tu.int/en/history/Pages/ITU-TStudyGroups.aspx" TargetMode="External"/><Relationship Id="rId4" Type="http://schemas.openxmlformats.org/officeDocument/2006/relationships/webSettings" Target="webSettings.xml"/><Relationship Id="rId9" Type="http://schemas.openxmlformats.org/officeDocument/2006/relationships/hyperlink" Target="http://www.itu.int/en/history/Pages/Home.aspx"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R\PC_RAG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PC_RAG16.dotx</Template>
  <TotalTime>2</TotalTime>
  <Pages>2</Pages>
  <Words>1045</Words>
  <Characters>702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1744</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Yuan, Tianxiang</dc:creator>
  <cp:keywords>RAG03-1</cp:keywords>
  <dc:description>Document RAG08-1/1-E  For: _x000d_Document date: 12 December 2007_x000d_Saved by JJF44233 at 15:38:46 on 18/12/2007</dc:description>
  <cp:lastModifiedBy>Yuan, Tianxiang</cp:lastModifiedBy>
  <cp:revision>3</cp:revision>
  <cp:lastPrinted>2011-05-04T08:20:00Z</cp:lastPrinted>
  <dcterms:created xsi:type="dcterms:W3CDTF">2016-05-04T06:15:00Z</dcterms:created>
  <dcterms:modified xsi:type="dcterms:W3CDTF">2016-05-04T06:17:00Z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