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2528B1">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2528B1">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5C0530">
            <w:pPr>
              <w:spacing w:before="60" w:after="60" w:line="300" w:lineRule="exact"/>
              <w:rPr>
                <w:rFonts w:ascii="Verdana Bold" w:hAnsi="Verdana Bold" w:hint="eastAsia"/>
                <w:b/>
                <w:bCs/>
                <w:sz w:val="19"/>
                <w:rtl/>
                <w:lang w:bidi="ar-EG"/>
              </w:rPr>
            </w:pPr>
            <w:r w:rsidRPr="00077146">
              <w:rPr>
                <w:rFonts w:ascii="Verdana Bold" w:hAnsi="Verdana Bold"/>
                <w:b/>
                <w:bCs/>
                <w:sz w:val="19"/>
                <w:rtl/>
                <w:lang w:bidi="ar-EG"/>
              </w:rPr>
              <w:t>ا</w:t>
            </w:r>
            <w:r w:rsidRPr="00077146">
              <w:rPr>
                <w:rFonts w:ascii="Verdana Bold" w:hAnsi="Verdana Bold" w:hint="cs"/>
                <w:b/>
                <w:bCs/>
                <w:sz w:val="19"/>
                <w:rtl/>
                <w:lang w:bidi="ar-EG"/>
              </w:rPr>
              <w:t>ل</w:t>
            </w:r>
            <w:r w:rsidRPr="00077146">
              <w:rPr>
                <w:rFonts w:ascii="Verdana Bold" w:hAnsi="Verdana Bold"/>
                <w:b/>
                <w:bCs/>
                <w:sz w:val="19"/>
                <w:rtl/>
                <w:lang w:bidi="ar-EG"/>
              </w:rPr>
              <w:t>و</w:t>
            </w:r>
            <w:r w:rsidRPr="00077146">
              <w:rPr>
                <w:rFonts w:ascii="Verdana Bold" w:hAnsi="Verdana Bold" w:hint="cs"/>
                <w:b/>
                <w:bCs/>
                <w:sz w:val="19"/>
                <w:rtl/>
                <w:lang w:bidi="ar-EG"/>
              </w:rPr>
              <w:t xml:space="preserve">ثيقة </w:t>
            </w:r>
            <w:r>
              <w:rPr>
                <w:rFonts w:ascii="Verdana Bold" w:hAnsi="Verdana Bold"/>
                <w:b/>
                <w:bCs/>
                <w:sz w:val="19"/>
                <w:lang w:bidi="ar-SY"/>
              </w:rPr>
              <w:t>RAG</w:t>
            </w:r>
            <w:r w:rsidRPr="00077146">
              <w:rPr>
                <w:rFonts w:ascii="Verdana Bold" w:hAnsi="Verdana Bold"/>
                <w:b/>
                <w:bCs/>
                <w:sz w:val="19"/>
                <w:lang w:bidi="ar-SY"/>
              </w:rPr>
              <w:t>16/</w:t>
            </w:r>
            <w:r w:rsidR="005C0530">
              <w:rPr>
                <w:rFonts w:ascii="Verdana Bold" w:hAnsi="Verdana Bold"/>
                <w:b/>
                <w:bCs/>
                <w:sz w:val="19"/>
                <w:lang w:bidi="ar-SY"/>
              </w:rPr>
              <w:t>10</w:t>
            </w:r>
            <w:r w:rsidRPr="00077146">
              <w:rPr>
                <w:rFonts w:ascii="Verdana Bold" w:hAnsi="Verdana Bold"/>
                <w:b/>
                <w:bCs/>
                <w:sz w:val="19"/>
                <w:lang w:bidi="ar-SY"/>
              </w:rPr>
              <w:t>-A</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5C0530" w:rsidP="00BC1A3F">
            <w:pPr>
              <w:spacing w:before="60" w:after="60" w:line="300" w:lineRule="exact"/>
              <w:rPr>
                <w:rFonts w:ascii="Verdana Bold" w:hAnsi="Verdana Bold" w:hint="eastAsia"/>
                <w:b/>
                <w:bCs/>
                <w:sz w:val="19"/>
                <w:rtl/>
                <w:lang w:bidi="ar-EG"/>
              </w:rPr>
            </w:pPr>
            <w:r>
              <w:rPr>
                <w:rFonts w:ascii="Verdana Bold" w:hAnsi="Verdana Bold"/>
                <w:b/>
                <w:bCs/>
                <w:sz w:val="19"/>
                <w:lang w:bidi="ar-SY"/>
              </w:rPr>
              <w:t>2</w:t>
            </w:r>
            <w:r w:rsidR="00BC1A3F">
              <w:rPr>
                <w:rFonts w:ascii="Verdana Bold" w:hAnsi="Verdana Bold"/>
                <w:b/>
                <w:bCs/>
                <w:sz w:val="19"/>
                <w:lang w:bidi="ar-SY"/>
              </w:rPr>
              <w:t>8</w:t>
            </w:r>
            <w:r w:rsidR="00077146" w:rsidRPr="00077146">
              <w:rPr>
                <w:rFonts w:ascii="Verdana Bold" w:hAnsi="Verdana Bold" w:hint="cs"/>
                <w:b/>
                <w:bCs/>
                <w:sz w:val="19"/>
                <w:rtl/>
                <w:lang w:bidi="ar-EG"/>
              </w:rPr>
              <w:t xml:space="preserve"> </w:t>
            </w:r>
            <w:r>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077146">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5C0530">
              <w:rPr>
                <w:rFonts w:ascii="Verdana Bold" w:hAnsi="Verdana Bold" w:hint="cs"/>
                <w:b/>
                <w:bCs/>
                <w:sz w:val="19"/>
                <w:rtl/>
                <w:lang w:bidi="ar-EG"/>
              </w:rPr>
              <w:t>بالإنكليزية</w:t>
            </w:r>
          </w:p>
        </w:tc>
      </w:tr>
      <w:tr w:rsidR="00077146" w:rsidRPr="00077146" w:rsidTr="002528B1">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077146">
        <w:trPr>
          <w:cantSplit/>
          <w:trHeight w:val="1159"/>
        </w:trPr>
        <w:tc>
          <w:tcPr>
            <w:tcW w:w="5000" w:type="pct"/>
            <w:gridSpan w:val="3"/>
          </w:tcPr>
          <w:p w:rsidR="00077146" w:rsidRPr="00077146" w:rsidRDefault="005C0530" w:rsidP="00A37EAC">
            <w:pPr>
              <w:pStyle w:val="Source"/>
              <w:rPr>
                <w:rtl/>
                <w:lang w:bidi="ar-SY"/>
              </w:rPr>
            </w:pPr>
            <w:r w:rsidRPr="005C0530">
              <w:rPr>
                <w:rFonts w:hint="cs"/>
                <w:rtl/>
                <w:lang w:bidi="ar-EG"/>
              </w:rPr>
              <w:t>الاتحاد الروسي</w:t>
            </w:r>
          </w:p>
        </w:tc>
      </w:tr>
      <w:tr w:rsidR="00077146" w:rsidRPr="00077146" w:rsidTr="002528B1">
        <w:trPr>
          <w:cantSplit/>
        </w:trPr>
        <w:tc>
          <w:tcPr>
            <w:tcW w:w="5000" w:type="pct"/>
            <w:gridSpan w:val="3"/>
          </w:tcPr>
          <w:p w:rsidR="00077146" w:rsidRPr="00077146" w:rsidRDefault="005C0530" w:rsidP="00A37EAC">
            <w:pPr>
              <w:pStyle w:val="Title1"/>
              <w:framePr w:hSpace="0" w:wrap="auto" w:vAnchor="margin" w:xAlign="left" w:yAlign="inline"/>
              <w:rPr>
                <w:rtl/>
              </w:rPr>
            </w:pPr>
            <w:r w:rsidRPr="005C0530">
              <w:rPr>
                <w:rFonts w:hint="cs"/>
                <w:rtl/>
              </w:rPr>
              <w:t xml:space="preserve">مقترح بشأن إنشاء قسم "للصفحات </w:t>
            </w:r>
            <w:proofErr w:type="spellStart"/>
            <w:r w:rsidRPr="005C0530">
              <w:rPr>
                <w:rFonts w:hint="cs"/>
                <w:rtl/>
              </w:rPr>
              <w:t>التاري</w:t>
            </w:r>
            <w:r w:rsidR="0023626C">
              <w:rPr>
                <w:rFonts w:hint="cs"/>
                <w:rtl/>
              </w:rPr>
              <w:t>‍</w:t>
            </w:r>
            <w:r w:rsidRPr="005C0530">
              <w:rPr>
                <w:rFonts w:hint="cs"/>
                <w:rtl/>
              </w:rPr>
              <w:t>خية</w:t>
            </w:r>
            <w:proofErr w:type="spellEnd"/>
            <w:r w:rsidRPr="005C0530">
              <w:rPr>
                <w:rFonts w:hint="cs"/>
                <w:rtl/>
              </w:rPr>
              <w:t xml:space="preserve">" </w:t>
            </w:r>
            <w:r>
              <w:rPr>
                <w:rFonts w:hint="cs"/>
                <w:rtl/>
              </w:rPr>
              <w:t>في</w:t>
            </w:r>
            <w:r w:rsidRPr="005C0530">
              <w:rPr>
                <w:rFonts w:hint="cs"/>
                <w:rtl/>
              </w:rPr>
              <w:t xml:space="preserve"> الصفحة الإلكترونية</w:t>
            </w:r>
            <w:r w:rsidR="00E742FB">
              <w:rPr>
                <w:rtl/>
              </w:rPr>
              <w:br/>
            </w:r>
            <w:r w:rsidRPr="005C0530">
              <w:rPr>
                <w:rFonts w:hint="cs"/>
                <w:rtl/>
              </w:rPr>
              <w:t xml:space="preserve">لقطاع الاتصالات الراديوية </w:t>
            </w:r>
            <w:r w:rsidR="002A2AE1">
              <w:t>(</w:t>
            </w:r>
            <w:r w:rsidRPr="005C0530">
              <w:rPr>
                <w:lang w:bidi="ar-SY"/>
              </w:rPr>
              <w:t>ITU-R</w:t>
            </w:r>
            <w:r w:rsidR="002A2AE1">
              <w:t>)</w:t>
            </w:r>
          </w:p>
        </w:tc>
      </w:tr>
      <w:tr w:rsidR="00077146" w:rsidRPr="00077146" w:rsidTr="002528B1">
        <w:trPr>
          <w:cantSplit/>
        </w:trPr>
        <w:tc>
          <w:tcPr>
            <w:tcW w:w="5000" w:type="pct"/>
            <w:gridSpan w:val="3"/>
          </w:tcPr>
          <w:p w:rsidR="00077146" w:rsidRPr="00003F0C" w:rsidRDefault="00077146" w:rsidP="00077146">
            <w:pPr>
              <w:keepNext/>
              <w:spacing w:before="240"/>
              <w:jc w:val="center"/>
              <w:rPr>
                <w:sz w:val="26"/>
                <w:szCs w:val="36"/>
                <w:rtl/>
                <w:lang w:bidi="ar-SY"/>
              </w:rPr>
            </w:pPr>
          </w:p>
        </w:tc>
      </w:tr>
    </w:tbl>
    <w:p w:rsidR="005C0530" w:rsidRPr="005C0530" w:rsidRDefault="005C0530" w:rsidP="007F5E7C">
      <w:pPr>
        <w:pStyle w:val="Headingb"/>
        <w:rPr>
          <w:rtl/>
        </w:rPr>
      </w:pPr>
      <w:r w:rsidRPr="005C0530">
        <w:rPr>
          <w:rFonts w:hint="cs"/>
          <w:rtl/>
        </w:rPr>
        <w:t>لمحة عامة</w:t>
      </w:r>
    </w:p>
    <w:p w:rsidR="007F5E7C" w:rsidRPr="00E742FB" w:rsidRDefault="005C0530" w:rsidP="00E742FB">
      <w:pPr>
        <w:rPr>
          <w:rtl/>
          <w:lang w:bidi="ar-EG"/>
        </w:rPr>
      </w:pPr>
      <w:r w:rsidRPr="00E742FB">
        <w:rPr>
          <w:rFonts w:hint="cs"/>
          <w:rtl/>
        </w:rPr>
        <w:t>تتاح لعامة الجمهور والمشاركين جميع المواد المتعلقة بتاريخ أنشطة الاتحاد ككل بما في ذلك قطاعاته وأفرقته الاستشارية ولجان دراساته</w:t>
      </w:r>
      <w:r w:rsidR="000C6558" w:rsidRPr="00E742FB">
        <w:rPr>
          <w:rFonts w:hint="eastAsia"/>
          <w:rtl/>
        </w:rPr>
        <w:t> </w:t>
      </w:r>
      <w:r w:rsidR="002A2AE1" w:rsidRPr="00E742FB">
        <w:t>(</w:t>
      </w:r>
      <w:r w:rsidRPr="00E742FB">
        <w:t>SG</w:t>
      </w:r>
      <w:r w:rsidR="002A2AE1" w:rsidRPr="00E742FB">
        <w:t>)</w:t>
      </w:r>
      <w:r w:rsidRPr="00E742FB">
        <w:rPr>
          <w:rFonts w:hint="cs"/>
          <w:rtl/>
        </w:rPr>
        <w:t xml:space="preserve"> وما إلى ذلك، وهي بالتالي ذات أهمية بالغة في إذكاء الوعي بما يحققه الاتحاد ودوائره المختلفة من نجاح</w:t>
      </w:r>
      <w:r w:rsidR="007F5E7C" w:rsidRPr="00E742FB">
        <w:rPr>
          <w:rFonts w:hint="cs"/>
          <w:rtl/>
          <w:lang w:bidi="ar-EG"/>
        </w:rPr>
        <w:t>.</w:t>
      </w:r>
    </w:p>
    <w:p w:rsidR="0052583D" w:rsidRDefault="00E742FB" w:rsidP="00E742FB">
      <w:pPr>
        <w:rPr>
          <w:rtl/>
        </w:rPr>
      </w:pPr>
      <w:r>
        <w:rPr>
          <w:rFonts w:hint="cs"/>
          <w:spacing w:val="6"/>
          <w:rtl/>
        </w:rPr>
        <w:t xml:space="preserve">وفيما يتعلق بأنشطة </w:t>
      </w:r>
      <w:r w:rsidR="005C0530" w:rsidRPr="007056F1">
        <w:rPr>
          <w:rFonts w:hint="cs"/>
          <w:spacing w:val="6"/>
          <w:rtl/>
        </w:rPr>
        <w:t xml:space="preserve">الاتحاد ككل، تتضمن </w:t>
      </w:r>
      <w:r w:rsidR="00B44E84" w:rsidRPr="007056F1">
        <w:rPr>
          <w:rFonts w:hint="cs"/>
          <w:spacing w:val="6"/>
          <w:rtl/>
        </w:rPr>
        <w:t>بوابة "تاريخ</w:t>
      </w:r>
      <w:r w:rsidR="005C0530" w:rsidRPr="007056F1">
        <w:rPr>
          <w:rFonts w:hint="cs"/>
          <w:spacing w:val="6"/>
          <w:rtl/>
        </w:rPr>
        <w:t xml:space="preserve"> الاتحاد</w:t>
      </w:r>
      <w:r w:rsidR="00B44E84" w:rsidRPr="007056F1">
        <w:rPr>
          <w:rFonts w:hint="cs"/>
          <w:spacing w:val="6"/>
          <w:rtl/>
        </w:rPr>
        <w:t>"</w:t>
      </w:r>
      <w:r w:rsidR="005C0530" w:rsidRPr="007056F1">
        <w:rPr>
          <w:rFonts w:hint="cs"/>
          <w:spacing w:val="6"/>
          <w:rtl/>
        </w:rPr>
        <w:t xml:space="preserve"> </w:t>
      </w:r>
      <w:r w:rsidR="002A2AE1">
        <w:rPr>
          <w:spacing w:val="6"/>
        </w:rPr>
        <w:t>(</w:t>
      </w:r>
      <w:hyperlink r:id="rId10" w:history="1">
        <w:r w:rsidR="005C0530" w:rsidRPr="007056F1">
          <w:rPr>
            <w:rStyle w:val="Hyperlink"/>
            <w:spacing w:val="6"/>
          </w:rPr>
          <w:t>http://www.itu.int/en/history/Pages/Home.aspx</w:t>
        </w:r>
      </w:hyperlink>
      <w:r w:rsidR="002A2AE1">
        <w:rPr>
          <w:spacing w:val="6"/>
        </w:rPr>
        <w:t>)</w:t>
      </w:r>
      <w:r w:rsidR="005C0530" w:rsidRPr="007056F1">
        <w:rPr>
          <w:rFonts w:hint="cs"/>
          <w:spacing w:val="6"/>
          <w:rtl/>
        </w:rPr>
        <w:t xml:space="preserve"> مواد تاريخية مثيرة للاهتمام ومفيدة جداً. وأمّا فيما يخص أنشطة قطاعات الاتحاد، فيتضمن الموقع العام للاتحاد مواد أقل بكثير وتكاد تنعدم فيه المعلومات التاريخية المتعلقة بأنشطة لجان الدراسات . وتنتشر المواد الشحيحة المتوفرة في هذا المجال بشكل متفاوت بين القطاعات. فعلى سبيل المثال، يشمل الموقع قائمة بلجان دراسات اللجنة الاستشارية الدولية للبرق والهاتف</w:t>
      </w:r>
      <w:r w:rsidR="002A2AE1">
        <w:rPr>
          <w:rFonts w:hint="eastAsia"/>
          <w:spacing w:val="6"/>
          <w:rtl/>
        </w:rPr>
        <w:t> </w:t>
      </w:r>
      <w:r w:rsidR="002A2AE1">
        <w:rPr>
          <w:spacing w:val="6"/>
        </w:rPr>
        <w:t>(</w:t>
      </w:r>
      <w:r w:rsidR="005C0530" w:rsidRPr="007056F1">
        <w:rPr>
          <w:spacing w:val="6"/>
        </w:rPr>
        <w:t>CCITT</w:t>
      </w:r>
      <w:r w:rsidR="002A2AE1">
        <w:rPr>
          <w:spacing w:val="6"/>
        </w:rPr>
        <w:t>)</w:t>
      </w:r>
      <w:r w:rsidR="005C0530" w:rsidRPr="007056F1">
        <w:rPr>
          <w:rFonts w:hint="cs"/>
          <w:spacing w:val="6"/>
          <w:rtl/>
        </w:rPr>
        <w:t xml:space="preserve"> وقطاع تقييس الاتصالات </w:t>
      </w:r>
      <w:r w:rsidR="002A2AE1">
        <w:rPr>
          <w:spacing w:val="6"/>
        </w:rPr>
        <w:t>(</w:t>
      </w:r>
      <w:r w:rsidR="005C0530" w:rsidRPr="007056F1">
        <w:rPr>
          <w:spacing w:val="6"/>
        </w:rPr>
        <w:t>ITU</w:t>
      </w:r>
      <w:r w:rsidR="007056F1" w:rsidRPr="007056F1">
        <w:rPr>
          <w:spacing w:val="6"/>
        </w:rPr>
        <w:noBreakHyphen/>
      </w:r>
      <w:r w:rsidR="005C0530" w:rsidRPr="007056F1">
        <w:rPr>
          <w:spacing w:val="6"/>
        </w:rPr>
        <w:t>T</w:t>
      </w:r>
      <w:r w:rsidR="002A2AE1">
        <w:rPr>
          <w:spacing w:val="6"/>
        </w:rPr>
        <w:t>)</w:t>
      </w:r>
      <w:r w:rsidR="005C0530" w:rsidRPr="007056F1">
        <w:rPr>
          <w:rFonts w:hint="cs"/>
          <w:spacing w:val="6"/>
          <w:rtl/>
        </w:rPr>
        <w:t xml:space="preserve"> بحسب الفترة الدراسية بدءاً من عام </w:t>
      </w:r>
      <w:r w:rsidR="005C0530" w:rsidRPr="007056F1">
        <w:rPr>
          <w:spacing w:val="6"/>
        </w:rPr>
        <w:t>1956</w:t>
      </w:r>
      <w:r w:rsidR="005C0530" w:rsidRPr="007056F1">
        <w:rPr>
          <w:rFonts w:hint="cs"/>
          <w:spacing w:val="6"/>
          <w:rtl/>
        </w:rPr>
        <w:t>، بما في ذلك أسماء رؤساء لجان الدراسات</w:t>
      </w:r>
      <w:r w:rsidR="005C0530" w:rsidRPr="005C0530">
        <w:rPr>
          <w:rFonts w:hint="cs"/>
          <w:rtl/>
        </w:rPr>
        <w:t xml:space="preserve"> </w:t>
      </w:r>
      <w:r w:rsidR="002A2AE1">
        <w:t>(</w:t>
      </w:r>
      <w:hyperlink r:id="rId11" w:history="1">
        <w:r w:rsidR="005C0530" w:rsidRPr="005C0530">
          <w:rPr>
            <w:rStyle w:val="Hyperlink"/>
          </w:rPr>
          <w:t>http://www.itu.int/en/history/Pages/ITU-TStudyGroups.aspx</w:t>
        </w:r>
      </w:hyperlink>
      <w:r w:rsidR="002A2AE1">
        <w:t>)</w:t>
      </w:r>
      <w:r w:rsidR="005C0530" w:rsidRPr="005C0530">
        <w:rPr>
          <w:rFonts w:hint="cs"/>
          <w:rtl/>
        </w:rPr>
        <w:t>،</w:t>
      </w:r>
      <w:r w:rsidR="005C0530" w:rsidRPr="00E742FB">
        <w:rPr>
          <w:rFonts w:hint="cs"/>
          <w:b/>
          <w:rtl/>
        </w:rPr>
        <w:t xml:space="preserve"> </w:t>
      </w:r>
      <w:r w:rsidR="005C0530" w:rsidRPr="005C0530">
        <w:rPr>
          <w:rFonts w:hint="cs"/>
          <w:rtl/>
        </w:rPr>
        <w:t>ولكن لا</w:t>
      </w:r>
      <w:r>
        <w:rPr>
          <w:rFonts w:hint="eastAsia"/>
          <w:rtl/>
        </w:rPr>
        <w:t> </w:t>
      </w:r>
      <w:r w:rsidR="005C0530" w:rsidRPr="005C0530">
        <w:rPr>
          <w:rFonts w:hint="cs"/>
          <w:rtl/>
        </w:rPr>
        <w:t>توجد قائمة</w:t>
      </w:r>
      <w:r w:rsidR="005C0530" w:rsidRPr="005C0530">
        <w:rPr>
          <w:rFonts w:hint="cs"/>
          <w:b/>
          <w:rtl/>
        </w:rPr>
        <w:t xml:space="preserve"> </w:t>
      </w:r>
      <w:r w:rsidR="005C0530" w:rsidRPr="005C0530">
        <w:rPr>
          <w:rFonts w:hint="cs"/>
          <w:rtl/>
        </w:rPr>
        <w:t>مماثلة لقطاع الاتصالات الراديوية. ولا</w:t>
      </w:r>
      <w:r>
        <w:rPr>
          <w:rFonts w:hint="eastAsia"/>
          <w:rtl/>
        </w:rPr>
        <w:t> </w:t>
      </w:r>
      <w:r w:rsidR="005C0530" w:rsidRPr="005C0530">
        <w:rPr>
          <w:rFonts w:hint="cs"/>
          <w:rtl/>
        </w:rPr>
        <w:t>تتضمن الصفحات الإلكترونية الخاصة بقطاع الاتصالات الراديوية ولجان دراساته أيّ أقسام تاريخية. و</w:t>
      </w:r>
      <w:r w:rsidR="00B44E84">
        <w:rPr>
          <w:rFonts w:hint="cs"/>
          <w:rtl/>
        </w:rPr>
        <w:t>تتناثر</w:t>
      </w:r>
      <w:r w:rsidR="005C0530" w:rsidRPr="005C0530">
        <w:rPr>
          <w:rFonts w:hint="cs"/>
          <w:rtl/>
        </w:rPr>
        <w:t xml:space="preserve"> المواد التاريخية المتوفرة والمتعلقة تحديداً بأنشطة قطاع الاتصالات الراديوية ولجان دراساته </w:t>
      </w:r>
      <w:r w:rsidR="005671AB">
        <w:rPr>
          <w:rFonts w:hint="cs"/>
          <w:rtl/>
        </w:rPr>
        <w:t>في أعداد مختلفة من</w:t>
      </w:r>
      <w:r w:rsidR="005C0530" w:rsidRPr="005C0530">
        <w:rPr>
          <w:rFonts w:hint="cs"/>
          <w:rtl/>
        </w:rPr>
        <w:t xml:space="preserve"> </w:t>
      </w:r>
      <w:r w:rsidR="005C0530" w:rsidRPr="005C0530">
        <w:rPr>
          <w:rFonts w:hint="cs"/>
          <w:i/>
          <w:iCs/>
          <w:rtl/>
        </w:rPr>
        <w:t>مجلة أخبار</w:t>
      </w:r>
      <w:r>
        <w:rPr>
          <w:rFonts w:hint="eastAsia"/>
          <w:i/>
          <w:iCs/>
          <w:rtl/>
        </w:rPr>
        <w:t> </w:t>
      </w:r>
      <w:r w:rsidR="005C0530" w:rsidRPr="005C0530">
        <w:rPr>
          <w:rFonts w:hint="cs"/>
          <w:i/>
          <w:iCs/>
          <w:rtl/>
        </w:rPr>
        <w:t>الاتحاد</w:t>
      </w:r>
      <w:r w:rsidR="005C0530" w:rsidRPr="005C0530">
        <w:rPr>
          <w:rFonts w:hint="cs"/>
          <w:rtl/>
        </w:rPr>
        <w:t xml:space="preserve"> ولكنها تظل فعلياً غير متيسرة لعامة الجمهور بأيّ صيغة موحدة. ولذلك، اختفت بالفعل </w:t>
      </w:r>
      <w:r w:rsidR="005671AB">
        <w:rPr>
          <w:rFonts w:hint="cs"/>
          <w:rtl/>
        </w:rPr>
        <w:t>المعلومات</w:t>
      </w:r>
      <w:r w:rsidR="005C0530" w:rsidRPr="005C0530">
        <w:rPr>
          <w:rFonts w:hint="cs"/>
          <w:rtl/>
        </w:rPr>
        <w:t xml:space="preserve"> التاريخية لأنشطة لجان دراسات قطاع الاتصالات الراديوية من الصفحات التاريخية العامة ل</w:t>
      </w:r>
      <w:r w:rsidR="00A33BE4">
        <w:rPr>
          <w:rFonts w:hint="cs"/>
          <w:rtl/>
        </w:rPr>
        <w:t>لاتحاد.</w:t>
      </w:r>
    </w:p>
    <w:p w:rsidR="0052583D" w:rsidRDefault="0052583D" w:rsidP="00525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5C0530" w:rsidRPr="005C0530" w:rsidRDefault="005C0530" w:rsidP="00003F0C">
      <w:pPr>
        <w:pStyle w:val="Headingb"/>
      </w:pPr>
      <w:r w:rsidRPr="005C0530">
        <w:rPr>
          <w:rFonts w:hint="cs"/>
          <w:rtl/>
        </w:rPr>
        <w:lastRenderedPageBreak/>
        <w:t>المقترحات</w:t>
      </w:r>
    </w:p>
    <w:p w:rsidR="00A33BE4" w:rsidRDefault="005C0530" w:rsidP="00E742FB">
      <w:pPr>
        <w:rPr>
          <w:rtl/>
          <w:lang w:bidi="ar-EG"/>
        </w:rPr>
      </w:pPr>
      <w:r w:rsidRPr="005C0530">
        <w:rPr>
          <w:rFonts w:hint="cs"/>
          <w:rtl/>
          <w:lang w:bidi="ar-SY"/>
        </w:rPr>
        <w:t>يُقترح إنشاء أقسام تاريخية ("صفحات تاريخية") ضمن الصفحات الإلكترونية لقطاع الاتصالات الراديوية ولجان دراساته. ويمكن أن يتضمن قسم تاريخي لقطاع الاتصالات الراديوية منذ البداية نسخة من الكتيب التاريخي الذي نشرته اللجنة الاستشارية الدولية للراديو</w:t>
      </w:r>
      <w:r w:rsidR="00E742FB">
        <w:rPr>
          <w:rFonts w:hint="eastAsia"/>
          <w:rtl/>
          <w:lang w:bidi="ar-SY"/>
        </w:rPr>
        <w:t> </w:t>
      </w:r>
      <w:r w:rsidR="002A2AE1">
        <w:rPr>
          <w:lang w:bidi="ar-SY"/>
        </w:rPr>
        <w:t>(</w:t>
      </w:r>
      <w:r w:rsidRPr="005C0530">
        <w:t>CCIR</w:t>
      </w:r>
      <w:r w:rsidR="002A2AE1">
        <w:rPr>
          <w:lang w:bidi="ar-SY"/>
        </w:rPr>
        <w:t>)</w:t>
      </w:r>
      <w:r w:rsidRPr="005C0530">
        <w:rPr>
          <w:rFonts w:hint="cs"/>
          <w:rtl/>
          <w:lang w:bidi="ar-SY"/>
        </w:rPr>
        <w:t xml:space="preserve">، </w:t>
      </w:r>
      <w:r w:rsidR="006F0CA9">
        <w:rPr>
          <w:rFonts w:hint="cs"/>
          <w:rtl/>
          <w:lang w:bidi="ar-SY"/>
        </w:rPr>
        <w:t xml:space="preserve">وهي </w:t>
      </w:r>
      <w:r w:rsidRPr="005C0530">
        <w:rPr>
          <w:rFonts w:hint="cs"/>
          <w:rtl/>
          <w:lang w:bidi="ar-SY"/>
        </w:rPr>
        <w:t xml:space="preserve">اللجنة </w:t>
      </w:r>
      <w:r w:rsidR="006F0CA9">
        <w:rPr>
          <w:rFonts w:hint="cs"/>
          <w:rtl/>
          <w:lang w:bidi="ar-SY"/>
        </w:rPr>
        <w:t>التي يحل محلها قطاع</w:t>
      </w:r>
      <w:r w:rsidRPr="005C0530">
        <w:rPr>
          <w:rFonts w:hint="cs"/>
          <w:rtl/>
          <w:lang w:bidi="ar-SY"/>
        </w:rPr>
        <w:t xml:space="preserve"> الاتصالات الراديوية، في عام </w:t>
      </w:r>
      <w:r w:rsidRPr="005C0530">
        <w:t xml:space="preserve">1978 </w:t>
      </w:r>
      <w:r w:rsidRPr="005C0530">
        <w:rPr>
          <w:rFonts w:hint="cs"/>
          <w:rtl/>
          <w:lang w:bidi="ar-SY"/>
        </w:rPr>
        <w:t xml:space="preserve"> احتفالاً بذكراها الخمسين (يعتبر هذا الكتيب الآن "طبعة نادرة"). ويمكن</w:t>
      </w:r>
      <w:r w:rsidR="00E742FB">
        <w:rPr>
          <w:rFonts w:hint="cs"/>
          <w:rtl/>
          <w:lang w:bidi="ar-SY"/>
        </w:rPr>
        <w:t xml:space="preserve"> أيضاً</w:t>
      </w:r>
      <w:r w:rsidRPr="005C0530">
        <w:rPr>
          <w:rFonts w:hint="cs"/>
          <w:rtl/>
          <w:lang w:bidi="ar-SY"/>
        </w:rPr>
        <w:t xml:space="preserve"> أن تتضمن الأقسام التاريخية للصفحات الإلكترونية الخاصة بلجان الدراسات </w:t>
      </w:r>
      <w:r w:rsidR="007D60A2">
        <w:rPr>
          <w:rFonts w:hint="cs"/>
          <w:rtl/>
          <w:lang w:bidi="ar-SY"/>
        </w:rPr>
        <w:t xml:space="preserve">معلومات </w:t>
      </w:r>
      <w:r w:rsidR="0029290A">
        <w:rPr>
          <w:rFonts w:hint="cs"/>
          <w:rtl/>
          <w:lang w:bidi="ar-SY"/>
        </w:rPr>
        <w:t>أساسية</w:t>
      </w:r>
      <w:r w:rsidRPr="005C0530">
        <w:rPr>
          <w:rFonts w:hint="cs"/>
          <w:rtl/>
          <w:lang w:bidi="ar-SY"/>
        </w:rPr>
        <w:t xml:space="preserve"> ومفصلة لجميع جوانب أنشطة لجنة الدراسات منذ لحظة إنشائها (بما في ذلك تاريخ أنشطة جميع الهيئات السابقة)، فضلاً عن المقالات المكرسة للأحداث بالغة الأهمية التي طبعت مسار لجنة الدراسات، بما في ذلك المواد المتعلقة بالسجل التاريخي لأهم توصيات وكتيبات قطاع الاتصالات الراديوية وكلمات الثناء الموجهة إلى الأفراد الذين قدموا </w:t>
      </w:r>
      <w:r w:rsidR="00812D79">
        <w:rPr>
          <w:rFonts w:hint="cs"/>
          <w:rtl/>
          <w:lang w:bidi="ar-SY"/>
        </w:rPr>
        <w:t>م</w:t>
      </w:r>
      <w:r w:rsidRPr="005C0530">
        <w:rPr>
          <w:rFonts w:hint="cs"/>
          <w:rtl/>
          <w:lang w:bidi="ar-SY"/>
        </w:rPr>
        <w:t>ساهمات</w:t>
      </w:r>
      <w:r w:rsidR="00812D79">
        <w:rPr>
          <w:rFonts w:hint="cs"/>
          <w:rtl/>
          <w:lang w:bidi="ar-SY"/>
        </w:rPr>
        <w:t xml:space="preserve"> جليلة</w:t>
      </w:r>
      <w:r w:rsidRPr="005C0530">
        <w:rPr>
          <w:rFonts w:hint="cs"/>
          <w:rtl/>
          <w:lang w:bidi="ar-SY"/>
        </w:rPr>
        <w:t xml:space="preserve">، وما إلى ذلك. وينبغي أن تُجمَّع قوائم لجان دراسات قطاع الاتصالات الراديوية بحسب الفترة الدراسية وأن تتضمن أسماء رؤساء كلٍّ من فِرق العمل، وفِرق العمل المؤقتة </w:t>
      </w:r>
      <w:r w:rsidR="002A2AE1">
        <w:rPr>
          <w:lang w:bidi="ar-SY"/>
        </w:rPr>
        <w:t>(</w:t>
      </w:r>
      <w:r w:rsidRPr="005C0530">
        <w:t>IWP</w:t>
      </w:r>
      <w:r w:rsidR="002A2AE1">
        <w:t>)</w:t>
      </w:r>
      <w:r w:rsidRPr="005C0530">
        <w:rPr>
          <w:rFonts w:hint="cs"/>
          <w:rtl/>
        </w:rPr>
        <w:t xml:space="preserve">، وأفرقة المهام، فضلاً عن رؤساء لجان الدراسات. وبما أن عبء العمل الرئيسي الذي ينطوي عليه وضع مشاريع توصيات قطاع الاتصالات الراديوية وتقاريره وكتيباته، استناداً إلى مساهمات الإدارات وأعضاء القطاع، يقع على عاتق رؤساء </w:t>
      </w:r>
      <w:r w:rsidRPr="005C0530">
        <w:rPr>
          <w:rFonts w:hint="cs"/>
          <w:rtl/>
          <w:lang w:bidi="ar-SY"/>
        </w:rPr>
        <w:t xml:space="preserve">فِرق العمل وغيرها من الأفرقة المماثلة، </w:t>
      </w:r>
      <w:r w:rsidR="00027CF7">
        <w:rPr>
          <w:rFonts w:hint="cs"/>
          <w:rtl/>
          <w:lang w:bidi="ar-SY"/>
        </w:rPr>
        <w:t>حري بقطاع</w:t>
      </w:r>
      <w:r w:rsidRPr="005C0530">
        <w:rPr>
          <w:rFonts w:hint="cs"/>
          <w:rtl/>
          <w:lang w:bidi="ar-SY"/>
        </w:rPr>
        <w:t xml:space="preserve"> الاتصالات الراديوية أن يشيد على النحو الواجب بالعمل العظيم الذي أنجزه هؤلاء الأفراد على مدى سنوات عديدة</w:t>
      </w:r>
      <w:r w:rsidR="00A33BE4">
        <w:rPr>
          <w:rFonts w:hint="cs"/>
          <w:rtl/>
          <w:lang w:bidi="ar-EG"/>
        </w:rPr>
        <w:t>.</w:t>
      </w:r>
    </w:p>
    <w:p w:rsidR="00A33BE4" w:rsidRDefault="005C0530" w:rsidP="00A33BE4">
      <w:pPr>
        <w:rPr>
          <w:b/>
          <w:rtl/>
        </w:rPr>
      </w:pPr>
      <w:r w:rsidRPr="00A33BE4">
        <w:rPr>
          <w:rFonts w:hint="cs"/>
          <w:spacing w:val="-6"/>
          <w:rtl/>
          <w:lang w:bidi="ar-EG"/>
        </w:rPr>
        <w:t xml:space="preserve">ويمكن أن تتضمن هذه الأقسام أيضاً نسخاً من مقالات ذات طبيعة تاريخية وردت في </w:t>
      </w:r>
      <w:r w:rsidRPr="00A33BE4">
        <w:rPr>
          <w:rFonts w:hint="cs"/>
          <w:i/>
          <w:iCs/>
          <w:spacing w:val="-6"/>
          <w:rtl/>
          <w:lang w:bidi="ar-EG"/>
        </w:rPr>
        <w:t>مجلة أخبار الاتحاد</w:t>
      </w:r>
      <w:r w:rsidRPr="00A33BE4">
        <w:rPr>
          <w:rFonts w:hint="cs"/>
          <w:spacing w:val="-6"/>
          <w:rtl/>
          <w:lang w:bidi="ar-EG"/>
        </w:rPr>
        <w:t xml:space="preserve"> ولم تُنشر على موقع الاتحاد، وكذلك إحالات إلى المقالات التي نُشرت (انظر مثلاً</w:t>
      </w:r>
      <w:r w:rsidRPr="005C0530">
        <w:rPr>
          <w:rFonts w:hint="cs"/>
          <w:rtl/>
          <w:lang w:bidi="ar-EG"/>
        </w:rPr>
        <w:t xml:space="preserve"> </w:t>
      </w:r>
      <w:hyperlink r:id="rId12" w:history="1">
        <w:r w:rsidRPr="005C0530">
          <w:rPr>
            <w:rStyle w:val="Hyperlink"/>
          </w:rPr>
          <w:t>https://www.itu.int/itunews/issue/2000/02/radiocomm.html</w:t>
        </w:r>
      </w:hyperlink>
      <w:r w:rsidRPr="005C0530">
        <w:rPr>
          <w:rFonts w:hint="cs"/>
          <w:rtl/>
        </w:rPr>
        <w:t>)، لمساعدة القراء المهتمين على إيجادها بسهولة</w:t>
      </w:r>
      <w:r w:rsidR="00A33BE4">
        <w:rPr>
          <w:rFonts w:hint="cs"/>
          <w:b/>
          <w:rtl/>
        </w:rPr>
        <w:t>.</w:t>
      </w:r>
    </w:p>
    <w:p w:rsidR="00A33BE4" w:rsidRDefault="005C0530" w:rsidP="00A33BE4">
      <w:pPr>
        <w:rPr>
          <w:rtl/>
        </w:rPr>
      </w:pPr>
      <w:r w:rsidRPr="005C0530">
        <w:rPr>
          <w:rFonts w:hint="cs"/>
          <w:rtl/>
        </w:rPr>
        <w:t>وينبغي أن يُعِدَّ المواد التاريخية لهذه الصفحات الإلكترونية إجمالاً متطوعون من المشاركين الحاليين والسابقين في أنشطة قطاع الاتصالات الراديوية ولجان دراساته وأن تكون الاستعانة بموظفي مكتب الاتصالات الراديوية محدودة قدر الإمكان لتفادي تحميلهم عبء عمل إضافي، ما لم يرغب المكتب بمبادرة منه في تنفيذ مشروع تاريخي بعينه. ومن البديهي أن يكون المكتب مسؤولاً عن إدارة الأقسام التاريخية للصفحات الإلكترونية التي ي</w:t>
      </w:r>
      <w:r w:rsidR="00875CA2">
        <w:rPr>
          <w:rFonts w:hint="cs"/>
          <w:rtl/>
        </w:rPr>
        <w:t>شرف عليها</w:t>
      </w:r>
      <w:r w:rsidRPr="005C0530">
        <w:rPr>
          <w:rFonts w:hint="cs"/>
          <w:rtl/>
        </w:rPr>
        <w:t xml:space="preserve"> قطاع الاتصالات الراديوية </w:t>
      </w:r>
      <w:r w:rsidR="00875CA2">
        <w:rPr>
          <w:rFonts w:hint="cs"/>
          <w:rtl/>
        </w:rPr>
        <w:t>و</w:t>
      </w:r>
      <w:r w:rsidRPr="005C0530">
        <w:rPr>
          <w:rFonts w:hint="cs"/>
          <w:rtl/>
        </w:rPr>
        <w:t>لجان دراساته. ومراعاةً لنفس الشاغل المتمثل في تفادي أيّ عمل إضافي، ينبغي ألاّ يحمَّل المكتب مسؤولية دقة وموثوقية المعلومات المقدمة في المواد التاريخية المنشورة؛ فهذه المسؤولية ينبغي أن يتحملها المؤلفون، وينبغي أن يشار تحديداً إلى ذلك في الأقسام التاريخية.</w:t>
      </w:r>
    </w:p>
    <w:p w:rsidR="00572286" w:rsidRDefault="005C0530" w:rsidP="0083097E">
      <w:pPr>
        <w:rPr>
          <w:rtl/>
        </w:rPr>
      </w:pPr>
      <w:r w:rsidRPr="00A33BE4">
        <w:rPr>
          <w:rFonts w:hint="cs"/>
          <w:spacing w:val="6"/>
          <w:rtl/>
        </w:rPr>
        <w:t>ومن جهة أخرى، قد يكون من الممكن إشراك قسم المكتبة والمحفوظات بالاتحاد، بناءً على اتفاق، في العمل المتمثل في</w:t>
      </w:r>
      <w:r w:rsidR="00A33BE4" w:rsidRPr="00A33BE4">
        <w:rPr>
          <w:rFonts w:hint="eastAsia"/>
          <w:spacing w:val="6"/>
          <w:rtl/>
        </w:rPr>
        <w:t> </w:t>
      </w:r>
      <w:r w:rsidRPr="00A33BE4">
        <w:rPr>
          <w:rFonts w:hint="cs"/>
          <w:spacing w:val="6"/>
          <w:rtl/>
        </w:rPr>
        <w:t xml:space="preserve">تجميع قوائم لجان دراسات قطاع الاتصالات الراديوية بحسب الفترة الدراسية، بما في ذلك أسماء رؤساء لجان الدراسات وفِرق العمل وغيرها من الأفرقة المماثلة. فقد أنجز هذا القسم عملاً بطولياً بتحويل </w:t>
      </w:r>
      <w:r w:rsidR="00782D16" w:rsidRPr="00A33BE4">
        <w:rPr>
          <w:rFonts w:hint="cs"/>
          <w:spacing w:val="6"/>
          <w:rtl/>
        </w:rPr>
        <w:t>الكثير من</w:t>
      </w:r>
      <w:r w:rsidRPr="00A33BE4">
        <w:rPr>
          <w:rFonts w:hint="cs"/>
          <w:spacing w:val="6"/>
          <w:rtl/>
        </w:rPr>
        <w:t xml:space="preserve"> مواد محفوظات الاتحاد إلى </w:t>
      </w:r>
      <w:r w:rsidR="00782D16" w:rsidRPr="00A33BE4">
        <w:rPr>
          <w:rFonts w:hint="cs"/>
          <w:spacing w:val="6"/>
          <w:rtl/>
        </w:rPr>
        <w:t>نسق</w:t>
      </w:r>
      <w:r w:rsidRPr="00A33BE4">
        <w:rPr>
          <w:rFonts w:hint="cs"/>
          <w:spacing w:val="6"/>
          <w:rtl/>
        </w:rPr>
        <w:t xml:space="preserve"> </w:t>
      </w:r>
      <w:r w:rsidR="00782D16" w:rsidRPr="00A33BE4">
        <w:rPr>
          <w:rFonts w:hint="cs"/>
          <w:spacing w:val="6"/>
          <w:rtl/>
        </w:rPr>
        <w:t>إ</w:t>
      </w:r>
      <w:r w:rsidRPr="00A33BE4">
        <w:rPr>
          <w:rFonts w:hint="cs"/>
          <w:spacing w:val="6"/>
          <w:rtl/>
        </w:rPr>
        <w:t>لكتروني، بما في ذلك الوثائق ذات الصلة بمختلف مؤتمرات الاتحاد وجمعياته العامة وغيرها، منذ تأسيس الاتحاد (انظر</w:t>
      </w:r>
      <w:r w:rsidR="00A33BE4">
        <w:rPr>
          <w:rFonts w:hint="eastAsia"/>
          <w:spacing w:val="6"/>
          <w:rtl/>
        </w:rPr>
        <w:t> </w:t>
      </w:r>
      <w:r w:rsidRPr="00A33BE4">
        <w:rPr>
          <w:rFonts w:hint="cs"/>
          <w:spacing w:val="6"/>
          <w:rtl/>
        </w:rPr>
        <w:t xml:space="preserve">المواد المتاحة </w:t>
      </w:r>
      <w:r w:rsidR="00F76873" w:rsidRPr="00A33BE4">
        <w:rPr>
          <w:rFonts w:hint="cs"/>
          <w:spacing w:val="6"/>
          <w:rtl/>
        </w:rPr>
        <w:t>في</w:t>
      </w:r>
      <w:r w:rsidRPr="00A33BE4">
        <w:rPr>
          <w:rFonts w:hint="cs"/>
          <w:spacing w:val="6"/>
          <w:rtl/>
        </w:rPr>
        <w:t>:</w:t>
      </w:r>
      <w:r w:rsidR="00E742FB">
        <w:rPr>
          <w:rFonts w:hint="cs"/>
          <w:spacing w:val="6"/>
          <w:rtl/>
        </w:rPr>
        <w:t xml:space="preserve"> </w:t>
      </w:r>
      <w:hyperlink r:id="rId13" w:history="1">
        <w:r w:rsidR="00A33BE4" w:rsidRPr="00A33BE4">
          <w:rPr>
            <w:rStyle w:val="Hyperlink"/>
            <w:lang w:val="ru-RU"/>
          </w:rPr>
          <w:t>http://www.itu.int/en/history/Pages/ListOfITUConferencesAssembliesAndEvents.aspx</w:t>
        </w:r>
      </w:hyperlink>
      <w:r w:rsidRPr="005C0530">
        <w:rPr>
          <w:rFonts w:hint="cs"/>
          <w:rtl/>
        </w:rPr>
        <w:t>). وبناءً عل</w:t>
      </w:r>
      <w:r w:rsidR="00F76873">
        <w:rPr>
          <w:rFonts w:hint="cs"/>
          <w:rtl/>
        </w:rPr>
        <w:t>ى ذلك</w:t>
      </w:r>
      <w:r w:rsidRPr="005C0530">
        <w:rPr>
          <w:rFonts w:hint="cs"/>
          <w:rtl/>
        </w:rPr>
        <w:t xml:space="preserve">، قد يكون قسم المكتبة والمحفوظات، نظراً </w:t>
      </w:r>
      <w:r w:rsidR="00F76873">
        <w:rPr>
          <w:rFonts w:hint="cs"/>
          <w:rtl/>
        </w:rPr>
        <w:t xml:space="preserve">إلى </w:t>
      </w:r>
      <w:proofErr w:type="spellStart"/>
      <w:r w:rsidR="00F76873">
        <w:rPr>
          <w:rFonts w:hint="cs"/>
          <w:rtl/>
        </w:rPr>
        <w:t>نفاذه</w:t>
      </w:r>
      <w:proofErr w:type="spellEnd"/>
      <w:r w:rsidRPr="005C0530">
        <w:rPr>
          <w:rFonts w:hint="cs"/>
          <w:rtl/>
        </w:rPr>
        <w:t xml:space="preserve"> </w:t>
      </w:r>
      <w:r w:rsidR="00F76873">
        <w:rPr>
          <w:rFonts w:hint="cs"/>
          <w:rtl/>
        </w:rPr>
        <w:t>إلى</w:t>
      </w:r>
      <w:r w:rsidRPr="005C0530">
        <w:rPr>
          <w:rFonts w:hint="cs"/>
          <w:rtl/>
        </w:rPr>
        <w:t xml:space="preserve"> جميع محفوظات الاتحاد، </w:t>
      </w:r>
      <w:r w:rsidR="00F76873">
        <w:rPr>
          <w:rFonts w:hint="cs"/>
          <w:rtl/>
        </w:rPr>
        <w:t>أنسب من يمكنه إنجاز</w:t>
      </w:r>
      <w:r w:rsidRPr="005C0530">
        <w:rPr>
          <w:rFonts w:hint="cs"/>
          <w:rtl/>
        </w:rPr>
        <w:t xml:space="preserve"> هذه المهام بفعالية وفي أقرب وقت ممكن.</w:t>
      </w:r>
    </w:p>
    <w:p w:rsidR="00057D34" w:rsidRPr="00FD6C64" w:rsidRDefault="00977333" w:rsidP="00572286">
      <w:pPr>
        <w:spacing w:before="600"/>
        <w:jc w:val="center"/>
        <w:rPr>
          <w:rtl/>
          <w:lang w:val="en-GB" w:bidi="ar-SY"/>
        </w:rPr>
      </w:pPr>
      <w:r>
        <w:rPr>
          <w:rFonts w:hint="cs"/>
          <w:rtl/>
          <w:lang w:val="en-GB" w:bidi="ar-SY"/>
        </w:rPr>
        <w:t>___________</w:t>
      </w:r>
      <w:bookmarkStart w:id="0" w:name="_GoBack"/>
      <w:bookmarkEnd w:id="0"/>
    </w:p>
    <w:sectPr w:rsidR="00057D34" w:rsidRPr="00FD6C64" w:rsidSect="00870407">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BEE" w:rsidRDefault="004A5BEE" w:rsidP="00057D34">
      <w:pPr>
        <w:spacing w:before="0" w:line="240" w:lineRule="auto"/>
      </w:pPr>
      <w:r>
        <w:separator/>
      </w:r>
    </w:p>
  </w:endnote>
  <w:endnote w:type="continuationSeparator" w:id="0">
    <w:p w:rsidR="004A5BEE" w:rsidRDefault="004A5BEE"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E958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6F11ED">
      <w:rPr>
        <w:rFonts w:cs="Calibri"/>
        <w:noProof/>
        <w:sz w:val="16"/>
        <w:szCs w:val="16"/>
      </w:rPr>
      <w:t>P:\ARA\ITU-R\AG\RAG\RAG16\000\010A.docx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E9581C">
      <w:rPr>
        <w:rFonts w:cs="Calibri" w:hint="cs"/>
        <w:sz w:val="16"/>
        <w:szCs w:val="16"/>
        <w:rtl/>
      </w:rPr>
      <w:t>397470</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977333">
      <w:rPr>
        <w:rFonts w:cs="Calibri"/>
        <w:noProof/>
        <w:sz w:val="16"/>
        <w:szCs w:val="16"/>
        <w:lang w:val="en-GB"/>
      </w:rPr>
      <w:t>04.05.16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F11ED">
      <w:rPr>
        <w:rFonts w:cs="Calibri"/>
        <w:noProof/>
        <w:sz w:val="16"/>
        <w:szCs w:val="16"/>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E958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6F11ED">
      <w:rPr>
        <w:rFonts w:cs="Calibri"/>
        <w:noProof/>
        <w:sz w:val="16"/>
        <w:szCs w:val="16"/>
      </w:rPr>
      <w:t>P:\ARA\ITU-R\AG\RAG\RAG16\000\010A.docx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E9581C">
      <w:rPr>
        <w:rFonts w:cs="Calibri" w:hint="cs"/>
        <w:sz w:val="16"/>
        <w:szCs w:val="16"/>
        <w:rtl/>
      </w:rPr>
      <w:t>397470</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977333">
      <w:rPr>
        <w:rFonts w:cs="Calibri"/>
        <w:noProof/>
        <w:sz w:val="16"/>
        <w:szCs w:val="16"/>
        <w:lang w:val="en-GB"/>
      </w:rPr>
      <w:t>04.05.16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F11ED">
      <w:rPr>
        <w:rFonts w:cs="Calibri"/>
        <w:noProof/>
        <w:sz w:val="16"/>
        <w:szCs w:val="16"/>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BEE" w:rsidRDefault="004A5BEE" w:rsidP="00057D34">
      <w:pPr>
        <w:spacing w:before="0" w:line="240" w:lineRule="auto"/>
      </w:pPr>
      <w:r>
        <w:separator/>
      </w:r>
    </w:p>
  </w:footnote>
  <w:footnote w:type="continuationSeparator" w:id="0">
    <w:p w:rsidR="004A5BEE" w:rsidRDefault="004A5BEE"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C137C4">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977333">
      <w:rPr>
        <w:rFonts w:cs="Calibri"/>
        <w:noProof/>
        <w:sz w:val="20"/>
        <w:szCs w:val="20"/>
        <w:lang w:val="en-GB"/>
      </w:rPr>
      <w:t>2</w:t>
    </w:r>
    <w:r w:rsidRPr="00057D34">
      <w:rPr>
        <w:rFonts w:cs="Calibri"/>
        <w:sz w:val="20"/>
        <w:szCs w:val="20"/>
      </w:rPr>
      <w:fldChar w:fldCharType="end"/>
    </w:r>
    <w:r w:rsidRPr="00057D34">
      <w:rPr>
        <w:rFonts w:cs="Calibri"/>
        <w:sz w:val="20"/>
        <w:szCs w:val="20"/>
        <w:lang w:val="en-GB"/>
      </w:rPr>
      <w:br/>
      <w:t>RAG</w:t>
    </w:r>
    <w:r w:rsidR="00077146">
      <w:rPr>
        <w:rFonts w:cs="Calibri"/>
        <w:sz w:val="20"/>
        <w:szCs w:val="20"/>
        <w:lang w:val="en-GB"/>
      </w:rPr>
      <w:t>16</w:t>
    </w:r>
    <w:r w:rsidRPr="00057D34">
      <w:rPr>
        <w:rFonts w:cs="Calibri"/>
        <w:sz w:val="20"/>
        <w:szCs w:val="20"/>
        <w:lang w:val="en-GB"/>
      </w:rPr>
      <w:t>/</w:t>
    </w:r>
    <w:r w:rsidR="00E9581C">
      <w:rPr>
        <w:rFonts w:cs="Calibri"/>
        <w:sz w:val="20"/>
        <w:szCs w:val="20"/>
      </w:rPr>
      <w:t>10</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EE"/>
    <w:rsid w:val="00003F0C"/>
    <w:rsid w:val="00027CF7"/>
    <w:rsid w:val="00057D34"/>
    <w:rsid w:val="00077146"/>
    <w:rsid w:val="00090574"/>
    <w:rsid w:val="000C6558"/>
    <w:rsid w:val="000E6A63"/>
    <w:rsid w:val="00127425"/>
    <w:rsid w:val="0017278F"/>
    <w:rsid w:val="00173915"/>
    <w:rsid w:val="001B753F"/>
    <w:rsid w:val="001C4D41"/>
    <w:rsid w:val="0023283D"/>
    <w:rsid w:val="0023626C"/>
    <w:rsid w:val="00275A49"/>
    <w:rsid w:val="002815C1"/>
    <w:rsid w:val="0029290A"/>
    <w:rsid w:val="002978F4"/>
    <w:rsid w:val="002A2AE1"/>
    <w:rsid w:val="002B028D"/>
    <w:rsid w:val="002E6541"/>
    <w:rsid w:val="002F74D8"/>
    <w:rsid w:val="00357185"/>
    <w:rsid w:val="003F678F"/>
    <w:rsid w:val="00410AA5"/>
    <w:rsid w:val="0042686F"/>
    <w:rsid w:val="00443869"/>
    <w:rsid w:val="00464AD3"/>
    <w:rsid w:val="004956D4"/>
    <w:rsid w:val="004A5BEE"/>
    <w:rsid w:val="004E6710"/>
    <w:rsid w:val="004F33F8"/>
    <w:rsid w:val="00501E0E"/>
    <w:rsid w:val="0052583D"/>
    <w:rsid w:val="00533501"/>
    <w:rsid w:val="0055516A"/>
    <w:rsid w:val="005671AB"/>
    <w:rsid w:val="00572286"/>
    <w:rsid w:val="005C0530"/>
    <w:rsid w:val="006C0301"/>
    <w:rsid w:val="006D0554"/>
    <w:rsid w:val="006F0CA9"/>
    <w:rsid w:val="006F11ED"/>
    <w:rsid w:val="006F63F7"/>
    <w:rsid w:val="007056F1"/>
    <w:rsid w:val="00706D7A"/>
    <w:rsid w:val="00734FE5"/>
    <w:rsid w:val="00782D16"/>
    <w:rsid w:val="007D60A2"/>
    <w:rsid w:val="007D7C4A"/>
    <w:rsid w:val="007F5E7C"/>
    <w:rsid w:val="00803F08"/>
    <w:rsid w:val="00812D79"/>
    <w:rsid w:val="008235CD"/>
    <w:rsid w:val="0083097E"/>
    <w:rsid w:val="008513CB"/>
    <w:rsid w:val="00870407"/>
    <w:rsid w:val="00875CA2"/>
    <w:rsid w:val="008A41FB"/>
    <w:rsid w:val="00973413"/>
    <w:rsid w:val="00977333"/>
    <w:rsid w:val="00982B28"/>
    <w:rsid w:val="009C0EE0"/>
    <w:rsid w:val="00A33BE4"/>
    <w:rsid w:val="00A37EAC"/>
    <w:rsid w:val="00A4446C"/>
    <w:rsid w:val="00A700B7"/>
    <w:rsid w:val="00A71856"/>
    <w:rsid w:val="00A93254"/>
    <w:rsid w:val="00A97F94"/>
    <w:rsid w:val="00AF01D5"/>
    <w:rsid w:val="00B44E84"/>
    <w:rsid w:val="00B97CEB"/>
    <w:rsid w:val="00BC1A3F"/>
    <w:rsid w:val="00C137C4"/>
    <w:rsid w:val="00C61D12"/>
    <w:rsid w:val="00C674FE"/>
    <w:rsid w:val="00C75633"/>
    <w:rsid w:val="00CE2EE1"/>
    <w:rsid w:val="00CF3FFD"/>
    <w:rsid w:val="00D06289"/>
    <w:rsid w:val="00D45BE1"/>
    <w:rsid w:val="00D77D0F"/>
    <w:rsid w:val="00DA1CF0"/>
    <w:rsid w:val="00DC24B4"/>
    <w:rsid w:val="00DF16DC"/>
    <w:rsid w:val="00DF42EC"/>
    <w:rsid w:val="00E17033"/>
    <w:rsid w:val="00E45211"/>
    <w:rsid w:val="00E742FB"/>
    <w:rsid w:val="00E9581C"/>
    <w:rsid w:val="00F76873"/>
    <w:rsid w:val="00F84366"/>
    <w:rsid w:val="00F85089"/>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D7AE9FC-22B2-4D71-925E-3DF4C1C0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37EAC"/>
    <w:pPr>
      <w:keepNext/>
      <w:framePr w:hSpace="181" w:wrap="around" w:vAnchor="page" w:hAnchor="text" w:xAlign="center" w:y="721"/>
      <w:spacing w:before="240"/>
      <w:jc w:val="center"/>
    </w:pPr>
    <w:rPr>
      <w:w w:val="120"/>
      <w:sz w:val="28"/>
      <w:szCs w:val="40"/>
      <w:lang w:bidi="ar-EG"/>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history/Pages/ListOfITUConferencesAssembliesAndEvent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news/issue/2000/02/radiocomm.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history/Pages/ITU-TStudyGroup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history/Pages/Home.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860B-34A6-47C7-B6A7-1AE1DA52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47</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31</cp:revision>
  <dcterms:created xsi:type="dcterms:W3CDTF">2016-05-04T06:57:00Z</dcterms:created>
  <dcterms:modified xsi:type="dcterms:W3CDTF">2016-05-04T15:36:00Z</dcterms:modified>
</cp:coreProperties>
</file>