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1526"/>
        <w:gridCol w:w="5245"/>
        <w:gridCol w:w="1559"/>
        <w:gridCol w:w="1559"/>
      </w:tblGrid>
      <w:tr w:rsidR="00D95965" w:rsidRPr="00CE617B" w:rsidTr="00D95965">
        <w:trPr>
          <w:cantSplit/>
        </w:trPr>
        <w:tc>
          <w:tcPr>
            <w:tcW w:w="1526" w:type="dxa"/>
            <w:vAlign w:val="center"/>
          </w:tcPr>
          <w:p w:rsidR="00D95965" w:rsidRPr="00CE617B" w:rsidRDefault="00D95965" w:rsidP="00D95965">
            <w:pPr>
              <w:shd w:val="solid" w:color="FFFFFF" w:fill="FFFFFF"/>
              <w:tabs>
                <w:tab w:val="clear" w:pos="794"/>
                <w:tab w:val="clear" w:pos="1191"/>
                <w:tab w:val="clear" w:pos="1588"/>
                <w:tab w:val="clear" w:pos="1985"/>
                <w:tab w:val="left" w:pos="510"/>
              </w:tabs>
              <w:spacing w:before="0" w:after="100" w:afterAutospacing="1"/>
              <w:rPr>
                <w:rFonts w:ascii="Verdana" w:hAnsi="Verdana"/>
                <w:b/>
                <w:bCs/>
              </w:rPr>
            </w:pPr>
            <w:r w:rsidRPr="00CE617B">
              <w:rPr>
                <w:rFonts w:ascii="Verdana" w:hAnsi="Verdana" w:cs="Times New Roman Bold"/>
                <w:b/>
                <w:bCs/>
                <w:noProof/>
                <w:sz w:val="20"/>
                <w:szCs w:val="26"/>
                <w:lang w:val="en-US" w:eastAsia="zh-CN"/>
              </w:rPr>
              <w:drawing>
                <wp:inline distT="0" distB="0" distL="0" distR="0" wp14:anchorId="512CFF9D" wp14:editId="4657044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95965" w:rsidRPr="00CE617B" w:rsidRDefault="00D95965" w:rsidP="000C06D8">
            <w:pPr>
              <w:shd w:val="solid" w:color="FFFFFF" w:fill="FFFFFF"/>
              <w:spacing w:before="360" w:after="240"/>
              <w:rPr>
                <w:rFonts w:ascii="Verdana" w:hAnsi="Verdana"/>
                <w:b/>
                <w:bCs/>
              </w:rPr>
            </w:pPr>
            <w:r w:rsidRPr="00CE617B">
              <w:rPr>
                <w:rFonts w:ascii="Verdana" w:hAnsi="Verdana" w:cs="Times New Roman Bold"/>
                <w:b/>
                <w:sz w:val="25"/>
                <w:szCs w:val="25"/>
              </w:rPr>
              <w:t>Groupe Consultatif des Radiocommunications</w:t>
            </w:r>
            <w:r w:rsidRPr="00CE617B">
              <w:rPr>
                <w:rFonts w:ascii="Verdana" w:hAnsi="Verdana"/>
                <w:b/>
                <w:sz w:val="25"/>
                <w:szCs w:val="25"/>
              </w:rPr>
              <w:br/>
            </w:r>
            <w:r w:rsidRPr="00CE617B">
              <w:rPr>
                <w:rFonts w:ascii="Verdana" w:hAnsi="Verdana" w:cs="Times New Roman Bold"/>
                <w:b/>
                <w:bCs/>
                <w:sz w:val="20"/>
              </w:rPr>
              <w:t>Genève,</w:t>
            </w:r>
            <w:r w:rsidRPr="00CE617B">
              <w:rPr>
                <w:rFonts w:ascii="Verdana" w:hAnsi="Verdana"/>
                <w:b/>
                <w:bCs/>
                <w:sz w:val="20"/>
              </w:rPr>
              <w:t xml:space="preserve"> 10-13 mai 2016</w:t>
            </w:r>
          </w:p>
        </w:tc>
        <w:tc>
          <w:tcPr>
            <w:tcW w:w="1559" w:type="dxa"/>
          </w:tcPr>
          <w:p w:rsidR="00D95965" w:rsidRPr="00CE617B" w:rsidRDefault="00D95965" w:rsidP="00677EE5">
            <w:pPr>
              <w:shd w:val="solid" w:color="FFFFFF" w:fill="FFFFFF"/>
              <w:spacing w:before="0" w:line="240" w:lineRule="atLeast"/>
              <w:jc w:val="right"/>
            </w:pPr>
            <w:r w:rsidRPr="00CE617B">
              <w:rPr>
                <w:rFonts w:cs="Arial"/>
                <w:noProof/>
                <w:lang w:val="en-US" w:eastAsia="zh-CN"/>
              </w:rPr>
              <w:drawing>
                <wp:inline distT="0" distB="0" distL="0" distR="0" wp14:anchorId="134AD967" wp14:editId="39830934">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2D238A" w:rsidRPr="00CE617B">
        <w:trPr>
          <w:cantSplit/>
        </w:trPr>
        <w:tc>
          <w:tcPr>
            <w:tcW w:w="6771" w:type="dxa"/>
            <w:gridSpan w:val="2"/>
            <w:tcBorders>
              <w:bottom w:val="single" w:sz="12" w:space="0" w:color="auto"/>
            </w:tcBorders>
          </w:tcPr>
          <w:p w:rsidR="002D238A" w:rsidRPr="00CE617B" w:rsidRDefault="00C72A86" w:rsidP="00773E5E">
            <w:pPr>
              <w:shd w:val="solid" w:color="FFFFFF" w:fill="FFFFFF"/>
              <w:spacing w:before="0" w:after="48"/>
              <w:rPr>
                <w:rFonts w:ascii="Verdana" w:hAnsi="Verdana" w:cs="Times New Roman Bold"/>
                <w:b/>
                <w:sz w:val="22"/>
                <w:szCs w:val="22"/>
              </w:rPr>
            </w:pPr>
            <w:r w:rsidRPr="00CE617B">
              <w:rPr>
                <w:rFonts w:ascii="Verdana" w:hAnsi="Verdana"/>
                <w:b/>
                <w:bCs/>
                <w:sz w:val="20"/>
              </w:rPr>
              <w:t>UNION INTERNATIONALE DES TÉLÉCOMMUNICATIONS</w:t>
            </w:r>
          </w:p>
        </w:tc>
        <w:tc>
          <w:tcPr>
            <w:tcW w:w="3118" w:type="dxa"/>
            <w:gridSpan w:val="2"/>
            <w:tcBorders>
              <w:bottom w:val="single" w:sz="12" w:space="0" w:color="auto"/>
            </w:tcBorders>
          </w:tcPr>
          <w:p w:rsidR="002D238A" w:rsidRPr="00CE617B" w:rsidRDefault="002D238A" w:rsidP="00773E5E">
            <w:pPr>
              <w:shd w:val="solid" w:color="FFFFFF" w:fill="FFFFFF"/>
              <w:spacing w:before="0" w:after="48" w:line="240" w:lineRule="atLeast"/>
              <w:rPr>
                <w:sz w:val="22"/>
                <w:szCs w:val="22"/>
              </w:rPr>
            </w:pPr>
          </w:p>
        </w:tc>
      </w:tr>
      <w:tr w:rsidR="002D238A" w:rsidRPr="00CE617B">
        <w:trPr>
          <w:cantSplit/>
        </w:trPr>
        <w:tc>
          <w:tcPr>
            <w:tcW w:w="6771" w:type="dxa"/>
            <w:gridSpan w:val="2"/>
            <w:tcBorders>
              <w:top w:val="single" w:sz="12" w:space="0" w:color="auto"/>
            </w:tcBorders>
          </w:tcPr>
          <w:p w:rsidR="002D238A" w:rsidRPr="00CE617B" w:rsidRDefault="002D238A" w:rsidP="00773E5E">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2D238A" w:rsidRPr="00CE617B" w:rsidRDefault="002D238A" w:rsidP="00773E5E">
            <w:pPr>
              <w:shd w:val="solid" w:color="FFFFFF" w:fill="FFFFFF"/>
              <w:spacing w:before="0" w:after="48" w:line="240" w:lineRule="atLeast"/>
              <w:rPr>
                <w:rFonts w:ascii="Verdana" w:hAnsi="Verdana"/>
                <w:sz w:val="22"/>
                <w:szCs w:val="22"/>
              </w:rPr>
            </w:pPr>
          </w:p>
        </w:tc>
      </w:tr>
      <w:tr w:rsidR="002D238A" w:rsidRPr="00CE617B">
        <w:trPr>
          <w:cantSplit/>
        </w:trPr>
        <w:tc>
          <w:tcPr>
            <w:tcW w:w="6771" w:type="dxa"/>
            <w:gridSpan w:val="2"/>
            <w:vMerge w:val="restart"/>
          </w:tcPr>
          <w:p w:rsidR="002D238A" w:rsidRPr="00CE617B" w:rsidRDefault="002D238A" w:rsidP="00773E5E">
            <w:pPr>
              <w:shd w:val="solid" w:color="FFFFFF" w:fill="FFFFFF"/>
              <w:spacing w:after="240"/>
              <w:rPr>
                <w:sz w:val="20"/>
              </w:rPr>
            </w:pPr>
            <w:bookmarkStart w:id="0" w:name="dnum" w:colFirst="1" w:colLast="1"/>
          </w:p>
        </w:tc>
        <w:tc>
          <w:tcPr>
            <w:tcW w:w="3118" w:type="dxa"/>
            <w:gridSpan w:val="2"/>
          </w:tcPr>
          <w:p w:rsidR="002D238A" w:rsidRPr="00CE617B" w:rsidRDefault="008C174E" w:rsidP="008C174E">
            <w:pPr>
              <w:shd w:val="solid" w:color="FFFFFF" w:fill="FFFFFF"/>
              <w:spacing w:before="0" w:line="240" w:lineRule="atLeast"/>
              <w:rPr>
                <w:rFonts w:ascii="Verdana" w:hAnsi="Verdana"/>
                <w:sz w:val="20"/>
              </w:rPr>
            </w:pPr>
            <w:r w:rsidRPr="00CE617B">
              <w:rPr>
                <w:rFonts w:ascii="Verdana" w:hAnsi="Verdana"/>
                <w:b/>
                <w:sz w:val="20"/>
              </w:rPr>
              <w:t>Document RAG16/6-F</w:t>
            </w:r>
          </w:p>
        </w:tc>
      </w:tr>
      <w:tr w:rsidR="002D238A" w:rsidRPr="00CE617B">
        <w:trPr>
          <w:cantSplit/>
        </w:trPr>
        <w:tc>
          <w:tcPr>
            <w:tcW w:w="6771" w:type="dxa"/>
            <w:gridSpan w:val="2"/>
            <w:vMerge/>
          </w:tcPr>
          <w:p w:rsidR="002D238A" w:rsidRPr="00CE617B" w:rsidRDefault="002D238A" w:rsidP="00773E5E">
            <w:pPr>
              <w:spacing w:before="60"/>
              <w:jc w:val="center"/>
              <w:rPr>
                <w:b/>
                <w:smallCaps/>
                <w:sz w:val="32"/>
              </w:rPr>
            </w:pPr>
            <w:bookmarkStart w:id="1" w:name="ddate" w:colFirst="1" w:colLast="1"/>
            <w:bookmarkEnd w:id="0"/>
          </w:p>
        </w:tc>
        <w:tc>
          <w:tcPr>
            <w:tcW w:w="3118" w:type="dxa"/>
            <w:gridSpan w:val="2"/>
          </w:tcPr>
          <w:p w:rsidR="002D238A" w:rsidRPr="00CE617B" w:rsidRDefault="008C174E" w:rsidP="008C174E">
            <w:pPr>
              <w:shd w:val="solid" w:color="FFFFFF" w:fill="FFFFFF"/>
              <w:spacing w:before="0" w:line="240" w:lineRule="atLeast"/>
              <w:rPr>
                <w:rFonts w:ascii="Verdana" w:hAnsi="Verdana"/>
                <w:sz w:val="20"/>
              </w:rPr>
            </w:pPr>
            <w:r w:rsidRPr="00CE617B">
              <w:rPr>
                <w:rFonts w:ascii="Verdana" w:hAnsi="Verdana"/>
                <w:b/>
                <w:sz w:val="20"/>
              </w:rPr>
              <w:t>18 avril 2016</w:t>
            </w:r>
          </w:p>
        </w:tc>
      </w:tr>
      <w:tr w:rsidR="002D238A" w:rsidRPr="00CE617B">
        <w:trPr>
          <w:cantSplit/>
        </w:trPr>
        <w:tc>
          <w:tcPr>
            <w:tcW w:w="6771" w:type="dxa"/>
            <w:gridSpan w:val="2"/>
            <w:vMerge/>
          </w:tcPr>
          <w:p w:rsidR="002D238A" w:rsidRPr="00CE617B" w:rsidRDefault="002D238A" w:rsidP="00773E5E">
            <w:pPr>
              <w:spacing w:before="60"/>
              <w:jc w:val="center"/>
              <w:rPr>
                <w:b/>
                <w:smallCaps/>
                <w:sz w:val="32"/>
              </w:rPr>
            </w:pPr>
            <w:bookmarkStart w:id="2" w:name="dorlang" w:colFirst="1" w:colLast="1"/>
            <w:bookmarkEnd w:id="1"/>
          </w:p>
        </w:tc>
        <w:tc>
          <w:tcPr>
            <w:tcW w:w="3118" w:type="dxa"/>
            <w:gridSpan w:val="2"/>
          </w:tcPr>
          <w:p w:rsidR="002D238A" w:rsidRPr="00CE617B" w:rsidRDefault="008C174E" w:rsidP="008C174E">
            <w:pPr>
              <w:shd w:val="solid" w:color="FFFFFF" w:fill="FFFFFF"/>
              <w:spacing w:before="0" w:after="120" w:line="240" w:lineRule="atLeast"/>
              <w:rPr>
                <w:rFonts w:ascii="Verdana" w:hAnsi="Verdana"/>
                <w:sz w:val="20"/>
              </w:rPr>
            </w:pPr>
            <w:r w:rsidRPr="00CE617B">
              <w:rPr>
                <w:rFonts w:ascii="Verdana" w:hAnsi="Verdana"/>
                <w:b/>
                <w:sz w:val="20"/>
              </w:rPr>
              <w:t>Original: anglais</w:t>
            </w:r>
          </w:p>
        </w:tc>
      </w:tr>
      <w:tr w:rsidR="002D238A" w:rsidRPr="00CE617B">
        <w:trPr>
          <w:cantSplit/>
        </w:trPr>
        <w:tc>
          <w:tcPr>
            <w:tcW w:w="9889" w:type="dxa"/>
            <w:gridSpan w:val="4"/>
          </w:tcPr>
          <w:p w:rsidR="002D238A" w:rsidRPr="00CE617B" w:rsidRDefault="008C174E" w:rsidP="00773E5E">
            <w:pPr>
              <w:pStyle w:val="Source"/>
            </w:pPr>
            <w:bookmarkStart w:id="3" w:name="dsource" w:colFirst="0" w:colLast="0"/>
            <w:bookmarkEnd w:id="2"/>
            <w:r w:rsidRPr="00CE617B">
              <w:t>République populaire de Chine</w:t>
            </w:r>
          </w:p>
        </w:tc>
      </w:tr>
      <w:tr w:rsidR="002D238A" w:rsidRPr="00CE617B">
        <w:trPr>
          <w:cantSplit/>
        </w:trPr>
        <w:tc>
          <w:tcPr>
            <w:tcW w:w="9889" w:type="dxa"/>
            <w:gridSpan w:val="4"/>
          </w:tcPr>
          <w:p w:rsidR="002D238A" w:rsidRPr="00CE617B" w:rsidRDefault="008C174E" w:rsidP="003B3B35">
            <w:pPr>
              <w:pStyle w:val="Title1"/>
            </w:pPr>
            <w:bookmarkStart w:id="4" w:name="lt_pId009"/>
            <w:bookmarkStart w:id="5" w:name="dtitle1" w:colFirst="0" w:colLast="0"/>
            <w:bookmarkEnd w:id="3"/>
            <w:r w:rsidRPr="00CE617B">
              <w:t>Proposition relative au délai de présentation</w:t>
            </w:r>
            <w:r w:rsidR="0048486A" w:rsidRPr="00CE617B">
              <w:t xml:space="preserve"> </w:t>
            </w:r>
            <w:r w:rsidR="003B3B35">
              <w:t xml:space="preserve">DEs </w:t>
            </w:r>
            <w:r w:rsidRPr="00CE617B">
              <w:t>contributions pour la</w:t>
            </w:r>
            <w:bookmarkStart w:id="6" w:name="lt_pId010"/>
            <w:bookmarkEnd w:id="4"/>
            <w:r w:rsidR="003B3B35">
              <w:t xml:space="preserve"> </w:t>
            </w:r>
            <w:r w:rsidR="0048486A" w:rsidRPr="00CE617B">
              <w:t>Conférence mondiale des </w:t>
            </w:r>
            <w:r w:rsidRPr="00CE617B">
              <w:t>radiocommunications de 2019</w:t>
            </w:r>
            <w:r w:rsidR="003B3B35">
              <w:t xml:space="preserve"> </w:t>
            </w:r>
            <w:r w:rsidRPr="00CE617B">
              <w:t>(CMR-19)</w:t>
            </w:r>
            <w:bookmarkEnd w:id="6"/>
            <w:r w:rsidR="003B3B35">
              <w:br/>
            </w:r>
            <w:r w:rsidR="003B3B35" w:rsidRPr="00CE617B">
              <w:t>au titre du point 10 de l'ordre du jour</w:t>
            </w:r>
          </w:p>
        </w:tc>
      </w:tr>
      <w:tr w:rsidR="008C174E" w:rsidRPr="00CE617B">
        <w:trPr>
          <w:cantSplit/>
        </w:trPr>
        <w:tc>
          <w:tcPr>
            <w:tcW w:w="9889" w:type="dxa"/>
            <w:gridSpan w:val="4"/>
          </w:tcPr>
          <w:p w:rsidR="008C174E" w:rsidRPr="00CE617B" w:rsidRDefault="008C174E" w:rsidP="00773E5E">
            <w:pPr>
              <w:pStyle w:val="Title1"/>
            </w:pPr>
          </w:p>
        </w:tc>
      </w:tr>
    </w:tbl>
    <w:p w:rsidR="0048486A" w:rsidRPr="00CE617B" w:rsidRDefault="0048486A" w:rsidP="0048486A">
      <w:pPr>
        <w:pStyle w:val="Heading1"/>
      </w:pPr>
      <w:bookmarkStart w:id="7" w:name="_Toc446060751"/>
      <w:bookmarkEnd w:id="5"/>
      <w:r w:rsidRPr="00CE617B">
        <w:t>1</w:t>
      </w:r>
      <w:r w:rsidRPr="00CE617B">
        <w:tab/>
      </w:r>
      <w:bookmarkStart w:id="8" w:name="lt_pId013"/>
      <w:bookmarkEnd w:id="7"/>
      <w:r w:rsidRPr="00CE617B">
        <w:t>Introduction</w:t>
      </w:r>
      <w:bookmarkEnd w:id="8"/>
    </w:p>
    <w:p w:rsidR="0048486A" w:rsidRPr="00CE617B" w:rsidRDefault="0048486A" w:rsidP="00C650E1">
      <w:bookmarkStart w:id="9" w:name="lt_pId014"/>
      <w:r w:rsidRPr="00CE617B">
        <w:t xml:space="preserve">La Conférence mondiale des radiocommunications de 2015 (Genève, 2015) </w:t>
      </w:r>
      <w:r w:rsidR="00D438CF">
        <w:t>a décidé,</w:t>
      </w:r>
      <w:r w:rsidRPr="00CE617B">
        <w:t xml:space="preserve"> dans sa </w:t>
      </w:r>
      <w:hyperlink r:id="rId8" w:history="1">
        <w:r w:rsidRPr="00CE617B">
          <w:rPr>
            <w:rStyle w:val="Hyperlink"/>
          </w:rPr>
          <w:t>Résolution 809 [COM6/16]</w:t>
        </w:r>
      </w:hyperlink>
      <w:r w:rsidR="00C650E1">
        <w:t xml:space="preserve">, </w:t>
      </w:r>
      <w:r w:rsidRPr="00CE617B">
        <w:t xml:space="preserve">de recommander au Conseil des points à inscrire à l'ordre du jour de la Conférence mondiale des radiocommunications </w:t>
      </w:r>
      <w:r w:rsidR="00B246E9" w:rsidRPr="00CE617B">
        <w:t>de</w:t>
      </w:r>
      <w:r w:rsidRPr="00CE617B">
        <w:t xml:space="preserve"> 2019.</w:t>
      </w:r>
      <w:bookmarkEnd w:id="9"/>
      <w:r w:rsidRPr="00CE617B">
        <w:t xml:space="preserve"> </w:t>
      </w:r>
      <w:bookmarkStart w:id="10" w:name="lt_pId015"/>
      <w:r w:rsidR="00B246E9" w:rsidRPr="00CE617B">
        <w:t>Au titre du</w:t>
      </w:r>
      <w:r w:rsidRPr="00CE617B">
        <w:t xml:space="preserve"> point 10 de l'ordre du jour de la CMR-19</w:t>
      </w:r>
      <w:r w:rsidR="00B246E9" w:rsidRPr="00CE617B">
        <w:t>, il est décidé de recommander</w:t>
      </w:r>
      <w:r w:rsidRPr="00CE617B">
        <w:t xml:space="preserve"> au Co</w:t>
      </w:r>
      <w:bookmarkStart w:id="11" w:name="_GoBack"/>
      <w:bookmarkEnd w:id="11"/>
      <w:r w:rsidRPr="00CE617B">
        <w:t xml:space="preserve">nseil des points à inscrire à l'ordre du jour de la CMR suivante et </w:t>
      </w:r>
      <w:r w:rsidR="00B246E9" w:rsidRPr="00CE617B">
        <w:t>d'</w:t>
      </w:r>
      <w:r w:rsidRPr="00CE617B">
        <w:t>exposer ses vues sur l'ordre du jour préliminaire de la conférence ultérieure ainsi que sur des points éventuels à inscrire à l'ordre du jour de conférences futures, conformément à l'article 7 de la Convention.</w:t>
      </w:r>
      <w:bookmarkEnd w:id="10"/>
    </w:p>
    <w:p w:rsidR="0048486A" w:rsidRPr="00CE617B" w:rsidRDefault="0048486A" w:rsidP="0048486A">
      <w:bookmarkStart w:id="12" w:name="lt_pId016"/>
      <w:r w:rsidRPr="00CE617B">
        <w:t>Le présent document détaille certaines réflexions de la part de la République populaire de Chine quant au délai de présentation des contributions pour la CMR-19 au titre du point 10 de l'ordre du jour.</w:t>
      </w:r>
      <w:bookmarkEnd w:id="12"/>
    </w:p>
    <w:p w:rsidR="0048486A" w:rsidRPr="00CE617B" w:rsidRDefault="0048486A" w:rsidP="0048486A">
      <w:pPr>
        <w:pStyle w:val="Heading1"/>
      </w:pPr>
      <w:bookmarkStart w:id="13" w:name="_Toc446060752"/>
      <w:r w:rsidRPr="00CE617B">
        <w:t>2</w:t>
      </w:r>
      <w:r w:rsidRPr="00CE617B">
        <w:tab/>
      </w:r>
      <w:bookmarkStart w:id="14" w:name="lt_pId018"/>
      <w:bookmarkEnd w:id="13"/>
      <w:r w:rsidRPr="00CE617B">
        <w:t>Questions et éléments de réflexion</w:t>
      </w:r>
      <w:bookmarkEnd w:id="14"/>
    </w:p>
    <w:p w:rsidR="0048486A" w:rsidRPr="00CE617B" w:rsidRDefault="0048486A" w:rsidP="0048486A">
      <w:bookmarkStart w:id="15" w:name="lt_pId019"/>
      <w:r w:rsidRPr="00CE617B">
        <w:t>Conformément au numéro 40 des Règles générales régissant les conférences, assemblées et réunions de l'Union relatif aux délais et modalités de présentation des propositions et des rapports aux conférences, immédiatement après l'envoi des invitations, le Secrétaire général prie les Etats Membres de lui faire parvenir, au moins quatre mois avant la date d'ouverture de la conférence, leurs propositions pour les travaux de la conférence.</w:t>
      </w:r>
      <w:bookmarkEnd w:id="15"/>
      <w:r w:rsidRPr="00CE617B">
        <w:t xml:space="preserve"> </w:t>
      </w:r>
      <w:bookmarkStart w:id="16" w:name="lt_pId020"/>
      <w:r w:rsidRPr="00CE617B">
        <w:t xml:space="preserve">Conformément au numéro 46 des mêmes </w:t>
      </w:r>
      <w:r w:rsidR="00B246E9" w:rsidRPr="00CE617B">
        <w:t>R</w:t>
      </w:r>
      <w:r w:rsidRPr="00CE617B">
        <w:t>ègles</w:t>
      </w:r>
      <w:r w:rsidR="00B246E9" w:rsidRPr="00CE617B">
        <w:t xml:space="preserve"> générales</w:t>
      </w:r>
      <w:r w:rsidRPr="00CE617B">
        <w:t>, les propositions reçues après la date limite spécifiée au numéro</w:t>
      </w:r>
      <w:bookmarkEnd w:id="16"/>
      <w:r w:rsidRPr="00CE617B">
        <w:t> </w:t>
      </w:r>
      <w:bookmarkStart w:id="17" w:name="lt_pId021"/>
      <w:r w:rsidRPr="00CE617B">
        <w:t>40 ci-dessus sont communiquées à tous les Etats Membres par le Secrétaire général dès que cela est réalisable et sont mises à disposition par des moyens électroniques.</w:t>
      </w:r>
      <w:bookmarkEnd w:id="17"/>
    </w:p>
    <w:p w:rsidR="0048486A" w:rsidRPr="00CE617B" w:rsidRDefault="0048486A" w:rsidP="00B246E9">
      <w:bookmarkStart w:id="18" w:name="lt_pId022"/>
      <w:r w:rsidRPr="00CE617B">
        <w:t>Pendant la CMR-15, pour pouvoir, conformément à la Résolution 165 (Guadalajara, 2010)</w:t>
      </w:r>
      <w:r w:rsidR="00B246E9" w:rsidRPr="00CE617B">
        <w:t xml:space="preserve"> de la Conférence de plénipotentiaires</w:t>
      </w:r>
      <w:r w:rsidRPr="00CE617B">
        <w:t>, assurer la traduction dans les délais voulus des documents soumis à la conférence ainsi que leur examen approfondi par les délégations, les Etats Membres ont dû présenter leurs propositions au plus tard quatorze (14) jours avant le début de la conférence (</w:t>
      </w:r>
      <w:hyperlink r:id="rId9" w:history="1">
        <w:r w:rsidRPr="00CE617B">
          <w:rPr>
            <w:rStyle w:val="Hyperlink"/>
            <w:lang w:eastAsia="zh-CN"/>
          </w:rPr>
          <w:t>http://www.itu.int/md/R00-CA-CIR-0219/en</w:t>
        </w:r>
      </w:hyperlink>
      <w:r w:rsidRPr="00CE617B">
        <w:t>).</w:t>
      </w:r>
      <w:bookmarkEnd w:id="18"/>
      <w:r w:rsidRPr="00CE617B">
        <w:t xml:space="preserve"> </w:t>
      </w:r>
      <w:bookmarkStart w:id="19" w:name="lt_pId023"/>
      <w:r w:rsidRPr="00CE617B">
        <w:t xml:space="preserve">Toutefois, dans la réalité, il n'est pas possible de </w:t>
      </w:r>
      <w:r w:rsidRPr="00CE617B">
        <w:lastRenderedPageBreak/>
        <w:t xml:space="preserve">mettre les contributions à la disposition des Etats Membres dans les six langues officielles </w:t>
      </w:r>
      <w:r w:rsidR="00B246E9" w:rsidRPr="00CE617B">
        <w:t>moins</w:t>
      </w:r>
      <w:r w:rsidRPr="00CE617B">
        <w:t xml:space="preserve"> d'une semaine avant le début de la conférence.</w:t>
      </w:r>
      <w:bookmarkEnd w:id="19"/>
      <w:r w:rsidRPr="00CE617B">
        <w:t xml:space="preserve"> </w:t>
      </w:r>
      <w:bookmarkStart w:id="20" w:name="lt_pId024"/>
      <w:r w:rsidRPr="00CE617B">
        <w:t xml:space="preserve">En comparaison avec d'autres points </w:t>
      </w:r>
      <w:r w:rsidR="00B246E9" w:rsidRPr="00CE617B">
        <w:t>de</w:t>
      </w:r>
      <w:r w:rsidRPr="00CE617B">
        <w:t xml:space="preserve"> l'ordre du jour, le point 10 </w:t>
      </w:r>
      <w:r w:rsidR="00B246E9" w:rsidRPr="00CE617B">
        <w:t xml:space="preserve">de l'ordre du jour </w:t>
      </w:r>
      <w:r w:rsidRPr="00CE617B">
        <w:t xml:space="preserve">est de portée générale et a trait aux </w:t>
      </w:r>
      <w:r w:rsidR="00B246E9" w:rsidRPr="00CE617B">
        <w:t>attribu</w:t>
      </w:r>
      <w:r w:rsidRPr="00CE617B">
        <w:t xml:space="preserve">tions et aux modifications de dispositions réglementaires liées à la fois aux services spatiaux et </w:t>
      </w:r>
      <w:r w:rsidR="00B246E9" w:rsidRPr="00CE617B">
        <w:t xml:space="preserve">aux services </w:t>
      </w:r>
      <w:r w:rsidRPr="00CE617B">
        <w:t>de Terre.</w:t>
      </w:r>
      <w:bookmarkEnd w:id="20"/>
      <w:r w:rsidRPr="00CE617B">
        <w:t xml:space="preserve"> </w:t>
      </w:r>
      <w:bookmarkStart w:id="21" w:name="lt_pId025"/>
      <w:r w:rsidRPr="00CE617B">
        <w:t>En outre, le rapport de la RPC ne contient que peu de questions au titre du point 10.</w:t>
      </w:r>
      <w:bookmarkEnd w:id="21"/>
      <w:r w:rsidRPr="00CE617B">
        <w:t xml:space="preserve"> </w:t>
      </w:r>
      <w:bookmarkStart w:id="22" w:name="lt_pId026"/>
      <w:r w:rsidRPr="00CE617B">
        <w:t>A titre d'exemple, lors de la CMR-15, la conférence a reçu 26 contributions au titre du point 10, parmi lesquelles 99 propositions.</w:t>
      </w:r>
      <w:bookmarkEnd w:id="22"/>
      <w:r w:rsidRPr="00CE617B">
        <w:t xml:space="preserve"> </w:t>
      </w:r>
      <w:bookmarkStart w:id="23" w:name="lt_pId027"/>
      <w:r w:rsidRPr="00CE617B">
        <w:t>En raison du temps très limité dont ils disposaient, les Etats Membres ont tout juste eu le temps d'examiner en profondeur certaines de</w:t>
      </w:r>
      <w:r w:rsidR="00B246E9" w:rsidRPr="00CE617B">
        <w:t xml:space="preserve"> ce</w:t>
      </w:r>
      <w:r w:rsidRPr="00CE617B">
        <w:t xml:space="preserve">s propositions, </w:t>
      </w:r>
      <w:r w:rsidR="00B246E9" w:rsidRPr="00CE617B">
        <w:t xml:space="preserve">d'où </w:t>
      </w:r>
      <w:r w:rsidRPr="00CE617B">
        <w:t>une baisse de l'efficacité de la conférence et, dans certains cas, une détérioration</w:t>
      </w:r>
      <w:r w:rsidR="00B246E9" w:rsidRPr="00CE617B">
        <w:t xml:space="preserve"> de la qualité de son</w:t>
      </w:r>
      <w:r w:rsidRPr="00CE617B">
        <w:t xml:space="preserve"> travail.</w:t>
      </w:r>
      <w:bookmarkEnd w:id="23"/>
    </w:p>
    <w:p w:rsidR="0048486A" w:rsidRPr="00CE617B" w:rsidRDefault="0048486A" w:rsidP="0048486A">
      <w:pPr>
        <w:pStyle w:val="Heading1"/>
      </w:pPr>
      <w:bookmarkStart w:id="24" w:name="_Toc446060758"/>
      <w:r w:rsidRPr="00CE617B">
        <w:t>3</w:t>
      </w:r>
      <w:r w:rsidRPr="00CE617B">
        <w:tab/>
      </w:r>
      <w:bookmarkStart w:id="25" w:name="lt_pId029"/>
      <w:bookmarkEnd w:id="24"/>
      <w:r w:rsidRPr="00CE617B">
        <w:t>Proposition</w:t>
      </w:r>
      <w:bookmarkEnd w:id="25"/>
    </w:p>
    <w:p w:rsidR="00EC0F12" w:rsidRPr="00CE617B" w:rsidRDefault="0048486A" w:rsidP="00B246E9">
      <w:bookmarkStart w:id="26" w:name="lt_pId030"/>
      <w:r w:rsidRPr="00CE617B">
        <w:t xml:space="preserve">Pour pouvoir assurer la traduction dans les délais voulus des documents présentés à la CMR-19 au titre du point 10 </w:t>
      </w:r>
      <w:r w:rsidR="00B246E9" w:rsidRPr="00CE617B">
        <w:t>de l'ordre du jour</w:t>
      </w:r>
      <w:r w:rsidR="00D438CF">
        <w:t>,</w:t>
      </w:r>
      <w:r w:rsidR="00B246E9" w:rsidRPr="00CE617B">
        <w:t xml:space="preserve"> </w:t>
      </w:r>
      <w:r w:rsidRPr="00CE617B">
        <w:t>ainsi que leur examen approfondi par les délégations, l'Union devrait encourager les Etats Membres ainsi que les groupes régionaux à soumettre leurs contribu</w:t>
      </w:r>
      <w:r w:rsidR="00B246E9" w:rsidRPr="00CE617B">
        <w:t>tions relevant de ce</w:t>
      </w:r>
      <w:r w:rsidRPr="00CE617B">
        <w:t xml:space="preserve"> point au plus tard un mois avant l</w:t>
      </w:r>
      <w:r w:rsidR="00B246E9" w:rsidRPr="00CE617B">
        <w:t xml:space="preserve">e début </w:t>
      </w:r>
      <w:r w:rsidRPr="00CE617B">
        <w:t>de la CMR-19.</w:t>
      </w:r>
      <w:bookmarkEnd w:id="26"/>
    </w:p>
    <w:p w:rsidR="0048486A" w:rsidRPr="00CE617B" w:rsidRDefault="0048486A" w:rsidP="0048486A"/>
    <w:p w:rsidR="0048486A" w:rsidRPr="00CE617B" w:rsidRDefault="0048486A" w:rsidP="0032202E">
      <w:pPr>
        <w:pStyle w:val="Reasons"/>
        <w:rPr>
          <w:lang w:val="fr-FR"/>
        </w:rPr>
      </w:pPr>
    </w:p>
    <w:p w:rsidR="0048486A" w:rsidRPr="00CE617B" w:rsidRDefault="0048486A">
      <w:pPr>
        <w:jc w:val="center"/>
      </w:pPr>
      <w:r w:rsidRPr="00CE617B">
        <w:t>______________</w:t>
      </w:r>
    </w:p>
    <w:p w:rsidR="0048486A" w:rsidRPr="00CE617B" w:rsidRDefault="0048486A" w:rsidP="0048486A"/>
    <w:sectPr w:rsidR="0048486A" w:rsidRPr="00CE617B">
      <w:headerReference w:type="even" r:id="rId10"/>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74E" w:rsidRDefault="008C174E">
      <w:r>
        <w:separator/>
      </w:r>
    </w:p>
  </w:endnote>
  <w:endnote w:type="continuationSeparator" w:id="0">
    <w:p w:rsidR="008C174E" w:rsidRDefault="008C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CE617B">
      <w:rPr>
        <w:lang w:val="en-US"/>
      </w:rPr>
      <w:t>P:\FRA\ITU-R\AG\RAG\RAG16\000\006F.docx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C650E1">
      <w:t>02.05.16</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CE617B">
      <w:t>27.04.16</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CE617B" w:rsidRDefault="00CE617B" w:rsidP="00CE617B">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P:\FRA\ITU-R\AG\RAG\RAG16\000\006F.docx</w:t>
    </w:r>
    <w:r>
      <w:rPr>
        <w:lang w:val="en-US"/>
      </w:rPr>
      <w:fldChar w:fldCharType="end"/>
    </w:r>
    <w:r>
      <w:rPr>
        <w:lang w:val="en-US"/>
      </w:rPr>
      <w:t xml:space="preserve"> (396966)</w:t>
    </w:r>
    <w:r>
      <w:rPr>
        <w:lang w:val="en-US"/>
      </w:rPr>
      <w:tab/>
    </w:r>
    <w:r>
      <w:fldChar w:fldCharType="begin"/>
    </w:r>
    <w:r>
      <w:instrText xml:space="preserve"> savedate \@ dd.MM.yy </w:instrText>
    </w:r>
    <w:r>
      <w:fldChar w:fldCharType="separate"/>
    </w:r>
    <w:r w:rsidR="00C650E1">
      <w:t>02.05.16</w:t>
    </w:r>
    <w:r>
      <w:fldChar w:fldCharType="end"/>
    </w:r>
    <w:r>
      <w:rPr>
        <w:lang w:val="en-US"/>
      </w:rPr>
      <w:tab/>
    </w:r>
    <w:r>
      <w:fldChar w:fldCharType="begin"/>
    </w:r>
    <w:r>
      <w:instrText xml:space="preserve"> printdate \@ dd.MM.yy </w:instrText>
    </w:r>
    <w:r>
      <w:fldChar w:fldCharType="separate"/>
    </w:r>
    <w:r>
      <w:t>27.04.16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CE617B">
      <w:rPr>
        <w:lang w:val="en-US"/>
      </w:rPr>
      <w:t>P:\FRA\ITU-R\AG\RAG\RAG16\000\006F.docx</w:t>
    </w:r>
    <w:r>
      <w:rPr>
        <w:lang w:val="en-US"/>
      </w:rPr>
      <w:fldChar w:fldCharType="end"/>
    </w:r>
    <w:r w:rsidR="00CE617B">
      <w:rPr>
        <w:lang w:val="en-US"/>
      </w:rPr>
      <w:t xml:space="preserve"> (396966)</w:t>
    </w:r>
    <w:r w:rsidR="00847AAC">
      <w:rPr>
        <w:lang w:val="en-US"/>
      </w:rPr>
      <w:tab/>
    </w:r>
    <w:r w:rsidR="00847AAC">
      <w:fldChar w:fldCharType="begin"/>
    </w:r>
    <w:r w:rsidR="00847AAC">
      <w:instrText xml:space="preserve"> savedate \@ dd.MM.yy </w:instrText>
    </w:r>
    <w:r w:rsidR="00847AAC">
      <w:fldChar w:fldCharType="separate"/>
    </w:r>
    <w:r w:rsidR="00C650E1">
      <w:t>02.05.16</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CE617B">
      <w:t>27.04.16</w:t>
    </w:r>
    <w:r w:rsidR="00847A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74E" w:rsidRDefault="008C174E">
      <w:r>
        <w:t>____________________</w:t>
      </w:r>
    </w:p>
  </w:footnote>
  <w:footnote w:type="continuationSeparator" w:id="0">
    <w:p w:rsidR="008C174E" w:rsidRDefault="008C1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C650E1">
      <w:rPr>
        <w:noProof/>
      </w:rPr>
      <w:t>2</w:t>
    </w:r>
    <w:r>
      <w:rPr>
        <w:noProof/>
      </w:rPr>
      <w:fldChar w:fldCharType="end"/>
    </w:r>
  </w:p>
  <w:p w:rsidR="00847AAC" w:rsidRDefault="0097156E" w:rsidP="00CE617B">
    <w:pPr>
      <w:pStyle w:val="Header"/>
      <w:rPr>
        <w:lang w:val="es-ES"/>
      </w:rPr>
    </w:pPr>
    <w:r>
      <w:rPr>
        <w:lang w:val="es-ES"/>
      </w:rPr>
      <w:t>RAG</w:t>
    </w:r>
    <w:r w:rsidR="00925627">
      <w:rPr>
        <w:lang w:val="es-ES"/>
      </w:rPr>
      <w:t>1</w:t>
    </w:r>
    <w:r w:rsidR="00EC0F12">
      <w:rPr>
        <w:lang w:val="es-ES"/>
      </w:rPr>
      <w:t>6</w:t>
    </w:r>
    <w:r w:rsidR="00847AAC">
      <w:rPr>
        <w:lang w:val="es-ES"/>
      </w:rPr>
      <w:t>/</w:t>
    </w:r>
    <w:r w:rsidR="00CE617B">
      <w:rPr>
        <w:lang w:val="es-ES"/>
      </w:rPr>
      <w:t>6</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E"/>
    <w:rsid w:val="000C06D8"/>
    <w:rsid w:val="00140AE6"/>
    <w:rsid w:val="002D238A"/>
    <w:rsid w:val="003A6CEE"/>
    <w:rsid w:val="003B3B35"/>
    <w:rsid w:val="0048486A"/>
    <w:rsid w:val="005207F5"/>
    <w:rsid w:val="005430E4"/>
    <w:rsid w:val="0067019B"/>
    <w:rsid w:val="00677EE5"/>
    <w:rsid w:val="00694DEF"/>
    <w:rsid w:val="00773E5E"/>
    <w:rsid w:val="00847AAC"/>
    <w:rsid w:val="008C174E"/>
    <w:rsid w:val="00925627"/>
    <w:rsid w:val="0093101F"/>
    <w:rsid w:val="0097156E"/>
    <w:rsid w:val="00A9055C"/>
    <w:rsid w:val="00AB7F92"/>
    <w:rsid w:val="00AC39EE"/>
    <w:rsid w:val="00B246E9"/>
    <w:rsid w:val="00B41D84"/>
    <w:rsid w:val="00BA0C7B"/>
    <w:rsid w:val="00BC4591"/>
    <w:rsid w:val="00C650E1"/>
    <w:rsid w:val="00C72A86"/>
    <w:rsid w:val="00CC5B9E"/>
    <w:rsid w:val="00CC7208"/>
    <w:rsid w:val="00CE617B"/>
    <w:rsid w:val="00D228F7"/>
    <w:rsid w:val="00D34E1C"/>
    <w:rsid w:val="00D438CF"/>
    <w:rsid w:val="00D95965"/>
    <w:rsid w:val="00DD55EB"/>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E32DE7-9669-415F-A8FE-4EDCA552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Heading1Char">
    <w:name w:val="Heading 1 Char"/>
    <w:basedOn w:val="DefaultParagraphFont"/>
    <w:link w:val="Heading1"/>
    <w:rsid w:val="0048486A"/>
    <w:rPr>
      <w:rFonts w:ascii="Times New Roman" w:hAnsi="Times New Roman"/>
      <w:b/>
      <w:sz w:val="24"/>
      <w:lang w:val="fr-FR" w:eastAsia="en-US"/>
    </w:rPr>
  </w:style>
  <w:style w:type="paragraph" w:customStyle="1" w:styleId="Reasons">
    <w:name w:val="Reasons"/>
    <w:basedOn w:val="Normal"/>
    <w:qFormat/>
    <w:rsid w:val="0048486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unhideWhenUsed/>
    <w:rsid w:val="0048486A"/>
    <w:rPr>
      <w:color w:val="0000FF" w:themeColor="hyperlink"/>
      <w:u w:val="single"/>
    </w:rPr>
  </w:style>
  <w:style w:type="character" w:styleId="FollowedHyperlink">
    <w:name w:val="FollowedHyperlink"/>
    <w:basedOn w:val="DefaultParagraphFont"/>
    <w:semiHidden/>
    <w:unhideWhenUsed/>
    <w:rsid w:val="004848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ACT-WRC.12-2015/f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tu.int/md/R00-CA-CIR-0219/en"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PF_RAG16.dotm</Template>
  <TotalTime>14</TotalTime>
  <Pages>2</Pages>
  <Words>586</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PROPOSITION RELATIVE AU DÉLAI DE PRÉSENTATION DES CONTRIBUTIONS POUR LA CONFÉRENCE MONDIALE DES RADIOCOMMUNICATIONS DE 2019 (CMR-19)</vt:lpstr>
    </vt:vector>
  </TitlesOfParts>
  <Manager>General Secretariat - Pool</Manager>
  <Company>International Telecommunication Union (ITU)</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RELATIVE AU DÉLAI DE PRÉSENTATION DES CONTRIBUTIONS POUR LA CONFÉRENCE MONDIALE DES RADIOCOMMUNICATIONS DE 2019 (CMR-19)</dc:title>
  <dc:subject>GROUPE CONSULTATIF DES RADIOCOMMUNICATIONS</dc:subject>
  <dc:creator>République populaire de Chine</dc:creator>
  <cp:keywords>RAG03-1</cp:keywords>
  <dc:description>Document RAG16/6-F  For: _x000d_Document date: 18 avril 2016_x000d_Saved by ITU51009313 at 16:46:07 on 27/04/2016</dc:description>
  <cp:lastModifiedBy>Saxod, Nathalie</cp:lastModifiedBy>
  <cp:revision>7</cp:revision>
  <cp:lastPrinted>2016-04-27T14:42:00Z</cp:lastPrinted>
  <dcterms:created xsi:type="dcterms:W3CDTF">2016-04-27T14:33:00Z</dcterms:created>
  <dcterms:modified xsi:type="dcterms:W3CDTF">2016-05-02T08:45:00Z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RAG16/6-F</vt:lpwstr>
  </property>
  <property fmtid="{D5CDD505-2E9C-101B-9397-08002B2CF9AE}" pid="3" name="Docdate">
    <vt:lpwstr>18 avril 2016</vt:lpwstr>
  </property>
  <property fmtid="{D5CDD505-2E9C-101B-9397-08002B2CF9AE}" pid="4" name="Docorlang">
    <vt:lpwstr>Original: anglais</vt:lpwstr>
  </property>
  <property fmtid="{D5CDD505-2E9C-101B-9397-08002B2CF9AE}" pid="5" name="Docauthor">
    <vt:lpwstr>République populaire de Chine</vt:lpwstr>
  </property>
</Properties>
</file>