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175A1D" w:rsidRPr="00875E94" w:rsidTr="006D2093">
        <w:trPr>
          <w:cantSplit/>
          <w:trHeight w:val="1170"/>
        </w:trPr>
        <w:tc>
          <w:tcPr>
            <w:tcW w:w="1701" w:type="dxa"/>
            <w:vAlign w:val="center"/>
          </w:tcPr>
          <w:p w:rsidR="00175A1D" w:rsidRPr="00875E94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875E94">
              <w:rPr>
                <w:b/>
                <w:bCs/>
                <w:noProof/>
                <w:lang w:val="en-GB" w:eastAsia="zh-CN"/>
              </w:rPr>
              <w:drawing>
                <wp:inline distT="0" distB="0" distL="0" distR="0" wp14:anchorId="26DFD0FC" wp14:editId="7361157B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175A1D" w:rsidRPr="00875E94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75E9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75E9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75E94">
              <w:rPr>
                <w:rFonts w:ascii="Verdana" w:hAnsi="Verdana" w:cs="Times New Roman Bold"/>
                <w:b/>
                <w:sz w:val="18"/>
                <w:szCs w:val="18"/>
              </w:rPr>
              <w:t>Женева, 10</w:t>
            </w:r>
            <w:r w:rsidRPr="00875E94">
              <w:rPr>
                <w:rFonts w:ascii="Verdana" w:hAnsi="Verdana"/>
                <w:b/>
                <w:bCs/>
                <w:sz w:val="18"/>
                <w:szCs w:val="16"/>
              </w:rPr>
              <w:t>–13 мая 2016 года</w:t>
            </w:r>
          </w:p>
        </w:tc>
        <w:tc>
          <w:tcPr>
            <w:tcW w:w="2234" w:type="dxa"/>
          </w:tcPr>
          <w:p w:rsidR="00175A1D" w:rsidRPr="00875E94" w:rsidRDefault="00175A1D" w:rsidP="006D2093">
            <w:pPr>
              <w:shd w:val="solid" w:color="FFFFFF" w:fill="FFFFFF"/>
              <w:spacing w:before="0"/>
              <w:jc w:val="right"/>
            </w:pPr>
            <w:r w:rsidRPr="00875E94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6E8209E4" wp14:editId="0DC25390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1D" w:rsidRPr="00875E94" w:rsidTr="006D2093">
        <w:trPr>
          <w:cantSplit/>
          <w:trHeight w:val="227"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175A1D" w:rsidRPr="00875E94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  <w:r w:rsidRPr="00875E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175A1D" w:rsidRPr="00875E94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875E94" w:rsidTr="006D209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175A1D" w:rsidRPr="00875E94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175A1D" w:rsidRPr="00875E94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875E94" w:rsidTr="00AD0DF1">
        <w:trPr>
          <w:cantSplit/>
          <w:trHeight w:val="227"/>
        </w:trPr>
        <w:tc>
          <w:tcPr>
            <w:tcW w:w="6521" w:type="dxa"/>
            <w:gridSpan w:val="2"/>
            <w:vMerge w:val="restart"/>
          </w:tcPr>
          <w:p w:rsidR="00175A1D" w:rsidRPr="00875E94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875E94" w:rsidRDefault="00FB6874" w:rsidP="00AD0DF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Пересмотр 1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="00175A1D" w:rsidRPr="00875E9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</w:rPr>
              <w:t>а</w:t>
            </w:r>
            <w:r w:rsidR="00175A1D" w:rsidRPr="00875E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175A1D" w:rsidRPr="00875E94">
              <w:rPr>
                <w:rFonts w:ascii="Verdana" w:hAnsi="Verdana"/>
                <w:b/>
                <w:sz w:val="18"/>
                <w:szCs w:val="18"/>
              </w:rPr>
              <w:t>RAG16</w:t>
            </w:r>
            <w:proofErr w:type="spellEnd"/>
            <w:r w:rsidR="00175A1D" w:rsidRPr="00875E94">
              <w:rPr>
                <w:rFonts w:ascii="Verdana" w:hAnsi="Verdana"/>
                <w:b/>
                <w:sz w:val="18"/>
                <w:szCs w:val="18"/>
              </w:rPr>
              <w:t>/1-R</w:t>
            </w:r>
          </w:p>
        </w:tc>
      </w:tr>
      <w:tr w:rsidR="00175A1D" w:rsidRPr="00875E94" w:rsidTr="006D2093">
        <w:trPr>
          <w:cantSplit/>
          <w:trHeight w:val="227"/>
        </w:trPr>
        <w:tc>
          <w:tcPr>
            <w:tcW w:w="6521" w:type="dxa"/>
            <w:gridSpan w:val="2"/>
            <w:vMerge/>
          </w:tcPr>
          <w:p w:rsidR="00175A1D" w:rsidRPr="00875E94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875E94" w:rsidRDefault="00FB6874" w:rsidP="00AD0DF1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18 апреля</w:t>
            </w:r>
            <w:r w:rsidR="00175A1D" w:rsidRPr="00875E94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175A1D" w:rsidRPr="00875E94" w:rsidTr="006D2093">
        <w:trPr>
          <w:cantSplit/>
          <w:trHeight w:val="227"/>
        </w:trPr>
        <w:tc>
          <w:tcPr>
            <w:tcW w:w="6521" w:type="dxa"/>
            <w:gridSpan w:val="2"/>
            <w:vMerge/>
          </w:tcPr>
          <w:p w:rsidR="00175A1D" w:rsidRPr="00875E94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875E94" w:rsidRDefault="00175A1D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75E94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75A1D" w:rsidRPr="00875E94" w:rsidTr="006D2093">
        <w:trPr>
          <w:cantSplit/>
        </w:trPr>
        <w:tc>
          <w:tcPr>
            <w:tcW w:w="9889" w:type="dxa"/>
            <w:gridSpan w:val="4"/>
          </w:tcPr>
          <w:p w:rsidR="00175A1D" w:rsidRPr="00875E94" w:rsidRDefault="00175A1D" w:rsidP="00875E94">
            <w:pPr>
              <w:pStyle w:val="Source"/>
              <w:spacing w:before="720"/>
            </w:pPr>
            <w:r w:rsidRPr="00875E94">
              <w:t>Директор Бюро радиосвязи</w:t>
            </w:r>
          </w:p>
        </w:tc>
      </w:tr>
      <w:tr w:rsidR="00175A1D" w:rsidRPr="00875E94" w:rsidTr="006D2093">
        <w:trPr>
          <w:cantSplit/>
        </w:trPr>
        <w:tc>
          <w:tcPr>
            <w:tcW w:w="9889" w:type="dxa"/>
            <w:gridSpan w:val="4"/>
          </w:tcPr>
          <w:p w:rsidR="00175A1D" w:rsidRPr="00875E94" w:rsidRDefault="00175A1D" w:rsidP="006D2093">
            <w:pPr>
              <w:pStyle w:val="Title1"/>
            </w:pPr>
            <w:r w:rsidRPr="00875E94">
              <w:t>отчет двадцать третьему собранию</w:t>
            </w:r>
            <w:r w:rsidRPr="00875E94">
              <w:br/>
              <w:t>консультативной группы по радиосвязи</w:t>
            </w:r>
          </w:p>
        </w:tc>
      </w:tr>
    </w:tbl>
    <w:p w:rsidR="00AD0DF1" w:rsidRPr="00875E94" w:rsidRDefault="00AD0DF1" w:rsidP="00AD0DF1">
      <w:pPr>
        <w:pStyle w:val="Heading1"/>
      </w:pPr>
      <w:r w:rsidRPr="00875E94">
        <w:t>1</w:t>
      </w:r>
      <w:r w:rsidRPr="00875E94">
        <w:tab/>
        <w:t>Введение</w:t>
      </w:r>
    </w:p>
    <w:p w:rsidR="00AD0DF1" w:rsidRPr="00875E94" w:rsidRDefault="00AD0DF1" w:rsidP="00AD0DF1">
      <w:r w:rsidRPr="00875E94">
        <w:t>В настоящем документе содержатся отчеты о состоянии дел и базовая информация по некоторым из вопросов, представленных в проекте повестки дня 23</w:t>
      </w:r>
      <w:r w:rsidRPr="00875E94">
        <w:noBreakHyphen/>
        <w:t xml:space="preserve">го собрания </w:t>
      </w:r>
      <w:proofErr w:type="spellStart"/>
      <w:r w:rsidRPr="00875E94">
        <w:t>КГР</w:t>
      </w:r>
      <w:proofErr w:type="spellEnd"/>
      <w:r w:rsidRPr="00875E94">
        <w:t xml:space="preserve"> (см. Административный циркуляр </w:t>
      </w:r>
      <w:hyperlink r:id="rId10" w:history="1">
        <w:proofErr w:type="spellStart"/>
        <w:r w:rsidRPr="00875E94">
          <w:rPr>
            <w:rFonts w:asciiTheme="majorBidi" w:hAnsiTheme="majorBidi" w:cstheme="majorBidi"/>
            <w:color w:val="0000FF"/>
            <w:szCs w:val="24"/>
            <w:u w:val="single"/>
          </w:rPr>
          <w:t>CA</w:t>
        </w:r>
        <w:proofErr w:type="spellEnd"/>
        <w:r w:rsidRPr="00875E94">
          <w:rPr>
            <w:rFonts w:asciiTheme="majorBidi" w:hAnsiTheme="majorBidi" w:cstheme="majorBidi"/>
            <w:color w:val="0000FF"/>
            <w:szCs w:val="24"/>
            <w:u w:val="single"/>
          </w:rPr>
          <w:t>/227</w:t>
        </w:r>
      </w:hyperlink>
      <w:r w:rsidRPr="00875E94">
        <w:t xml:space="preserve"> от 25 января 2015 года). Целью настоящего документа является содействие собранию в рассмотрении соответствующих пунктов повестки дня.</w:t>
      </w:r>
    </w:p>
    <w:p w:rsidR="00AD0DF1" w:rsidRPr="00875E94" w:rsidRDefault="00AD0DF1" w:rsidP="00AD0DF1">
      <w:r w:rsidRPr="00875E94">
        <w:t>По некоторым пунктам повестки дня будут представлены отдельные отчеты.</w:t>
      </w:r>
    </w:p>
    <w:p w:rsidR="00AD0DF1" w:rsidRPr="00875E94" w:rsidRDefault="00AD0DF1" w:rsidP="00AD0DF1">
      <w:pPr>
        <w:pStyle w:val="Heading1"/>
      </w:pPr>
      <w:r w:rsidRPr="00875E94">
        <w:t>2</w:t>
      </w:r>
      <w:r w:rsidRPr="00875E94">
        <w:tab/>
        <w:t>Вопросы, рассматриваемые Советом</w:t>
      </w:r>
    </w:p>
    <w:p w:rsidR="00AD0DF1" w:rsidRPr="00875E94" w:rsidRDefault="00AD0DF1" w:rsidP="00AD0DF1">
      <w:r w:rsidRPr="00875E94">
        <w:t>Настоящий раздел охватывает соответствующие вопросы, касающиеся сессии Совета 2015 года (см: </w:t>
      </w:r>
      <w:hyperlink r:id="rId11" w:history="1">
        <w:r w:rsidRPr="00875E94">
          <w:rPr>
            <w:rStyle w:val="Hyperlink"/>
          </w:rPr>
          <w:t>http://www.itu.int/council/</w:t>
        </w:r>
      </w:hyperlink>
      <w:r w:rsidRPr="00875E94">
        <w:rPr>
          <w:rStyle w:val="Hyperlink"/>
        </w:rPr>
        <w:t>)</w:t>
      </w:r>
      <w:r w:rsidRPr="00875E94">
        <w:t>.</w:t>
      </w:r>
    </w:p>
    <w:p w:rsidR="00AD0DF1" w:rsidRPr="00875E94" w:rsidRDefault="00AD0DF1" w:rsidP="00AD0DF1">
      <w:pPr>
        <w:pStyle w:val="Heading2"/>
      </w:pPr>
      <w:r w:rsidRPr="00875E94">
        <w:t>2.1</w:t>
      </w:r>
      <w:r w:rsidRPr="00875E94">
        <w:tab/>
        <w:t>Бесплатный онлайновый доступ к публикациям МСЭ-R</w:t>
      </w:r>
    </w:p>
    <w:p w:rsidR="00AD0DF1" w:rsidRPr="00875E94" w:rsidRDefault="00AD0DF1" w:rsidP="00FB0707">
      <w:r w:rsidRPr="00875E94">
        <w:t>Благодаря политике бесплатного онлайнового доступа стандарты МСЭ продолжают все больше распространяться среди более широких слоев населения, в особенности в развивающихся странах, испытывающих финансовые и технические затруднения. Этот широкий охват посредством бесплатного онлайнового доступа способствует повышению известности миссии и мандата МСЭ и</w:t>
      </w:r>
      <w:r w:rsidR="00FB0707" w:rsidRPr="00875E94">
        <w:t> </w:t>
      </w:r>
      <w:r w:rsidRPr="00875E94">
        <w:t>укрепляет его положение как глобального органа в области электросвязи.</w:t>
      </w:r>
    </w:p>
    <w:p w:rsidR="004B41F7" w:rsidRPr="00875E94" w:rsidRDefault="00AD0DF1" w:rsidP="00FB0707">
      <w:r w:rsidRPr="00875E94">
        <w:t>Решением 12 (Гвадалахара, 2010 г.) ПК-10 приняла политику бесплатного онлайнового доступа, распространяющуюся, в том числе, на Рекомендации и Отчеты МСЭ</w:t>
      </w:r>
      <w:r w:rsidRPr="00875E94">
        <w:noBreakHyphen/>
        <w:t xml:space="preserve">R. Эта политика получила </w:t>
      </w:r>
      <w:r w:rsidR="004B41F7" w:rsidRPr="00875E94">
        <w:t xml:space="preserve">развитие </w:t>
      </w:r>
      <w:r w:rsidRPr="00875E94">
        <w:t>в Решении 571 Совета 2012 года, пересмотренном Советом 2013 и 2014 годов</w:t>
      </w:r>
      <w:r w:rsidR="004B41F7" w:rsidRPr="00875E94">
        <w:t xml:space="preserve"> и была подтверждена ПК-14 в пересмотренном Решении 12, в котором для широкой общественности на</w:t>
      </w:r>
      <w:r w:rsidR="00FB0707" w:rsidRPr="00875E94">
        <w:t> </w:t>
      </w:r>
      <w:r w:rsidR="004B41F7" w:rsidRPr="00875E94">
        <w:t xml:space="preserve">постоянной основе </w:t>
      </w:r>
      <w:r w:rsidRPr="00875E94">
        <w:t>предоставл</w:t>
      </w:r>
      <w:r w:rsidR="004B41F7" w:rsidRPr="00875E94">
        <w:t>яется</w:t>
      </w:r>
      <w:r w:rsidRPr="00875E94">
        <w:t xml:space="preserve"> </w:t>
      </w:r>
      <w:r w:rsidR="004B41F7" w:rsidRPr="00875E94">
        <w:t xml:space="preserve">бесплатный онлайновый доступ </w:t>
      </w:r>
      <w:r w:rsidRPr="00875E94">
        <w:t>к</w:t>
      </w:r>
      <w:r w:rsidR="004B41F7" w:rsidRPr="00875E94">
        <w:t xml:space="preserve"> Рекомендациям и </w:t>
      </w:r>
      <w:r w:rsidR="00EC226F" w:rsidRPr="00875E94">
        <w:t xml:space="preserve">Отчетам </w:t>
      </w:r>
      <w:r w:rsidR="004B41F7" w:rsidRPr="00875E94">
        <w:t>МСЭ-R, МСЭ-T и МСЭ-D; справочникам МСЭ-R по управлению использованием радиочастотного спектра</w:t>
      </w:r>
      <w:r w:rsidR="004B41F7" w:rsidRPr="00875E94">
        <w:rPr>
          <w:rStyle w:val="FootnoteReference"/>
        </w:rPr>
        <w:footnoteReference w:id="1"/>
      </w:r>
      <w:r w:rsidR="004B41F7" w:rsidRPr="00875E94">
        <w:t>; публикациям МСЭ, касающимся использования электросвязи/ИКТ для обеспечения готовности к бедствиям, раннего предупреждения, спасания, смягчения последствий бедствий, оказания помощи при бедствиях и мер реагирования; Регламенту международной электросвязи (</w:t>
      </w:r>
      <w:proofErr w:type="spellStart"/>
      <w:r w:rsidR="004B41F7" w:rsidRPr="00875E94">
        <w:t>РМЭ</w:t>
      </w:r>
      <w:proofErr w:type="spellEnd"/>
      <w:r w:rsidR="004B41F7" w:rsidRPr="00875E94">
        <w:t xml:space="preserve">); Регламенту радиосвязи; Правилам процедуры; основным текстам документов Союза (Уставу, Конвенции, Общему регламенту конференций, ассамблей и собраний Союза, решениям, резолюциям и рекомендациям); заключительным актам полномочных конференций; заключительным отчетам </w:t>
      </w:r>
      <w:proofErr w:type="spellStart"/>
      <w:r w:rsidR="004B41F7" w:rsidRPr="00875E94">
        <w:t>ВКРЭ</w:t>
      </w:r>
      <w:proofErr w:type="spellEnd"/>
      <w:r w:rsidR="004B41F7" w:rsidRPr="00875E94">
        <w:t>, резолюциям и решениям Совета МСЭ, заключительным актам всемирных и региональных конференций радиосвязи; а также к заключительным актам всемирных конференций по международной электросвязи.</w:t>
      </w:r>
    </w:p>
    <w:p w:rsidR="004B41F7" w:rsidRPr="00875E94" w:rsidRDefault="004B41F7" w:rsidP="00FB0707">
      <w:r w:rsidRPr="00875E94">
        <w:lastRenderedPageBreak/>
        <w:t>Воздействие этих Решений четко отражено в большом количестве загрузок таких публикаций, как показано в разделе 8.1.4.</w:t>
      </w:r>
    </w:p>
    <w:p w:rsidR="004B41F7" w:rsidRPr="00875E94" w:rsidRDefault="004B41F7" w:rsidP="004B41F7">
      <w:pPr>
        <w:pStyle w:val="Heading2"/>
      </w:pPr>
      <w:r w:rsidRPr="00875E94">
        <w:t>2.2</w:t>
      </w:r>
      <w:r w:rsidRPr="00875E94">
        <w:tab/>
        <w:t>Возмещение затрат на обработку заявок на регистрацию спутниковых сетей</w:t>
      </w:r>
    </w:p>
    <w:p w:rsidR="004B41F7" w:rsidRPr="00875E94" w:rsidRDefault="004B41F7" w:rsidP="004B41F7">
      <w:r w:rsidRPr="00875E94">
        <w:rPr>
          <w:rFonts w:cstheme="minorHAnsi"/>
        </w:rPr>
        <w:t xml:space="preserve">Применение </w:t>
      </w:r>
      <w:r w:rsidRPr="00875E94">
        <w:t>Решения 482 (измененного, 2012 г.) и Решения 482 (измененного, 2013 г.) Бюро радиосвязи не вызвало каких-либо затруднений и не привело к каким-либо проблемам внутреннего характера или с администрациями, заявляющими спутниковые сети.</w:t>
      </w:r>
    </w:p>
    <w:p w:rsidR="006D5818" w:rsidRPr="00875E94" w:rsidRDefault="006D5818" w:rsidP="006D5818">
      <w:pPr>
        <w:pStyle w:val="Heading2"/>
      </w:pPr>
      <w:r w:rsidRPr="00875E94">
        <w:t>2.3</w:t>
      </w:r>
      <w:r w:rsidRPr="00875E94">
        <w:tab/>
        <w:t>Соответствие и функциональная совместимость (</w:t>
      </w:r>
      <w:proofErr w:type="spellStart"/>
      <w:r w:rsidRPr="00875E94">
        <w:t>C&amp;I</w:t>
      </w:r>
      <w:proofErr w:type="spellEnd"/>
      <w:r w:rsidRPr="00875E94">
        <w:t>)</w:t>
      </w:r>
    </w:p>
    <w:p w:rsidR="006D5818" w:rsidRPr="00875E94" w:rsidRDefault="006D5818" w:rsidP="006D5818">
      <w:pPr>
        <w:rPr>
          <w:rFonts w:cstheme="minorHAnsi"/>
        </w:rPr>
      </w:pPr>
      <w:r w:rsidRPr="00875E94">
        <w:t>В Резолюции 177 (</w:t>
      </w:r>
      <w:proofErr w:type="spellStart"/>
      <w:r w:rsidRPr="00875E94">
        <w:t>Пересм</w:t>
      </w:r>
      <w:proofErr w:type="spellEnd"/>
      <w:r w:rsidRPr="00875E94">
        <w:t xml:space="preserve">. </w:t>
      </w:r>
      <w:proofErr w:type="spellStart"/>
      <w:r w:rsidRPr="00875E94">
        <w:t>Пусан</w:t>
      </w:r>
      <w:proofErr w:type="spellEnd"/>
      <w:r w:rsidRPr="00875E94">
        <w:t xml:space="preserve">, 2014 г.) были одобрены задачи Резолюции 76 </w:t>
      </w:r>
      <w:proofErr w:type="spellStart"/>
      <w:r w:rsidRPr="00875E94">
        <w:t>ВАСЭ</w:t>
      </w:r>
      <w:proofErr w:type="spellEnd"/>
      <w:r w:rsidRPr="00875E94">
        <w:t xml:space="preserve">-12, Резолюции 62 АР-12 и Резолюции 47 </w:t>
      </w:r>
      <w:proofErr w:type="spellStart"/>
      <w:r w:rsidRPr="00875E94">
        <w:t>ВКРЭ</w:t>
      </w:r>
      <w:proofErr w:type="spellEnd"/>
      <w:r w:rsidRPr="00875E94">
        <w:t xml:space="preserve">-14, при этом было признано, что "широкомасштабное соответствие и функциональная совместимость оборудования и систем электросвязи/ИКТ путем реализации соответствующих программ, направлений политики и решений могут расширять рыночные перспективы, повышать надежность, стимулировать глобальную интеграцию и торговлю", и решено продолжить выполнение плана действий МСЭ по </w:t>
      </w:r>
      <w:proofErr w:type="spellStart"/>
      <w:r w:rsidRPr="00875E94">
        <w:t>C&amp;I</w:t>
      </w:r>
      <w:proofErr w:type="spellEnd"/>
      <w:r w:rsidRPr="00875E94">
        <w:t>, рассмотренного Советом МСЭ.</w:t>
      </w:r>
    </w:p>
    <w:p w:rsidR="006D5818" w:rsidRPr="00875E94" w:rsidRDefault="006D5818" w:rsidP="006D5818">
      <w:pPr>
        <w:rPr>
          <w:rFonts w:cstheme="minorHAnsi"/>
        </w:rPr>
      </w:pPr>
      <w:r w:rsidRPr="00875E94">
        <w:t xml:space="preserve">Программа по </w:t>
      </w:r>
      <w:proofErr w:type="spellStart"/>
      <w:r w:rsidRPr="00875E94">
        <w:t>C&amp;I</w:t>
      </w:r>
      <w:proofErr w:type="spellEnd"/>
      <w:r w:rsidRPr="00875E94">
        <w:t xml:space="preserve"> МСЭ, предписанная Резолюцией 177 (</w:t>
      </w:r>
      <w:proofErr w:type="spellStart"/>
      <w:r w:rsidRPr="00875E94">
        <w:t>Пересм</w:t>
      </w:r>
      <w:proofErr w:type="spellEnd"/>
      <w:r w:rsidRPr="00875E94">
        <w:t xml:space="preserve">. </w:t>
      </w:r>
      <w:proofErr w:type="spellStart"/>
      <w:r w:rsidRPr="00875E94">
        <w:t>Пусан</w:t>
      </w:r>
      <w:proofErr w:type="spellEnd"/>
      <w:r w:rsidRPr="00875E94">
        <w:t xml:space="preserve">, 2014 г.), по-прежнему базируется на четырех основных направлениях работы: направление работы 1 – оценка соответствия; направление работы 2 – мероприятия, касающиеся обеспечения функциональной совместимости; направление работы 3 – создание потенциала людских ресурсов; и направление работы 4 – содействие в создании центров тестирования и разработке программ по </w:t>
      </w:r>
      <w:proofErr w:type="spellStart"/>
      <w:r w:rsidRPr="00875E94">
        <w:t>C&amp;I</w:t>
      </w:r>
      <w:proofErr w:type="spellEnd"/>
      <w:r w:rsidRPr="00875E94">
        <w:t xml:space="preserve"> в развивающихся странах.</w:t>
      </w:r>
    </w:p>
    <w:p w:rsidR="006D5818" w:rsidRPr="00875E94" w:rsidRDefault="006D5818" w:rsidP="00FB0707">
      <w:pPr>
        <w:rPr>
          <w:rFonts w:cstheme="minorHAnsi"/>
        </w:rPr>
      </w:pPr>
      <w:r w:rsidRPr="00875E94">
        <w:t>Реализацией направлений работы 1 и 2 руководит Бюро стандартизации электросвязи (</w:t>
      </w:r>
      <w:proofErr w:type="spellStart"/>
      <w:r w:rsidRPr="00875E94">
        <w:t>БСЭ</w:t>
      </w:r>
      <w:proofErr w:type="spellEnd"/>
      <w:r w:rsidRPr="00875E94">
        <w:t>), направлений работы 3 и 4 – Бюро развития электросвязи (</w:t>
      </w:r>
      <w:proofErr w:type="spellStart"/>
      <w:r w:rsidRPr="00875E94">
        <w:t>БРЭ</w:t>
      </w:r>
      <w:proofErr w:type="spellEnd"/>
      <w:r w:rsidRPr="00875E94">
        <w:t>). МСЭ-R продолжает сотрудничать с</w:t>
      </w:r>
      <w:r w:rsidR="00FB0707" w:rsidRPr="00875E94">
        <w:t> </w:t>
      </w:r>
      <w:r w:rsidRPr="00875E94">
        <w:t>МСЭ-Т и МСЭ-D и предоставлять по их просьбе информацию по проверке на соответствие и</w:t>
      </w:r>
      <w:r w:rsidR="00FB0707" w:rsidRPr="00875E94">
        <w:t> </w:t>
      </w:r>
      <w:r w:rsidRPr="00875E94">
        <w:t xml:space="preserve">функциональную совместимость, как это предусмотрено в разделе </w:t>
      </w:r>
      <w:r w:rsidRPr="00875E94">
        <w:rPr>
          <w:i/>
          <w:iCs/>
        </w:rPr>
        <w:t>решает</w:t>
      </w:r>
      <w:r w:rsidRPr="00875E94">
        <w:t xml:space="preserve"> Резолюции МСЭ-R 62</w:t>
      </w:r>
      <w:r w:rsidRPr="00875E94">
        <w:rPr>
          <w:rFonts w:cstheme="minorHAnsi"/>
        </w:rPr>
        <w:t xml:space="preserve">. Со времени проведения последнего собрания </w:t>
      </w:r>
      <w:proofErr w:type="spellStart"/>
      <w:r w:rsidRPr="00875E94">
        <w:rPr>
          <w:rFonts w:cstheme="minorHAnsi"/>
        </w:rPr>
        <w:t>КГР</w:t>
      </w:r>
      <w:proofErr w:type="spellEnd"/>
      <w:r w:rsidRPr="00875E94">
        <w:rPr>
          <w:rFonts w:cstheme="minorHAnsi"/>
        </w:rPr>
        <w:t xml:space="preserve"> вклады по этой теме на собрания исследовательских комиссий МСЭ-R не поступали.</w:t>
      </w:r>
    </w:p>
    <w:p w:rsidR="006D5818" w:rsidRPr="00875E94" w:rsidRDefault="006D5818" w:rsidP="006D5818">
      <w:pPr>
        <w:pStyle w:val="Heading2"/>
      </w:pPr>
      <w:r w:rsidRPr="00875E94">
        <w:t>2.4</w:t>
      </w:r>
      <w:r w:rsidRPr="00875E94">
        <w:tab/>
        <w:t>Протокол по космическим средствам</w:t>
      </w:r>
    </w:p>
    <w:p w:rsidR="006D5818" w:rsidRPr="00875E94" w:rsidRDefault="006D5818" w:rsidP="00EC226F">
      <w:r w:rsidRPr="00875E94">
        <w:t xml:space="preserve">Совет 2015 года продолжил проявлять интерес к тому, чтобы МСЭ взял на себя роль контролирующего органа международной системы регистрации космических средств в соответствии с Протоколом по космическим средствам, и указал, что настало время принять решение по существу этого вопроса. Ряд элементов, которые позволили бы Совету принять решение с учетом всей имеющейся информации, еще не были готовы окончательно, поэтому Совет 2015 года отложил </w:t>
      </w:r>
      <w:r w:rsidR="00B43D69" w:rsidRPr="00875E94">
        <w:t xml:space="preserve">принятие </w:t>
      </w:r>
      <w:r w:rsidRPr="00875E94">
        <w:t>решени</w:t>
      </w:r>
      <w:r w:rsidR="00B43D69" w:rsidRPr="00875E94">
        <w:t>я</w:t>
      </w:r>
      <w:r w:rsidRPr="00875E94">
        <w:t xml:space="preserve"> по данному вопросу до </w:t>
      </w:r>
      <w:r w:rsidR="00B43D69" w:rsidRPr="00875E94">
        <w:t xml:space="preserve">своей </w:t>
      </w:r>
      <w:r w:rsidRPr="00875E94">
        <w:t>следующей сессии, понимая, что окончательное решение будет принимать ПК-18.</w:t>
      </w:r>
    </w:p>
    <w:p w:rsidR="006D5818" w:rsidRPr="00875E94" w:rsidRDefault="006D5818" w:rsidP="00EC226F">
      <w:r w:rsidRPr="00875E94">
        <w:t xml:space="preserve">Совет 2015 года, в соответствии со своими </w:t>
      </w:r>
      <w:r w:rsidR="00EC226F" w:rsidRPr="00875E94">
        <w:t xml:space="preserve">состоявшимися </w:t>
      </w:r>
      <w:r w:rsidRPr="00875E94">
        <w:t>ранее обсуждениями, принял к сведению информацию, представленную секретариатом, и уполномочил Генерального секретаря и далее выражать заинтересованность МСЭ в том, чтобы стать контролирующим органом, отмечая при этом, что на данном этапе не следует выносить суждение по вопросу о том, мог ли бы МСЭ стать контролирующим органом. Кроме того, Совет уполномочил Генерального секретаря или его представителя продолжать участвовать в работе Подготовительной комиссии и ее рабочих групп в качестве наблюдателя согласно соответствующему решению, принятому ПК-14.</w:t>
      </w:r>
    </w:p>
    <w:p w:rsidR="00B43D69" w:rsidRPr="00875E94" w:rsidRDefault="00B43D69" w:rsidP="00FB0707">
      <w:r w:rsidRPr="00875E94">
        <w:t xml:space="preserve">Четвертая сессия Подготовительной комиссии по созданию Международного регистра космических средств в соответствии с Протоколом по космическим средствам состоялась в штаб-квартире </w:t>
      </w:r>
      <w:proofErr w:type="spellStart"/>
      <w:r w:rsidRPr="00875E94">
        <w:t>УНИДРУА</w:t>
      </w:r>
      <w:proofErr w:type="spellEnd"/>
      <w:r w:rsidRPr="00875E94">
        <w:t xml:space="preserve"> в Риме 10 и 11 декабря 2015 года. После рассмотрения пояснительного примечания к</w:t>
      </w:r>
      <w:r w:rsidR="00FB0707" w:rsidRPr="00875E94">
        <w:t> </w:t>
      </w:r>
      <w:r w:rsidRPr="00875E94">
        <w:t xml:space="preserve">проекту пересмотренных правил для Международного регистра космических средств и примечания о связанных средствах, которое подготовил проф. сэр Рой Гуд, а также дополнительных изменений, предложенных делегацией Германии, проект правил для Международного регистра космических средств был единогласно утвержден. Что касается запроса предложений для выбора Регистратора, Подготовительная комиссия приняла упрощенный и более эффективный подход, а именно начать обсуждения с двумя действующими Регистраторами (воздушные суда и железнодорожный </w:t>
      </w:r>
      <w:r w:rsidRPr="00875E94">
        <w:lastRenderedPageBreak/>
        <w:t xml:space="preserve">транспорт). Был обсужден и </w:t>
      </w:r>
      <w:r w:rsidR="00112F9F" w:rsidRPr="00875E94">
        <w:t>дополнительно</w:t>
      </w:r>
      <w:r w:rsidRPr="00875E94">
        <w:t xml:space="preserve"> согласован по переписке проект Правил процедуры для</w:t>
      </w:r>
      <w:r w:rsidR="00FB0707" w:rsidRPr="00875E94">
        <w:t> </w:t>
      </w:r>
      <w:r w:rsidRPr="00875E94">
        <w:t>комиссии экспертов контролирующего органа, созданного согласно Протоколу.</w:t>
      </w:r>
    </w:p>
    <w:p w:rsidR="002053DF" w:rsidRPr="00875E94" w:rsidRDefault="00B43D69" w:rsidP="00FB0707">
      <w:r w:rsidRPr="00875E94">
        <w:t>Подготовительная комиссия, созданная согласно резолюции 1 дипломатической конференции, состоявшейся в Берлине в феврале 2012 года, завершила всю подготовительную работу для принятия первого варианта правил, начала переговоров по контракту на создание и ведение Регистра и</w:t>
      </w:r>
      <w:r w:rsidR="00FB0707" w:rsidRPr="00875E94">
        <w:t> </w:t>
      </w:r>
      <w:r w:rsidRPr="00875E94">
        <w:t>назначение первого Регистратора. Подготовительная комиссия, действуя в полном объеме полномочий в качестве временного контролирующего органа, продолжает свою работу</w:t>
      </w:r>
      <w:bookmarkStart w:id="1" w:name="lt_pId030"/>
      <w:r w:rsidRPr="00875E94">
        <w:t>, согласно принятому в резолюции 2 дипломатической конференции 2012 года предположени</w:t>
      </w:r>
      <w:r w:rsidR="00455B66" w:rsidRPr="00875E94">
        <w:t>ю</w:t>
      </w:r>
      <w:r w:rsidRPr="00875E94">
        <w:t xml:space="preserve"> о том, что контролирующим органом станет МСЭ</w:t>
      </w:r>
      <w:r w:rsidR="00455B66" w:rsidRPr="00875E94">
        <w:t>, и</w:t>
      </w:r>
      <w:bookmarkStart w:id="2" w:name="lt_pId031"/>
      <w:bookmarkEnd w:id="1"/>
      <w:r w:rsidR="00455B66" w:rsidRPr="00875E94">
        <w:t xml:space="preserve">, вероятно, вскоре </w:t>
      </w:r>
      <w:r w:rsidRPr="00875E94">
        <w:t>сможет</w:t>
      </w:r>
      <w:r w:rsidR="00455B66" w:rsidRPr="00875E94">
        <w:t xml:space="preserve"> </w:t>
      </w:r>
      <w:r w:rsidRPr="00875E94">
        <w:t xml:space="preserve">передать </w:t>
      </w:r>
      <w:r w:rsidR="00455B66" w:rsidRPr="00875E94">
        <w:t xml:space="preserve">ему </w:t>
      </w:r>
      <w:r w:rsidRPr="00875E94">
        <w:t>ответственность</w:t>
      </w:r>
      <w:r w:rsidR="00455B66" w:rsidRPr="00875E94">
        <w:t>, когда Протокол вступит в силу, в случае если МСЭ примет</w:t>
      </w:r>
      <w:r w:rsidRPr="00875E94">
        <w:t xml:space="preserve"> </w:t>
      </w:r>
      <w:r w:rsidR="00455B66" w:rsidRPr="00875E94">
        <w:t>решение о принятии на себя функций контролирующего органа.</w:t>
      </w:r>
      <w:r w:rsidRPr="00875E94">
        <w:t xml:space="preserve"> </w:t>
      </w:r>
      <w:bookmarkEnd w:id="2"/>
    </w:p>
    <w:p w:rsidR="00455B66" w:rsidRPr="00875E94" w:rsidRDefault="00455B66" w:rsidP="00112F9F">
      <w:pPr>
        <w:pStyle w:val="Heading2"/>
      </w:pPr>
      <w:r w:rsidRPr="00875E94">
        <w:t>2.</w:t>
      </w:r>
      <w:r w:rsidR="00112F9F" w:rsidRPr="00875E94">
        <w:t>5</w:t>
      </w:r>
      <w:r w:rsidRPr="00875E94">
        <w:tab/>
        <w:t>Бюджет на период 2016−2017 годов</w:t>
      </w:r>
    </w:p>
    <w:p w:rsidR="00455B66" w:rsidRPr="00875E94" w:rsidRDefault="00455B66" w:rsidP="00455B66">
      <w:r w:rsidRPr="00875E94">
        <w:t>Совет 2015 года принял следующий бюджет МСЭ-R на период 2016–2017 годов.</w:t>
      </w:r>
    </w:p>
    <w:p w:rsidR="00E705E9" w:rsidRPr="00875E94" w:rsidRDefault="00E705E9" w:rsidP="00455B66"/>
    <w:p w:rsidR="00455B66" w:rsidRPr="00875E94" w:rsidRDefault="00455B66" w:rsidP="00E705E9">
      <w:pPr>
        <w:pStyle w:val="Tabletitle"/>
        <w:rPr>
          <w:rFonts w:eastAsia="SimSun"/>
        </w:rPr>
      </w:pPr>
      <w:r w:rsidRPr="00875E94">
        <w:rPr>
          <w:rFonts w:eastAsia="SimSun"/>
        </w:rPr>
        <w:t xml:space="preserve">Бюджет на </w:t>
      </w:r>
      <w:r w:rsidRPr="00875E94">
        <w:t xml:space="preserve">2016–2017 годы – </w:t>
      </w:r>
      <w:r w:rsidRPr="00875E94">
        <w:rPr>
          <w:rFonts w:eastAsia="SimSun"/>
        </w:rPr>
        <w:t>Сектор радиосвязи</w:t>
      </w:r>
    </w:p>
    <w:tbl>
      <w:tblPr>
        <w:tblW w:w="5221" w:type="pct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2852"/>
        <w:gridCol w:w="1105"/>
        <w:gridCol w:w="1105"/>
        <w:gridCol w:w="1174"/>
        <w:gridCol w:w="854"/>
        <w:gridCol w:w="851"/>
        <w:gridCol w:w="1129"/>
      </w:tblGrid>
      <w:tr w:rsidR="00455B66" w:rsidRPr="008809A7" w:rsidTr="00455B66">
        <w:trPr>
          <w:jc w:val="center"/>
        </w:trPr>
        <w:tc>
          <w:tcPr>
            <w:tcW w:w="1911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Операционные расходы в разбивке по разделам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809A7" w:rsidRDefault="00455B66" w:rsidP="00E705E9">
            <w:pPr>
              <w:pStyle w:val="Tablehead"/>
              <w:ind w:left="-57" w:right="-57"/>
              <w:jc w:val="right"/>
              <w:rPr>
                <w:rFonts w:ascii="Times New Roman" w:hAnsi="Times New Roman"/>
                <w:sz w:val="16"/>
                <w:szCs w:val="16"/>
                <w:lang w:val="ru-RU" w:eastAsia="zh-CN"/>
              </w:rPr>
            </w:pPr>
            <w:r w:rsidRPr="008809A7">
              <w:rPr>
                <w:rFonts w:ascii="Times New Roman" w:hAnsi="Times New Roman"/>
                <w:i/>
                <w:iCs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455B66" w:rsidRPr="00875E94" w:rsidTr="00455B66">
        <w:trPr>
          <w:jc w:val="center"/>
        </w:trPr>
        <w:tc>
          <w:tcPr>
            <w:tcW w:w="1911" w:type="pct"/>
            <w:gridSpan w:val="2"/>
            <w:vMerge/>
            <w:tcBorders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ind w:left="-57" w:right="-57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after="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Фактически,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after="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Бюджет,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after="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Фактически,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after="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Бюджет,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after="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Смета,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after="0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875E94">
              <w:rPr>
                <w:sz w:val="16"/>
                <w:szCs w:val="16"/>
                <w:lang w:val="ru-RU" w:eastAsia="zh-CN"/>
              </w:rPr>
              <w:t>Смета,</w:t>
            </w:r>
          </w:p>
        </w:tc>
      </w:tr>
      <w:tr w:rsidR="00455B66" w:rsidRPr="00875E94" w:rsidTr="00455B66">
        <w:trPr>
          <w:jc w:val="center"/>
        </w:trPr>
        <w:tc>
          <w:tcPr>
            <w:tcW w:w="1911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ind w:left="-57" w:right="-57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before="0"/>
              <w:ind w:left="-57" w:right="-57"/>
              <w:rPr>
                <w:sz w:val="16"/>
                <w:szCs w:val="16"/>
                <w:lang w:val="ru-RU"/>
              </w:rPr>
            </w:pPr>
            <w:r w:rsidRPr="00875E94">
              <w:rPr>
                <w:sz w:val="16"/>
                <w:szCs w:val="16"/>
                <w:lang w:val="ru-RU"/>
              </w:rPr>
              <w:t>2012–2013 гг.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before="0"/>
              <w:ind w:left="-57" w:right="-57"/>
              <w:rPr>
                <w:sz w:val="16"/>
                <w:szCs w:val="16"/>
                <w:lang w:val="ru-RU"/>
              </w:rPr>
            </w:pPr>
            <w:r w:rsidRPr="00875E94">
              <w:rPr>
                <w:sz w:val="16"/>
                <w:szCs w:val="16"/>
                <w:lang w:val="ru-RU"/>
              </w:rPr>
              <w:t>2014–2015 гг.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before="0"/>
              <w:ind w:left="-57" w:right="-57"/>
              <w:rPr>
                <w:sz w:val="16"/>
                <w:szCs w:val="16"/>
                <w:lang w:val="ru-RU"/>
              </w:rPr>
            </w:pPr>
            <w:r w:rsidRPr="00875E94">
              <w:rPr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before="0"/>
              <w:ind w:left="-57" w:right="-57"/>
              <w:rPr>
                <w:sz w:val="16"/>
                <w:szCs w:val="16"/>
                <w:lang w:val="ru-RU"/>
              </w:rPr>
            </w:pPr>
            <w:r w:rsidRPr="00875E94">
              <w:rPr>
                <w:sz w:val="16"/>
                <w:szCs w:val="16"/>
                <w:lang w:val="ru-RU"/>
              </w:rPr>
              <w:t>2017 г.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before="0"/>
              <w:ind w:left="-57" w:right="-57"/>
              <w:rPr>
                <w:sz w:val="16"/>
                <w:szCs w:val="16"/>
                <w:lang w:val="ru-RU"/>
              </w:rPr>
            </w:pPr>
            <w:r w:rsidRPr="00875E94">
              <w:rPr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455B66" w:rsidRPr="00875E94" w:rsidRDefault="00455B66" w:rsidP="00E705E9">
            <w:pPr>
              <w:pStyle w:val="Tablehead"/>
              <w:spacing w:before="0"/>
              <w:ind w:left="-57" w:right="-57"/>
              <w:rPr>
                <w:sz w:val="16"/>
                <w:szCs w:val="16"/>
                <w:lang w:val="ru-RU"/>
              </w:rPr>
            </w:pPr>
            <w:r w:rsidRPr="00875E94">
              <w:rPr>
                <w:sz w:val="16"/>
                <w:szCs w:val="16"/>
                <w:lang w:val="ru-RU"/>
              </w:rPr>
              <w:t>2016–2017 гг.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Всемирные конференции радиосвязи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2 619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2 811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Ассамблеи радиосвязи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360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368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4.1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Региональные конференции радиосвязи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proofErr w:type="spellStart"/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Радиорегламентарный</w:t>
            </w:r>
            <w:proofErr w:type="spellEnd"/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 xml:space="preserve"> комитет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925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1 462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705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1 410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Консультативная группа по радиосвязи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105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143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149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Исследовательские комиссии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503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1 963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735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1 470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Виды деятельности и программы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801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1 500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608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1 200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Семинары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337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943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438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438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876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cs="Calibri"/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 xml:space="preserve">Раздел </w:t>
            </w:r>
            <w:r w:rsidRPr="00875E94">
              <w:rPr>
                <w:rFonts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Бюро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53 472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52 993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2 013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26 058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26 338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52 396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ind w:left="173" w:hanging="173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ab/>
              <w:t>Общие издержки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1 991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1 949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896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934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1 792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ind w:left="173" w:hanging="173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ab/>
              <w:t>Канцелярия Директора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1 190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1 273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655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629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1 309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ind w:left="173" w:hanging="173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исследовательских комиссий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5 655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5 070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273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2 839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2 839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5 684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ind w:left="173" w:hanging="173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космических служб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17 289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16 615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657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7 888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8 161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16 049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ind w:left="173" w:hanging="173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наземных служб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13 557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13 086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475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6 217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6 303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12 520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B66" w:rsidRPr="00875E94" w:rsidRDefault="00455B66" w:rsidP="00E705E9">
            <w:pPr>
              <w:pStyle w:val="Tabletext"/>
              <w:ind w:left="173" w:hanging="173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875E94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информатики, администрирования и публикаций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13 790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15 000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551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7 563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7 479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15 042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5B66" w:rsidRPr="00875E94" w:rsidRDefault="00455B66" w:rsidP="00E705E9">
            <w:pPr>
              <w:pStyle w:val="Tabletext"/>
              <w:rPr>
                <w:sz w:val="16"/>
                <w:szCs w:val="16"/>
                <w:lang w:eastAsia="zh-CN"/>
              </w:rPr>
            </w:pPr>
            <w:r w:rsidRPr="00875E94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rFonts w:asciiTheme="majorBidi" w:hAnsiTheme="majorBidi" w:cstheme="majorBidi"/>
                <w:color w:val="000099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sz w:val="16"/>
                <w:szCs w:val="16"/>
              </w:rPr>
            </w:pPr>
            <w:r w:rsidRPr="00875E94">
              <w:rPr>
                <w:sz w:val="16"/>
                <w:szCs w:val="16"/>
              </w:rPr>
              <w:t> </w:t>
            </w:r>
          </w:p>
        </w:tc>
      </w:tr>
      <w:tr w:rsidR="00455B66" w:rsidRPr="00875E94" w:rsidTr="00E705E9">
        <w:trPr>
          <w:jc w:val="center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text"/>
              <w:rPr>
                <w:b/>
                <w:bCs/>
                <w:sz w:val="16"/>
                <w:szCs w:val="16"/>
                <w:lang w:eastAsia="zh-CN"/>
              </w:rPr>
            </w:pPr>
            <w:r w:rsidRPr="00875E94">
              <w:rPr>
                <w:rFonts w:cs="Calibri"/>
                <w:b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55B66" w:rsidRPr="00875E94" w:rsidRDefault="00455B66" w:rsidP="00E705E9">
            <w:pPr>
              <w:pStyle w:val="Tabletext"/>
              <w:rPr>
                <w:b/>
                <w:bCs/>
                <w:sz w:val="16"/>
                <w:szCs w:val="16"/>
                <w:lang w:eastAsia="zh-CN"/>
              </w:rPr>
            </w:pPr>
            <w:r w:rsidRPr="00875E94">
              <w:rPr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</w:rPr>
            </w:pPr>
            <w:r w:rsidRPr="00875E94">
              <w:rPr>
                <w:b/>
                <w:bCs/>
                <w:sz w:val="16"/>
                <w:szCs w:val="16"/>
              </w:rPr>
              <w:t>59 122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</w:rPr>
            </w:pPr>
            <w:r w:rsidRPr="00875E94">
              <w:rPr>
                <w:b/>
                <w:bCs/>
                <w:sz w:val="16"/>
                <w:szCs w:val="16"/>
              </w:rPr>
              <w:t>62 183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b/>
                <w:bCs/>
                <w:caps/>
                <w:sz w:val="16"/>
                <w:szCs w:val="16"/>
              </w:rPr>
            </w:pPr>
            <w:r w:rsidRPr="00875E94">
              <w:rPr>
                <w:b/>
                <w:bCs/>
                <w:sz w:val="16"/>
                <w:szCs w:val="16"/>
              </w:rPr>
              <w:t>2 094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</w:rPr>
            </w:pPr>
            <w:r w:rsidRPr="00875E94">
              <w:rPr>
                <w:b/>
                <w:bCs/>
                <w:sz w:val="16"/>
                <w:szCs w:val="16"/>
              </w:rPr>
              <w:t>28 603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b/>
                <w:bCs/>
                <w:caps/>
                <w:sz w:val="16"/>
                <w:szCs w:val="16"/>
              </w:rPr>
            </w:pPr>
            <w:r w:rsidRPr="00875E94">
              <w:rPr>
                <w:b/>
                <w:bCs/>
                <w:sz w:val="16"/>
                <w:szCs w:val="16"/>
              </w:rPr>
              <w:t>28 898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55B66" w:rsidRPr="00875E94" w:rsidRDefault="00455B66" w:rsidP="00926323">
            <w:pPr>
              <w:pStyle w:val="Tabletext"/>
              <w:ind w:right="170"/>
              <w:jc w:val="right"/>
              <w:rPr>
                <w:b/>
                <w:bCs/>
                <w:caps/>
                <w:sz w:val="16"/>
                <w:szCs w:val="16"/>
              </w:rPr>
            </w:pPr>
            <w:r w:rsidRPr="00875E94">
              <w:rPr>
                <w:b/>
                <w:bCs/>
                <w:sz w:val="16"/>
                <w:szCs w:val="16"/>
              </w:rPr>
              <w:t>57 501</w:t>
            </w:r>
          </w:p>
        </w:tc>
      </w:tr>
    </w:tbl>
    <w:p w:rsidR="006B5129" w:rsidRPr="006B5129" w:rsidRDefault="006B5129" w:rsidP="006B5129">
      <w:pPr>
        <w:pStyle w:val="Heading2"/>
      </w:pPr>
      <w:r w:rsidRPr="006B5129">
        <w:t>2.6</w:t>
      </w:r>
      <w:r w:rsidRPr="006B5129">
        <w:tab/>
      </w:r>
      <w:r>
        <w:t xml:space="preserve">Выполнение Договоренностей </w:t>
      </w:r>
      <w:proofErr w:type="spellStart"/>
      <w:r>
        <w:t>МоВ-ГСППС</w:t>
      </w:r>
      <w:proofErr w:type="spellEnd"/>
      <w:r>
        <w:t xml:space="preserve"> и введение обозначения </w:t>
      </w:r>
      <w:proofErr w:type="spellStart"/>
      <w:r>
        <w:t>МоВ-ГСППС</w:t>
      </w:r>
      <w:proofErr w:type="spellEnd"/>
    </w:p>
    <w:p w:rsidR="006B5129" w:rsidRPr="006B5129" w:rsidRDefault="006B5129" w:rsidP="006B5129">
      <w:r>
        <w:t xml:space="preserve">Эта тема представлена в Дополнительном документе 3 к настоящему документу. </w:t>
      </w:r>
    </w:p>
    <w:p w:rsidR="000379F6" w:rsidRPr="00875E94" w:rsidRDefault="003E1154" w:rsidP="003E1154">
      <w:pPr>
        <w:pStyle w:val="Heading1"/>
      </w:pPr>
      <w:r w:rsidRPr="00875E94">
        <w:t>3</w:t>
      </w:r>
      <w:r w:rsidR="000379F6" w:rsidRPr="00875E94">
        <w:tab/>
      </w:r>
      <w:r w:rsidRPr="00875E94">
        <w:t xml:space="preserve">Результаты АР-15 и </w:t>
      </w:r>
      <w:proofErr w:type="spellStart"/>
      <w:r w:rsidRPr="00875E94">
        <w:t>ВКР</w:t>
      </w:r>
      <w:proofErr w:type="spellEnd"/>
      <w:r w:rsidRPr="00875E94">
        <w:t>-15 и соответствующие действия</w:t>
      </w:r>
    </w:p>
    <w:p w:rsidR="003E1154" w:rsidRPr="00875E94" w:rsidRDefault="003E1154" w:rsidP="003E1154">
      <w:pPr>
        <w:pStyle w:val="Heading2"/>
      </w:pPr>
      <w:r w:rsidRPr="00875E94">
        <w:t>3.1</w:t>
      </w:r>
      <w:r w:rsidRPr="00875E94">
        <w:tab/>
        <w:t>АР-15</w:t>
      </w:r>
    </w:p>
    <w:p w:rsidR="003E1154" w:rsidRPr="00875E94" w:rsidRDefault="003E1154" w:rsidP="00E705E9">
      <w:pPr>
        <w:rPr>
          <w:szCs w:val="24"/>
        </w:rPr>
      </w:pPr>
      <w:r w:rsidRPr="00875E94">
        <w:t>В соответствии с Резолюцией 1343 Совета Ассамблея радиосвязи 2015 года (АР-15) была проведена в</w:t>
      </w:r>
      <w:r w:rsidR="00E705E9" w:rsidRPr="00875E94">
        <w:t> </w:t>
      </w:r>
      <w:r w:rsidRPr="00875E94">
        <w:t>Женеве 26–30 октября 2015 года</w:t>
      </w:r>
      <w:r w:rsidR="00112F9F" w:rsidRPr="00875E94">
        <w:t>.</w:t>
      </w:r>
      <w:r w:rsidRPr="00875E94">
        <w:t xml:space="preserve"> </w:t>
      </w:r>
      <w:r w:rsidR="00112F9F" w:rsidRPr="00875E94">
        <w:t>Н</w:t>
      </w:r>
      <w:r w:rsidRPr="00875E94">
        <w:t>а ней присутствовали</w:t>
      </w:r>
      <w:r w:rsidRPr="00875E94">
        <w:rPr>
          <w:szCs w:val="24"/>
        </w:rPr>
        <w:t xml:space="preserve"> 457 участников, которые представляли 96 администраций и 38 Членов Сектора и Академических организаций.</w:t>
      </w:r>
    </w:p>
    <w:p w:rsidR="003E1154" w:rsidRPr="00875E94" w:rsidRDefault="003E1154" w:rsidP="008809A7">
      <w:pPr>
        <w:keepNext/>
        <w:keepLines/>
      </w:pPr>
      <w:r w:rsidRPr="00875E94">
        <w:lastRenderedPageBreak/>
        <w:t xml:space="preserve">Председателем АР-15 был избран </w:t>
      </w:r>
      <w:r w:rsidRPr="00875E94">
        <w:rPr>
          <w:b/>
          <w:bCs/>
        </w:rPr>
        <w:t>д-р </w:t>
      </w:r>
      <w:proofErr w:type="spellStart"/>
      <w:r w:rsidRPr="00875E94">
        <w:rPr>
          <w:b/>
          <w:bCs/>
        </w:rPr>
        <w:t>Акира</w:t>
      </w:r>
      <w:proofErr w:type="spellEnd"/>
      <w:r w:rsidRPr="00875E94">
        <w:rPr>
          <w:b/>
          <w:bCs/>
        </w:rPr>
        <w:t xml:space="preserve"> Хасимото (Япония)</w:t>
      </w:r>
      <w:r w:rsidRPr="00875E94">
        <w:t xml:space="preserve">. Также были избраны </w:t>
      </w:r>
      <w:r w:rsidR="00112F9F" w:rsidRPr="00875E94">
        <w:t xml:space="preserve">следующие </w:t>
      </w:r>
      <w:r w:rsidRPr="00875E94">
        <w:t>пять заместителей Председателя:</w:t>
      </w:r>
    </w:p>
    <w:p w:rsidR="003E1154" w:rsidRPr="00875E94" w:rsidRDefault="003E1154" w:rsidP="002B0C94">
      <w:pPr>
        <w:pStyle w:val="enumlev1"/>
        <w:keepNext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д-р Е. </w:t>
      </w:r>
      <w:proofErr w:type="spellStart"/>
      <w:r w:rsidRPr="00875E94">
        <w:t>Аззуз</w:t>
      </w:r>
      <w:proofErr w:type="spellEnd"/>
      <w:r w:rsidRPr="00875E94">
        <w:t xml:space="preserve"> (Египет);</w:t>
      </w:r>
    </w:p>
    <w:p w:rsidR="003E1154" w:rsidRPr="00875E94" w:rsidRDefault="003E1154" w:rsidP="002B0C94">
      <w:pPr>
        <w:pStyle w:val="enumlev1"/>
        <w:keepNext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M. </w:t>
      </w:r>
      <w:proofErr w:type="spellStart"/>
      <w:r w:rsidRPr="00875E94">
        <w:t>Жируар</w:t>
      </w:r>
      <w:proofErr w:type="spellEnd"/>
      <w:r w:rsidRPr="00875E94">
        <w:t xml:space="preserve"> (Канада);</w:t>
      </w:r>
    </w:p>
    <w:p w:rsidR="003E1154" w:rsidRPr="00875E94" w:rsidRDefault="003E1154" w:rsidP="002B0C94">
      <w:pPr>
        <w:pStyle w:val="enumlev1"/>
        <w:keepNext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A. </w:t>
      </w:r>
      <w:proofErr w:type="spellStart"/>
      <w:r w:rsidRPr="00875E94">
        <w:t>Кюн</w:t>
      </w:r>
      <w:proofErr w:type="spellEnd"/>
      <w:r w:rsidRPr="00875E94">
        <w:t xml:space="preserve"> (Германия);</w:t>
      </w:r>
    </w:p>
    <w:p w:rsidR="003E1154" w:rsidRPr="00875E94" w:rsidRDefault="003E1154" w:rsidP="002B0C94">
      <w:pPr>
        <w:pStyle w:val="enumlev1"/>
        <w:keepNext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Л. </w:t>
      </w:r>
      <w:proofErr w:type="spellStart"/>
      <w:r w:rsidRPr="00875E94">
        <w:t>Момба</w:t>
      </w:r>
      <w:proofErr w:type="spellEnd"/>
      <w:r w:rsidRPr="00875E94">
        <w:t xml:space="preserve"> (Малави);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>г-н M. Симонов (Российская Федерация).</w:t>
      </w:r>
    </w:p>
    <w:p w:rsidR="003E1154" w:rsidRPr="00875E94" w:rsidRDefault="003E1154" w:rsidP="00B54E10">
      <w:r w:rsidRPr="00875E94">
        <w:t>В целях содействия работе Ассамблеи были учреждены пять комитетов:</w:t>
      </w:r>
    </w:p>
    <w:p w:rsidR="003E1154" w:rsidRPr="00875E94" w:rsidRDefault="003E1154" w:rsidP="003E1154">
      <w:pPr>
        <w:rPr>
          <w:b/>
          <w:bCs/>
        </w:rPr>
      </w:pPr>
      <w:r w:rsidRPr="00875E94">
        <w:rPr>
          <w:b/>
          <w:bCs/>
        </w:rPr>
        <w:t>Комитет 1 (Руководящий комитет)</w:t>
      </w:r>
    </w:p>
    <w:p w:rsidR="003E1154" w:rsidRPr="00875E94" w:rsidRDefault="003E1154" w:rsidP="00112F9F">
      <w:r w:rsidRPr="00875E94">
        <w:t xml:space="preserve">В состав этого Комитета вошли </w:t>
      </w:r>
      <w:r w:rsidR="00112F9F" w:rsidRPr="00875E94">
        <w:t xml:space="preserve">Председатель </w:t>
      </w:r>
      <w:r w:rsidRPr="00875E94">
        <w:t xml:space="preserve">и заместители </w:t>
      </w:r>
      <w:r w:rsidR="00112F9F" w:rsidRPr="00875E94">
        <w:t xml:space="preserve">Председателя </w:t>
      </w:r>
      <w:r w:rsidRPr="00875E94">
        <w:t>Ассамблеи, а также председатели и заместители председателей комитетов.</w:t>
      </w:r>
    </w:p>
    <w:p w:rsidR="003E1154" w:rsidRPr="00875E94" w:rsidRDefault="003E1154" w:rsidP="00112F9F">
      <w:pPr>
        <w:rPr>
          <w:b/>
          <w:bCs/>
        </w:rPr>
      </w:pPr>
      <w:r w:rsidRPr="00875E94">
        <w:rPr>
          <w:b/>
          <w:bCs/>
        </w:rPr>
        <w:t xml:space="preserve">Комитет 2 </w:t>
      </w:r>
      <w:r w:rsidR="00112F9F" w:rsidRPr="00875E94">
        <w:rPr>
          <w:b/>
          <w:bCs/>
        </w:rPr>
        <w:t xml:space="preserve">– </w:t>
      </w:r>
      <w:r w:rsidRPr="00875E94">
        <w:rPr>
          <w:b/>
          <w:bCs/>
        </w:rPr>
        <w:t>Комитет по бюджетному контролю</w:t>
      </w:r>
    </w:p>
    <w:p w:rsidR="003E1154" w:rsidRPr="00875E94" w:rsidRDefault="003E1154" w:rsidP="008809A7">
      <w:pPr>
        <w:tabs>
          <w:tab w:val="clear" w:pos="1871"/>
          <w:tab w:val="left" w:pos="1701"/>
        </w:tabs>
      </w:pPr>
      <w:proofErr w:type="gramStart"/>
      <w:r w:rsidRPr="00875E94">
        <w:t>Председатель:</w:t>
      </w:r>
      <w:r w:rsidRPr="00875E94">
        <w:tab/>
      </w:r>
      <w:proofErr w:type="gramEnd"/>
      <w:r w:rsidRPr="00875E94">
        <w:t>г-н Д. Обам (Кения)</w:t>
      </w:r>
    </w:p>
    <w:p w:rsidR="003E1154" w:rsidRPr="00875E94" w:rsidRDefault="003E1154" w:rsidP="00112F9F">
      <w:pPr>
        <w:rPr>
          <w:b/>
          <w:bCs/>
        </w:rPr>
      </w:pPr>
      <w:r w:rsidRPr="00875E94">
        <w:rPr>
          <w:b/>
          <w:bCs/>
        </w:rPr>
        <w:t xml:space="preserve">Комитет 3 </w:t>
      </w:r>
      <w:r w:rsidR="00112F9F" w:rsidRPr="00875E94">
        <w:rPr>
          <w:b/>
          <w:bCs/>
        </w:rPr>
        <w:t xml:space="preserve">– </w:t>
      </w:r>
      <w:r w:rsidRPr="00875E94">
        <w:rPr>
          <w:b/>
          <w:bCs/>
        </w:rPr>
        <w:t>Редакционный комитет</w:t>
      </w:r>
    </w:p>
    <w:p w:rsidR="003E1154" w:rsidRPr="00875E94" w:rsidRDefault="003E1154" w:rsidP="008809A7">
      <w:pPr>
        <w:tabs>
          <w:tab w:val="clear" w:pos="1871"/>
          <w:tab w:val="left" w:pos="1701"/>
        </w:tabs>
      </w:pPr>
      <w:proofErr w:type="gramStart"/>
      <w:r w:rsidRPr="00875E94">
        <w:t>Председатель:</w:t>
      </w:r>
      <w:r w:rsidRPr="00875E94">
        <w:tab/>
      </w:r>
      <w:proofErr w:type="gramEnd"/>
      <w:r w:rsidRPr="00875E94">
        <w:t xml:space="preserve">г-н К. </w:t>
      </w:r>
      <w:proofErr w:type="spellStart"/>
      <w:r w:rsidRPr="00875E94">
        <w:t>Риссон</w:t>
      </w:r>
      <w:proofErr w:type="spellEnd"/>
      <w:r w:rsidRPr="00875E94">
        <w:t xml:space="preserve"> (Франция)</w:t>
      </w:r>
    </w:p>
    <w:p w:rsidR="003E1154" w:rsidRPr="00875E94" w:rsidRDefault="003E1154" w:rsidP="003E1154">
      <w:r w:rsidRPr="00875E94">
        <w:t>Заместители Председателя: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A. </w:t>
      </w:r>
      <w:proofErr w:type="spellStart"/>
      <w:r w:rsidRPr="00875E94">
        <w:t>Маджид</w:t>
      </w:r>
      <w:proofErr w:type="spellEnd"/>
      <w:r w:rsidRPr="00875E94">
        <w:t xml:space="preserve"> (Ливан)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С. </w:t>
      </w:r>
      <w:proofErr w:type="spellStart"/>
      <w:r w:rsidRPr="00875E94">
        <w:t>Менендес</w:t>
      </w:r>
      <w:proofErr w:type="spellEnd"/>
      <w:r w:rsidRPr="00875E94">
        <w:t xml:space="preserve"> </w:t>
      </w:r>
      <w:proofErr w:type="spellStart"/>
      <w:r w:rsidRPr="00875E94">
        <w:t>Аргуэльес</w:t>
      </w:r>
      <w:proofErr w:type="spellEnd"/>
      <w:r w:rsidRPr="00875E94">
        <w:t xml:space="preserve"> (Испания)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П. </w:t>
      </w:r>
      <w:proofErr w:type="spellStart"/>
      <w:r w:rsidRPr="00875E94">
        <w:t>Нажарян</w:t>
      </w:r>
      <w:proofErr w:type="spellEnd"/>
      <w:r w:rsidRPr="00875E94">
        <w:t xml:space="preserve"> (Соединенные Штаты)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г-жа Х. </w:t>
      </w:r>
      <w:proofErr w:type="spellStart"/>
      <w:r w:rsidRPr="00875E94">
        <w:t>Чжан</w:t>
      </w:r>
      <w:proofErr w:type="spellEnd"/>
      <w:r w:rsidRPr="00875E94">
        <w:t xml:space="preserve"> (Китай)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>г-н А. Живов (Российская Федерация)</w:t>
      </w:r>
    </w:p>
    <w:p w:rsidR="003E1154" w:rsidRPr="00875E94" w:rsidRDefault="003E1154" w:rsidP="00112F9F">
      <w:pPr>
        <w:rPr>
          <w:b/>
          <w:bCs/>
        </w:rPr>
      </w:pPr>
      <w:r w:rsidRPr="00875E94">
        <w:rPr>
          <w:b/>
          <w:bCs/>
        </w:rPr>
        <w:t xml:space="preserve">Комитет 4 </w:t>
      </w:r>
      <w:r w:rsidR="00112F9F" w:rsidRPr="00875E94">
        <w:rPr>
          <w:b/>
          <w:bCs/>
        </w:rPr>
        <w:t xml:space="preserve">– </w:t>
      </w:r>
      <w:r w:rsidRPr="00875E94">
        <w:rPr>
          <w:b/>
          <w:bCs/>
        </w:rPr>
        <w:t>Структура и программа работы исследовательских комиссий</w:t>
      </w:r>
    </w:p>
    <w:p w:rsidR="003E1154" w:rsidRPr="00875E94" w:rsidRDefault="003E1154" w:rsidP="008809A7">
      <w:pPr>
        <w:tabs>
          <w:tab w:val="clear" w:pos="1871"/>
          <w:tab w:val="left" w:pos="1701"/>
        </w:tabs>
      </w:pPr>
      <w:proofErr w:type="gramStart"/>
      <w:r w:rsidRPr="00875E94">
        <w:t>Председатель:</w:t>
      </w:r>
      <w:r w:rsidRPr="00875E94">
        <w:tab/>
      </w:r>
      <w:proofErr w:type="gramEnd"/>
      <w:r w:rsidRPr="00875E94">
        <w:t xml:space="preserve">д-р </w:t>
      </w:r>
      <w:proofErr w:type="spellStart"/>
      <w:r w:rsidRPr="00875E94">
        <w:t>С.Ю</w:t>
      </w:r>
      <w:proofErr w:type="spellEnd"/>
      <w:r w:rsidRPr="00875E94">
        <w:t>. Пастух (Российская Федерация)</w:t>
      </w:r>
    </w:p>
    <w:p w:rsidR="003E1154" w:rsidRPr="00875E94" w:rsidRDefault="003E1154" w:rsidP="003E1154">
      <w:r w:rsidRPr="00875E94">
        <w:t>Заместители Председателя: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>г-н А. Эль-</w:t>
      </w:r>
      <w:proofErr w:type="spellStart"/>
      <w:r w:rsidRPr="00875E94">
        <w:t>Хаджар</w:t>
      </w:r>
      <w:proofErr w:type="spellEnd"/>
      <w:r w:rsidRPr="00875E94">
        <w:t xml:space="preserve"> (Камерун)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>д-р Х. Мазар (</w:t>
      </w:r>
      <w:proofErr w:type="spellStart"/>
      <w:r w:rsidRPr="00875E94">
        <w:t>ATDI</w:t>
      </w:r>
      <w:proofErr w:type="spellEnd"/>
      <w:r w:rsidRPr="00875E94">
        <w:t>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>д-р Х. Сон (Корея (Республика))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г-жа Л. </w:t>
      </w:r>
      <w:proofErr w:type="spellStart"/>
      <w:r w:rsidRPr="00875E94">
        <w:t>Сусси</w:t>
      </w:r>
      <w:proofErr w:type="spellEnd"/>
      <w:r w:rsidRPr="00875E94">
        <w:t xml:space="preserve"> (Тунис)</w:t>
      </w:r>
    </w:p>
    <w:p w:rsidR="003E1154" w:rsidRPr="00875E94" w:rsidRDefault="003E1154" w:rsidP="00112F9F">
      <w:pPr>
        <w:rPr>
          <w:b/>
          <w:bCs/>
        </w:rPr>
      </w:pPr>
      <w:r w:rsidRPr="00875E94">
        <w:rPr>
          <w:b/>
          <w:bCs/>
        </w:rPr>
        <w:t xml:space="preserve">Комитет 5 </w:t>
      </w:r>
      <w:r w:rsidR="00112F9F" w:rsidRPr="00875E94">
        <w:rPr>
          <w:b/>
          <w:bCs/>
        </w:rPr>
        <w:t xml:space="preserve">– </w:t>
      </w:r>
      <w:r w:rsidRPr="00875E94">
        <w:rPr>
          <w:b/>
          <w:bCs/>
        </w:rPr>
        <w:t>Методы работы Ассамблеи радиосвязи и исследовательских комиссий</w:t>
      </w:r>
      <w:r w:rsidRPr="00875E94">
        <w:rPr>
          <w:b/>
          <w:bCs/>
        </w:rPr>
        <w:tab/>
      </w:r>
    </w:p>
    <w:p w:rsidR="003E1154" w:rsidRPr="00875E94" w:rsidRDefault="003E1154" w:rsidP="008809A7">
      <w:pPr>
        <w:tabs>
          <w:tab w:val="clear" w:pos="1871"/>
          <w:tab w:val="left" w:pos="1701"/>
        </w:tabs>
      </w:pPr>
      <w:proofErr w:type="gramStart"/>
      <w:r w:rsidRPr="00875E94">
        <w:t>Председатель:</w:t>
      </w:r>
      <w:r w:rsidRPr="00875E94">
        <w:tab/>
      </w:r>
      <w:proofErr w:type="gramEnd"/>
      <w:r w:rsidRPr="00875E94">
        <w:t xml:space="preserve">г-н К. </w:t>
      </w:r>
      <w:proofErr w:type="spellStart"/>
      <w:r w:rsidRPr="00875E94">
        <w:t>Хофер</w:t>
      </w:r>
      <w:proofErr w:type="spellEnd"/>
      <w:r w:rsidRPr="00875E94">
        <w:t xml:space="preserve"> (Соединенные Штаты)</w:t>
      </w:r>
    </w:p>
    <w:p w:rsidR="003E1154" w:rsidRPr="00875E94" w:rsidRDefault="003E1154" w:rsidP="003E1154">
      <w:r w:rsidRPr="00875E94">
        <w:t xml:space="preserve">Заместители Председателя: 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>г-н Р. Чан (Китай)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А. </w:t>
      </w:r>
      <w:proofErr w:type="spellStart"/>
      <w:r w:rsidRPr="00875E94">
        <w:t>Кесс</w:t>
      </w:r>
      <w:proofErr w:type="spellEnd"/>
      <w:r w:rsidRPr="00875E94">
        <w:t xml:space="preserve"> (Кот-д’Ивуар)</w:t>
      </w:r>
    </w:p>
    <w:p w:rsidR="003E1154" w:rsidRPr="00875E94" w:rsidRDefault="003E1154" w:rsidP="008809A7">
      <w:pPr>
        <w:pStyle w:val="enumlev1"/>
        <w:tabs>
          <w:tab w:val="clear" w:pos="1134"/>
          <w:tab w:val="clear" w:pos="1871"/>
          <w:tab w:val="left" w:pos="1701"/>
        </w:tabs>
        <w:ind w:left="1701" w:hanging="1701"/>
      </w:pPr>
      <w:r w:rsidRPr="00875E94">
        <w:tab/>
        <w:t xml:space="preserve">г-н М. </w:t>
      </w:r>
      <w:proofErr w:type="spellStart"/>
      <w:r w:rsidRPr="00875E94">
        <w:t>Уаму</w:t>
      </w:r>
      <w:proofErr w:type="spellEnd"/>
      <w:r w:rsidRPr="00875E94">
        <w:t xml:space="preserve"> (Марокко)</w:t>
      </w:r>
    </w:p>
    <w:p w:rsidR="00C158DA" w:rsidRPr="00875E94" w:rsidRDefault="00C158DA" w:rsidP="00C158DA">
      <w:r w:rsidRPr="00875E94">
        <w:t xml:space="preserve">АР-15 </w:t>
      </w:r>
      <w:r w:rsidRPr="00875E94">
        <w:rPr>
          <w:color w:val="000000"/>
        </w:rPr>
        <w:t xml:space="preserve">проводилась на полностью безбумажной основе, при этом вся деятельность по разработке проектов осуществлялась с использованием </w:t>
      </w:r>
      <w:r w:rsidRPr="00875E94">
        <w:t xml:space="preserve">веб-сайта </w:t>
      </w:r>
      <w:proofErr w:type="spellStart"/>
      <w:r w:rsidRPr="00875E94">
        <w:t>SharePoint</w:t>
      </w:r>
      <w:proofErr w:type="spellEnd"/>
      <w:r w:rsidRPr="00875E94">
        <w:t xml:space="preserve"> АР-15. Также были предоставлены программные инструменты </w:t>
      </w:r>
      <w:proofErr w:type="spellStart"/>
      <w:r w:rsidRPr="00875E94">
        <w:t>Mobile</w:t>
      </w:r>
      <w:proofErr w:type="spellEnd"/>
      <w:r w:rsidRPr="00875E94">
        <w:t xml:space="preserve"> </w:t>
      </w:r>
      <w:proofErr w:type="spellStart"/>
      <w:r w:rsidRPr="00875E94">
        <w:t>App</w:t>
      </w:r>
      <w:proofErr w:type="spellEnd"/>
      <w:r w:rsidRPr="00875E94">
        <w:t xml:space="preserve"> и </w:t>
      </w:r>
      <w:proofErr w:type="spellStart"/>
      <w:r w:rsidRPr="00875E94">
        <w:t>Sync</w:t>
      </w:r>
      <w:proofErr w:type="spellEnd"/>
      <w:r w:rsidRPr="00875E94">
        <w:t xml:space="preserve"> </w:t>
      </w:r>
      <w:proofErr w:type="spellStart"/>
      <w:r w:rsidRPr="00875E94">
        <w:t>Application</w:t>
      </w:r>
      <w:proofErr w:type="spellEnd"/>
      <w:r w:rsidRPr="00875E94">
        <w:t>.</w:t>
      </w:r>
    </w:p>
    <w:p w:rsidR="00C158DA" w:rsidRPr="00875E94" w:rsidRDefault="00C158DA" w:rsidP="00E705E9">
      <w:r w:rsidRPr="00875E94">
        <w:t>Согласно решению, принятому на посвященном открытию пленарном заседании, и в соответствии с</w:t>
      </w:r>
      <w:r w:rsidR="00E705E9" w:rsidRPr="00875E94">
        <w:t> </w:t>
      </w:r>
      <w:r w:rsidRPr="00875E94">
        <w:t xml:space="preserve">решениями ПК-14, </w:t>
      </w:r>
      <w:r w:rsidR="00AB627B" w:rsidRPr="00875E94">
        <w:rPr>
          <w:rFonts w:eastAsia="Arial Unicode MS"/>
        </w:rPr>
        <w:t>все входные документы перед Ассамблеей находились в открытом доступе</w:t>
      </w:r>
      <w:r w:rsidRPr="00875E94">
        <w:t>, поскольку ни одно из Государств-Членов не посчитало, что раскрытие содержащейся в них информации нанесло бы законным частным или государственным интересам потенциальный ущерб, который перевешивает преимущества доступности. Обеспечен также открытый доступ к</w:t>
      </w:r>
      <w:r w:rsidR="00E705E9" w:rsidRPr="00875E94">
        <w:t> </w:t>
      </w:r>
      <w:r w:rsidRPr="00875E94">
        <w:t xml:space="preserve">Резолюциям, Рекомендациям и Вопросам МСЭ-R, как основным итоговым документам </w:t>
      </w:r>
      <w:r w:rsidR="00112F9F" w:rsidRPr="00875E94">
        <w:t>Ассамблеи</w:t>
      </w:r>
      <w:r w:rsidRPr="00875E94">
        <w:t>.</w:t>
      </w:r>
    </w:p>
    <w:p w:rsidR="00C158DA" w:rsidRPr="00875E94" w:rsidRDefault="00C158DA" w:rsidP="00E705E9">
      <w:r w:rsidRPr="00875E94">
        <w:lastRenderedPageBreak/>
        <w:t>Осуществлялась веб-трансляция сессий пленарного заседания и заседаний комитетов на шести официальных языках</w:t>
      </w:r>
      <w:r w:rsidR="00AB627B" w:rsidRPr="00875E94">
        <w:t xml:space="preserve">, сопровождавшаяся </w:t>
      </w:r>
      <w:r w:rsidRPr="00875E94">
        <w:t>вводом субтитров на английском языке, и на веб-сайте АР</w:t>
      </w:r>
      <w:r w:rsidR="00E705E9" w:rsidRPr="00875E94">
        <w:noBreakHyphen/>
      </w:r>
      <w:r w:rsidRPr="00875E94">
        <w:t>15 доступны соответствующие файлы (архивы).</w:t>
      </w:r>
    </w:p>
    <w:p w:rsidR="00C158DA" w:rsidRPr="00875E94" w:rsidRDefault="00C158DA" w:rsidP="00E705E9">
      <w:r w:rsidRPr="00875E94">
        <w:t xml:space="preserve">Полная информация об АР-15 размещена по адресу: </w:t>
      </w:r>
      <w:hyperlink r:id="rId12" w:history="1">
        <w:r w:rsidRPr="00875E94">
          <w:rPr>
            <w:rStyle w:val="Hyperlink"/>
            <w:rFonts w:asciiTheme="majorBidi" w:hAnsiTheme="majorBidi" w:cstheme="majorBidi"/>
            <w:szCs w:val="24"/>
          </w:rPr>
          <w:t>http://www.itu.int/en/ITU-R/conferences/RA/2015</w:t>
        </w:r>
      </w:hyperlink>
      <w:r w:rsidRPr="00875E94">
        <w:t>.</w:t>
      </w:r>
    </w:p>
    <w:p w:rsidR="00C158DA" w:rsidRPr="00875E94" w:rsidRDefault="00C158DA" w:rsidP="00E705E9">
      <w:pPr>
        <w:rPr>
          <w:rFonts w:eastAsia="Arial Unicode MS"/>
        </w:rPr>
      </w:pPr>
      <w:r w:rsidRPr="00875E94">
        <w:rPr>
          <w:rFonts w:eastAsia="Arial Unicode MS"/>
        </w:rPr>
        <w:t>Ассамблея радиосвязи осуществила значительный пересмотр Резолюции МСЭ-R 1 "Методы работы ассамблеи радиосвязи, исследовательских комиссий по радиосвязи, Консультативной группы по</w:t>
      </w:r>
      <w:r w:rsidR="00E705E9" w:rsidRPr="00875E94">
        <w:rPr>
          <w:rFonts w:eastAsia="Arial Unicode MS"/>
        </w:rPr>
        <w:t> </w:t>
      </w:r>
      <w:r w:rsidRPr="00875E94">
        <w:rPr>
          <w:rFonts w:eastAsia="Arial Unicode MS"/>
        </w:rPr>
        <w:t>радиосвязи и других групп Сектора радиосвязи" в целях согласования и пояснения процедур, используемых исследовательскими комиссиями МСЭ-R.</w:t>
      </w:r>
    </w:p>
    <w:p w:rsidR="00C158DA" w:rsidRPr="00875E94" w:rsidRDefault="00C158DA" w:rsidP="00E705E9">
      <w:pPr>
        <w:rPr>
          <w:rFonts w:eastAsia="Arial Unicode MS"/>
        </w:rPr>
      </w:pPr>
      <w:r w:rsidRPr="00875E94">
        <w:rPr>
          <w:rFonts w:eastAsia="Arial Unicode MS"/>
        </w:rPr>
        <w:t>Наряду с этим была обновлена Резолюция МСЭ-R 2 "Подготовительное собрание к конференции" и</w:t>
      </w:r>
      <w:r w:rsidR="00E705E9" w:rsidRPr="00875E94">
        <w:rPr>
          <w:rFonts w:eastAsia="Arial Unicode MS"/>
        </w:rPr>
        <w:t> </w:t>
      </w:r>
      <w:r w:rsidRPr="00875E94">
        <w:rPr>
          <w:rFonts w:eastAsia="Arial Unicode MS"/>
        </w:rPr>
        <w:t>исключена Резолюция МСЭ-R 38 "</w:t>
      </w:r>
      <w:r w:rsidRPr="00875E94">
        <w:t xml:space="preserve">Изучение </w:t>
      </w:r>
      <w:proofErr w:type="spellStart"/>
      <w:r w:rsidRPr="00875E94">
        <w:t>регламентарных</w:t>
      </w:r>
      <w:proofErr w:type="spellEnd"/>
      <w:r w:rsidRPr="00875E94">
        <w:t>/процедурных вопросов</w:t>
      </w:r>
      <w:r w:rsidRPr="00875E94">
        <w:rPr>
          <w:rFonts w:eastAsia="Arial Unicode MS"/>
        </w:rPr>
        <w:t>".</w:t>
      </w:r>
    </w:p>
    <w:p w:rsidR="00C158DA" w:rsidRPr="00875E94" w:rsidRDefault="00C158DA" w:rsidP="00C158DA">
      <w:pPr>
        <w:rPr>
          <w:rFonts w:asciiTheme="majorBidi" w:eastAsia="Arial Unicode MS" w:hAnsiTheme="majorBidi" w:cstheme="majorBidi"/>
        </w:rPr>
      </w:pPr>
      <w:r w:rsidRPr="00875E94">
        <w:rPr>
          <w:rFonts w:eastAsia="Arial Unicode MS"/>
        </w:rPr>
        <w:t xml:space="preserve">Структура исследовательских комиссий МСЭ-R не изменилась, поэтому в новом исследовательском периоде (2015–2019 гг.) продолжат свою работу существующие шесть исследовательских комиссий МСЭ-R с теми же сферами деятельности. В соответствии с положениями Резолюции МСЭ-R 15 "Назначение и максимальный срок полномочий председателей и 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радиосвязи" были назначены председатели и заместители председателей этих групп, в зависимости от случая. Структура исследовательских комиссий по радиосвязи, включая сферы их деятельности, председателей и заместителей председателей, представлены в Резолюции </w:t>
      </w:r>
      <w:r w:rsidRPr="00875E94">
        <w:rPr>
          <w:rFonts w:asciiTheme="majorBidi" w:eastAsia="Arial Unicode MS" w:hAnsiTheme="majorBidi" w:cstheme="majorBidi"/>
        </w:rPr>
        <w:t>МСЭ-R 4 (</w:t>
      </w:r>
      <w:hyperlink r:id="rId13" w:history="1">
        <w:r w:rsidRPr="00875E94">
          <w:rPr>
            <w:rStyle w:val="Hyperlink"/>
            <w:rFonts w:asciiTheme="majorBidi" w:eastAsia="Arial Unicode MS" w:hAnsiTheme="majorBidi" w:cstheme="majorBidi"/>
            <w:szCs w:val="24"/>
          </w:rPr>
          <w:t>http://www.itu.int/pub/R-RES-R.4</w:t>
        </w:r>
      </w:hyperlink>
      <w:r w:rsidRPr="00875E94">
        <w:rPr>
          <w:rFonts w:asciiTheme="majorBidi" w:eastAsia="Arial Unicode MS" w:hAnsiTheme="majorBidi" w:cstheme="majorBidi"/>
        </w:rPr>
        <w:t>).</w:t>
      </w:r>
    </w:p>
    <w:p w:rsidR="00C158DA" w:rsidRPr="00875E94" w:rsidRDefault="00C158DA" w:rsidP="00E705E9">
      <w:pPr>
        <w:rPr>
          <w:rFonts w:eastAsia="Arial Unicode MS"/>
        </w:rPr>
      </w:pPr>
      <w:r w:rsidRPr="00875E94">
        <w:rPr>
          <w:rFonts w:eastAsia="Arial Unicode MS"/>
        </w:rPr>
        <w:t xml:space="preserve">АР-15 утвердила программу работы и Вопросы исследовательских комиссий по радиосвязи (см. Резолюцию МСЭ-R 5, </w:t>
      </w:r>
      <w:hyperlink r:id="rId14" w:history="1">
        <w:r w:rsidRPr="00875E94">
          <w:rPr>
            <w:rStyle w:val="Hyperlink"/>
            <w:rFonts w:asciiTheme="majorBidi" w:eastAsia="Arial Unicode MS" w:hAnsiTheme="majorBidi" w:cstheme="majorBidi"/>
            <w:szCs w:val="24"/>
          </w:rPr>
          <w:t>http://www.itu.int/pub/R-RES-R.5</w:t>
        </w:r>
      </w:hyperlink>
      <w:r w:rsidRPr="00875E94">
        <w:rPr>
          <w:rFonts w:eastAsia="Arial Unicode MS"/>
        </w:rPr>
        <w:t>), а также проекты шести Рекомендаций МСЭ-R и проект одного Вопроса МСЭ-R, которые были представлены Ассамблее.</w:t>
      </w:r>
    </w:p>
    <w:p w:rsidR="00C158DA" w:rsidRPr="00875E94" w:rsidRDefault="00C158DA" w:rsidP="00C158DA">
      <w:pPr>
        <w:rPr>
          <w:rFonts w:asciiTheme="majorBidi" w:eastAsia="Arial Unicode MS" w:hAnsiTheme="majorBidi" w:cstheme="majorBidi"/>
        </w:rPr>
      </w:pPr>
      <w:r w:rsidRPr="00875E94">
        <w:rPr>
          <w:rFonts w:asciiTheme="majorBidi" w:eastAsia="Arial Unicode MS" w:hAnsiTheme="majorBidi" w:cstheme="majorBidi"/>
        </w:rPr>
        <w:t>В общей сложности были утверждены 36 новых и пересмотренных Резолюций МСЭ-R, в том числе:</w:t>
      </w:r>
    </w:p>
    <w:p w:rsidR="00C158DA" w:rsidRPr="00875E94" w:rsidRDefault="00C158DA" w:rsidP="00E705E9">
      <w:pPr>
        <w:pStyle w:val="enumlev1"/>
        <w:rPr>
          <w:rFonts w:eastAsia="Arial Unicode MS"/>
        </w:rPr>
      </w:pPr>
      <w:r w:rsidRPr="00875E94">
        <w:rPr>
          <w:rFonts w:eastAsia="Arial Unicode MS"/>
        </w:rPr>
        <w:t>•</w:t>
      </w:r>
      <w:r w:rsidRPr="00875E94">
        <w:rPr>
          <w:rFonts w:eastAsia="Arial Unicode MS"/>
        </w:rPr>
        <w:tab/>
      </w:r>
      <w:r w:rsidRPr="00875E94">
        <w:rPr>
          <w:rFonts w:eastAsia="Arial Unicode MS"/>
          <w:b/>
          <w:bCs/>
        </w:rPr>
        <w:t>Резолюция МСЭ-R 55</w:t>
      </w:r>
      <w:r w:rsidRPr="00875E94">
        <w:rPr>
          <w:rFonts w:eastAsia="Arial Unicode MS"/>
        </w:rPr>
        <w:t> – Исследования МСЭ-R в области прогнозирования, обнаружения, смягчения последствий бедствий и оказания помощи при бедствиях (</w:t>
      </w:r>
      <w:hyperlink r:id="rId15" w:history="1">
        <w:r w:rsidRPr="00875E94">
          <w:rPr>
            <w:rStyle w:val="Hyperlink"/>
            <w:rFonts w:asciiTheme="majorBidi" w:eastAsia="Arial Unicode MS" w:hAnsiTheme="majorBidi" w:cstheme="majorBidi"/>
            <w:szCs w:val="22"/>
          </w:rPr>
          <w:t>http://www.itu.int/pub/R-RES-R.55</w:t>
        </w:r>
      </w:hyperlink>
      <w:r w:rsidRPr="00875E94">
        <w:rPr>
          <w:rFonts w:eastAsia="Arial Unicode MS"/>
        </w:rPr>
        <w:t>);</w:t>
      </w:r>
    </w:p>
    <w:p w:rsidR="00C158DA" w:rsidRPr="00875E94" w:rsidRDefault="00C158DA" w:rsidP="00E705E9">
      <w:pPr>
        <w:pStyle w:val="enumlev1"/>
        <w:rPr>
          <w:rFonts w:eastAsia="Arial Unicode MS"/>
          <w:szCs w:val="22"/>
        </w:rPr>
      </w:pPr>
      <w:r w:rsidRPr="00875E94">
        <w:rPr>
          <w:rFonts w:eastAsia="Arial Unicode MS"/>
        </w:rPr>
        <w:t>•</w:t>
      </w:r>
      <w:r w:rsidRPr="00875E94">
        <w:rPr>
          <w:rFonts w:eastAsia="Arial Unicode MS"/>
        </w:rPr>
        <w:tab/>
      </w:r>
      <w:r w:rsidRPr="00875E94">
        <w:rPr>
          <w:rFonts w:eastAsia="Arial Unicode MS"/>
          <w:b/>
          <w:bCs/>
        </w:rPr>
        <w:t>Резолюция МСЭ-R 65</w:t>
      </w:r>
      <w:r w:rsidRPr="00875E94">
        <w:rPr>
          <w:rFonts w:eastAsia="Arial Unicode MS"/>
        </w:rPr>
        <w:t> – Принципы</w:t>
      </w:r>
      <w:r w:rsidRPr="00875E94">
        <w:t xml:space="preserve"> процесса будущего развития систем </w:t>
      </w:r>
      <w:proofErr w:type="spellStart"/>
      <w:r w:rsidRPr="00875E94">
        <w:t>IMT</w:t>
      </w:r>
      <w:proofErr w:type="spellEnd"/>
      <w:r w:rsidRPr="00875E94">
        <w:t xml:space="preserve"> на период до 2020 года и далее</w:t>
      </w:r>
      <w:r w:rsidRPr="00875E94">
        <w:rPr>
          <w:rFonts w:eastAsia="Arial Unicode MS"/>
        </w:rPr>
        <w:t xml:space="preserve"> (</w:t>
      </w:r>
      <w:hyperlink r:id="rId16" w:history="1">
        <w:r w:rsidRPr="00875E94">
          <w:rPr>
            <w:rStyle w:val="Hyperlink"/>
            <w:rFonts w:asciiTheme="majorBidi" w:eastAsia="Arial Unicode MS" w:hAnsiTheme="majorBidi" w:cstheme="majorBidi"/>
            <w:szCs w:val="22"/>
          </w:rPr>
          <w:t>http://www.itu.int/pub/R-RES-R.65</w:t>
        </w:r>
      </w:hyperlink>
      <w:r w:rsidRPr="00875E94">
        <w:rPr>
          <w:rFonts w:eastAsia="Arial Unicode MS"/>
          <w:szCs w:val="22"/>
        </w:rPr>
        <w:t>);</w:t>
      </w:r>
    </w:p>
    <w:p w:rsidR="00C158DA" w:rsidRPr="00875E94" w:rsidRDefault="00C158DA" w:rsidP="00E705E9">
      <w:pPr>
        <w:pStyle w:val="enumlev1"/>
        <w:rPr>
          <w:rFonts w:eastAsia="Arial Unicode MS"/>
        </w:rPr>
      </w:pPr>
      <w:r w:rsidRPr="00875E94">
        <w:rPr>
          <w:rFonts w:eastAsia="Arial Unicode MS"/>
        </w:rPr>
        <w:t>•</w:t>
      </w:r>
      <w:r w:rsidRPr="00875E94">
        <w:rPr>
          <w:rFonts w:eastAsia="Arial Unicode MS"/>
        </w:rPr>
        <w:tab/>
      </w:r>
      <w:r w:rsidRPr="00875E94">
        <w:rPr>
          <w:rFonts w:eastAsia="Arial Unicode MS"/>
          <w:b/>
          <w:bCs/>
        </w:rPr>
        <w:t>Резолюция МСЭ-R 66</w:t>
      </w:r>
      <w:r w:rsidRPr="00875E94">
        <w:rPr>
          <w:rFonts w:eastAsia="Arial Unicode MS"/>
        </w:rPr>
        <w:t> – Исследования</w:t>
      </w:r>
      <w:r w:rsidRPr="00875E94">
        <w:t>, касающиеся беспроводных систем и приложений для развития интернета вещей</w:t>
      </w:r>
      <w:r w:rsidRPr="00875E94">
        <w:rPr>
          <w:rFonts w:eastAsia="Arial Unicode MS"/>
        </w:rPr>
        <w:t xml:space="preserve"> (</w:t>
      </w:r>
      <w:proofErr w:type="spellStart"/>
      <w:r w:rsidRPr="00875E94">
        <w:rPr>
          <w:rFonts w:eastAsia="Arial Unicode MS"/>
        </w:rPr>
        <w:t>IoT</w:t>
      </w:r>
      <w:proofErr w:type="spellEnd"/>
      <w:r w:rsidRPr="00875E94">
        <w:rPr>
          <w:rFonts w:eastAsia="Arial Unicode MS"/>
        </w:rPr>
        <w:t>) (</w:t>
      </w:r>
      <w:hyperlink r:id="rId17" w:history="1">
        <w:r w:rsidRPr="00875E94">
          <w:rPr>
            <w:rStyle w:val="Hyperlink"/>
            <w:rFonts w:asciiTheme="majorBidi" w:eastAsia="Arial Unicode MS" w:hAnsiTheme="majorBidi" w:cstheme="majorBidi"/>
            <w:szCs w:val="22"/>
          </w:rPr>
          <w:t>http://www.itu.int/pub/R-RES-R.66</w:t>
        </w:r>
      </w:hyperlink>
      <w:r w:rsidRPr="00875E94">
        <w:rPr>
          <w:rFonts w:eastAsia="Arial Unicode MS"/>
        </w:rPr>
        <w:t>);</w:t>
      </w:r>
    </w:p>
    <w:p w:rsidR="00C158DA" w:rsidRPr="00875E94" w:rsidRDefault="00C158DA" w:rsidP="00E705E9">
      <w:pPr>
        <w:pStyle w:val="enumlev1"/>
        <w:rPr>
          <w:rFonts w:eastAsia="Arial Unicode MS"/>
        </w:rPr>
      </w:pPr>
      <w:r w:rsidRPr="00875E94">
        <w:rPr>
          <w:rFonts w:eastAsia="Arial Unicode MS"/>
        </w:rPr>
        <w:t>•</w:t>
      </w:r>
      <w:r w:rsidRPr="00875E94">
        <w:rPr>
          <w:rFonts w:eastAsia="Arial Unicode MS"/>
        </w:rPr>
        <w:tab/>
      </w:r>
      <w:r w:rsidRPr="00875E94">
        <w:rPr>
          <w:rFonts w:eastAsia="Arial Unicode MS"/>
          <w:b/>
          <w:bCs/>
        </w:rPr>
        <w:t>Резолюция МСЭ-R 67</w:t>
      </w:r>
      <w:r w:rsidRPr="00875E94">
        <w:rPr>
          <w:rFonts w:eastAsia="Arial Unicode MS"/>
        </w:rPr>
        <w:t> – </w:t>
      </w:r>
      <w:r w:rsidRPr="00875E94">
        <w:t>Доступность электросвязи/ИКТ для лиц с ограниченными возможностями и лиц с особыми потребностями</w:t>
      </w:r>
      <w:r w:rsidRPr="00875E94">
        <w:rPr>
          <w:rFonts w:eastAsia="Arial Unicode MS"/>
        </w:rPr>
        <w:t xml:space="preserve"> (</w:t>
      </w:r>
      <w:hyperlink r:id="rId18" w:history="1">
        <w:r w:rsidRPr="00875E94">
          <w:rPr>
            <w:rStyle w:val="Hyperlink"/>
            <w:rFonts w:asciiTheme="majorBidi" w:eastAsia="Arial Unicode MS" w:hAnsiTheme="majorBidi" w:cstheme="majorBidi"/>
            <w:szCs w:val="22"/>
          </w:rPr>
          <w:t>http://www.itu.int/pub/R-RES-R.67</w:t>
        </w:r>
      </w:hyperlink>
      <w:r w:rsidRPr="00875E94">
        <w:rPr>
          <w:rFonts w:eastAsia="Arial Unicode MS"/>
        </w:rPr>
        <w:t>);</w:t>
      </w:r>
    </w:p>
    <w:p w:rsidR="00C158DA" w:rsidRPr="00875E94" w:rsidRDefault="00C158DA" w:rsidP="00E705E9">
      <w:pPr>
        <w:pStyle w:val="enumlev1"/>
        <w:rPr>
          <w:rFonts w:eastAsia="Arial Unicode MS"/>
        </w:rPr>
      </w:pPr>
      <w:r w:rsidRPr="00875E94">
        <w:rPr>
          <w:rFonts w:eastAsia="Arial Unicode MS"/>
        </w:rPr>
        <w:t>•</w:t>
      </w:r>
      <w:r w:rsidRPr="00875E94">
        <w:rPr>
          <w:rFonts w:eastAsia="Arial Unicode MS"/>
        </w:rPr>
        <w:tab/>
      </w:r>
      <w:r w:rsidRPr="00875E94">
        <w:rPr>
          <w:rFonts w:eastAsia="Arial Unicode MS"/>
          <w:b/>
          <w:bCs/>
        </w:rPr>
        <w:t>Резолюция МСЭ-R 68</w:t>
      </w:r>
      <w:r w:rsidRPr="00875E94">
        <w:rPr>
          <w:rFonts w:eastAsia="Arial Unicode MS"/>
        </w:rPr>
        <w:t> – </w:t>
      </w:r>
      <w:r w:rsidRPr="00875E94">
        <w:t xml:space="preserve">Улучшение распространения знаний о применимых </w:t>
      </w:r>
      <w:proofErr w:type="spellStart"/>
      <w:r w:rsidRPr="00875E94">
        <w:t>регламентарных</w:t>
      </w:r>
      <w:proofErr w:type="spellEnd"/>
      <w:r w:rsidRPr="00875E94">
        <w:t xml:space="preserve"> процедурах для малых спутников, включая </w:t>
      </w:r>
      <w:proofErr w:type="spellStart"/>
      <w:r w:rsidRPr="00875E94">
        <w:t>наноспутники</w:t>
      </w:r>
      <w:proofErr w:type="spellEnd"/>
      <w:r w:rsidRPr="00875E94">
        <w:t xml:space="preserve"> и</w:t>
      </w:r>
      <w:r w:rsidR="00E705E9" w:rsidRPr="00875E94">
        <w:t> </w:t>
      </w:r>
      <w:proofErr w:type="spellStart"/>
      <w:r w:rsidRPr="00875E94">
        <w:t>пикоспутники</w:t>
      </w:r>
      <w:proofErr w:type="spellEnd"/>
      <w:r w:rsidRPr="00875E94">
        <w:rPr>
          <w:rFonts w:eastAsia="Arial Unicode MS"/>
        </w:rPr>
        <w:t xml:space="preserve"> (</w:t>
      </w:r>
      <w:hyperlink r:id="rId19" w:history="1">
        <w:r w:rsidRPr="00875E94">
          <w:rPr>
            <w:rStyle w:val="Hyperlink"/>
            <w:rFonts w:asciiTheme="majorBidi" w:eastAsia="Arial Unicode MS" w:hAnsiTheme="majorBidi" w:cstheme="majorBidi"/>
            <w:szCs w:val="22"/>
          </w:rPr>
          <w:t>http://www.itu.int/pub/R-RES-R.68</w:t>
        </w:r>
      </w:hyperlink>
      <w:r w:rsidRPr="00875E94">
        <w:rPr>
          <w:rFonts w:eastAsia="Arial Unicode MS"/>
        </w:rPr>
        <w:t>);</w:t>
      </w:r>
    </w:p>
    <w:p w:rsidR="00C158DA" w:rsidRPr="00875E94" w:rsidRDefault="00C158DA" w:rsidP="00E705E9">
      <w:pPr>
        <w:pStyle w:val="enumlev1"/>
        <w:rPr>
          <w:rFonts w:eastAsia="Arial Unicode MS"/>
        </w:rPr>
      </w:pPr>
      <w:r w:rsidRPr="00875E94">
        <w:rPr>
          <w:rFonts w:eastAsia="Arial Unicode MS"/>
        </w:rPr>
        <w:t>•</w:t>
      </w:r>
      <w:r w:rsidRPr="00875E94">
        <w:rPr>
          <w:rFonts w:eastAsia="Arial Unicode MS"/>
        </w:rPr>
        <w:tab/>
      </w:r>
      <w:r w:rsidRPr="00875E94">
        <w:rPr>
          <w:rFonts w:eastAsia="Arial Unicode MS"/>
          <w:b/>
          <w:bCs/>
        </w:rPr>
        <w:t>Резолюция МСЭ-R 69</w:t>
      </w:r>
      <w:r w:rsidRPr="00875E94">
        <w:rPr>
          <w:rFonts w:eastAsia="Arial Unicode MS"/>
        </w:rPr>
        <w:t> –</w:t>
      </w:r>
      <w:r w:rsidRPr="00875E94">
        <w:rPr>
          <w:rFonts w:eastAsia="Arial Unicode MS"/>
          <w:b/>
          <w:bCs/>
        </w:rPr>
        <w:t> </w:t>
      </w:r>
      <w:r w:rsidRPr="00875E94">
        <w:t xml:space="preserve">Развитие и развертывание международной электросвязи общего пользования, </w:t>
      </w:r>
      <w:r w:rsidRPr="00875E94">
        <w:rPr>
          <w:rFonts w:eastAsia="Arial Unicode MS"/>
        </w:rPr>
        <w:t>осуществляемой</w:t>
      </w:r>
      <w:r w:rsidRPr="00875E94">
        <w:t xml:space="preserve"> через спутник, в развивающихся странах</w:t>
      </w:r>
      <w:r w:rsidRPr="00875E94">
        <w:rPr>
          <w:rFonts w:eastAsia="Arial Unicode MS"/>
        </w:rPr>
        <w:t xml:space="preserve"> (</w:t>
      </w:r>
      <w:hyperlink r:id="rId20" w:history="1">
        <w:r w:rsidRPr="00875E94">
          <w:rPr>
            <w:rStyle w:val="Hyperlink"/>
            <w:rFonts w:asciiTheme="majorBidi" w:eastAsia="Arial Unicode MS" w:hAnsiTheme="majorBidi" w:cstheme="majorBidi"/>
            <w:szCs w:val="22"/>
          </w:rPr>
          <w:t>http://www.itu.int/pub/R-RES-R.69</w:t>
        </w:r>
      </w:hyperlink>
      <w:r w:rsidRPr="00875E94">
        <w:rPr>
          <w:rFonts w:eastAsia="Arial Unicode MS"/>
        </w:rPr>
        <w:t>).</w:t>
      </w:r>
    </w:p>
    <w:p w:rsidR="00C158DA" w:rsidRPr="00875E94" w:rsidRDefault="00C158DA" w:rsidP="00AA75C1">
      <w:pPr>
        <w:rPr>
          <w:rFonts w:eastAsia="Arial Unicode MS"/>
        </w:rPr>
      </w:pPr>
      <w:r w:rsidRPr="00875E94">
        <w:rPr>
          <w:rFonts w:eastAsia="Arial Unicode MS"/>
        </w:rPr>
        <w:t xml:space="preserve">Решения АР-15, имеющие непосредственное отношение к </w:t>
      </w:r>
      <w:proofErr w:type="spellStart"/>
      <w:r w:rsidRPr="00875E94">
        <w:rPr>
          <w:rFonts w:eastAsia="Arial Unicode MS"/>
        </w:rPr>
        <w:t>В</w:t>
      </w:r>
      <w:r w:rsidR="00AA75C1">
        <w:rPr>
          <w:rFonts w:eastAsia="Arial Unicode MS"/>
        </w:rPr>
        <w:t>КР</w:t>
      </w:r>
      <w:proofErr w:type="spellEnd"/>
      <w:r w:rsidR="00AA75C1">
        <w:rPr>
          <w:rFonts w:eastAsia="Arial Unicode MS"/>
        </w:rPr>
        <w:t>-15, отражены в Документе </w:t>
      </w:r>
      <w:r w:rsidRPr="00875E94">
        <w:rPr>
          <w:rFonts w:eastAsia="Arial Unicode MS"/>
        </w:rPr>
        <w:t>216</w:t>
      </w:r>
      <w:r w:rsidR="00AA75C1">
        <w:rPr>
          <w:rFonts w:eastAsia="Arial Unicode MS"/>
        </w:rPr>
        <w:t xml:space="preserve"> </w:t>
      </w:r>
      <w:proofErr w:type="spellStart"/>
      <w:r w:rsidR="00AA75C1">
        <w:rPr>
          <w:rFonts w:eastAsia="Arial Unicode MS"/>
        </w:rPr>
        <w:t>ВКР</w:t>
      </w:r>
      <w:proofErr w:type="spellEnd"/>
      <w:r w:rsidR="00AA75C1">
        <w:rPr>
          <w:rFonts w:eastAsia="Arial Unicode MS"/>
        </w:rPr>
        <w:noBreakHyphen/>
        <w:t>15</w:t>
      </w:r>
      <w:r w:rsidRPr="00875E94">
        <w:rPr>
          <w:rFonts w:eastAsia="Arial Unicode MS"/>
        </w:rPr>
        <w:t xml:space="preserve"> (</w:t>
      </w:r>
      <w:hyperlink r:id="rId21" w:history="1">
        <w:r w:rsidRPr="00875E94">
          <w:rPr>
            <w:rStyle w:val="Hyperlink"/>
            <w:rFonts w:asciiTheme="majorBidi" w:eastAsia="Arial Unicode MS" w:hAnsiTheme="majorBidi" w:cstheme="majorBidi"/>
            <w:szCs w:val="24"/>
          </w:rPr>
          <w:t>http://www.itu.int/md/R15-WRC15-C-0216/</w:t>
        </w:r>
      </w:hyperlink>
      <w:r w:rsidRPr="00875E94">
        <w:rPr>
          <w:rFonts w:eastAsia="Arial Unicode MS"/>
        </w:rPr>
        <w:t>).</w:t>
      </w:r>
    </w:p>
    <w:p w:rsidR="00D70AFD" w:rsidRPr="00875E94" w:rsidRDefault="00D70AFD" w:rsidP="00D70AFD">
      <w:pPr>
        <w:pStyle w:val="Heading2"/>
      </w:pPr>
      <w:r w:rsidRPr="00875E94">
        <w:t>3.2</w:t>
      </w:r>
      <w:r w:rsidRPr="00875E94">
        <w:tab/>
      </w:r>
      <w:proofErr w:type="spellStart"/>
      <w:r w:rsidRPr="00875E94">
        <w:t>ВКР</w:t>
      </w:r>
      <w:proofErr w:type="spellEnd"/>
      <w:r w:rsidRPr="00875E94">
        <w:t>-15</w:t>
      </w:r>
    </w:p>
    <w:p w:rsidR="00D70AFD" w:rsidRPr="00875E94" w:rsidRDefault="00D70AFD" w:rsidP="00E705E9">
      <w:pPr>
        <w:pStyle w:val="Heading3"/>
      </w:pPr>
      <w:r w:rsidRPr="00875E94">
        <w:t>3.2.1</w:t>
      </w:r>
      <w:r w:rsidRPr="00875E94">
        <w:tab/>
        <w:t xml:space="preserve">Завершающий этап подготовки к </w:t>
      </w:r>
      <w:proofErr w:type="spellStart"/>
      <w:r w:rsidRPr="00875E94">
        <w:t>ВКР</w:t>
      </w:r>
      <w:proofErr w:type="spellEnd"/>
      <w:r w:rsidRPr="00875E94">
        <w:t>-15</w:t>
      </w:r>
    </w:p>
    <w:p w:rsidR="00D70AFD" w:rsidRPr="00875E94" w:rsidRDefault="00D70AFD" w:rsidP="00E705E9">
      <w:r w:rsidRPr="00875E94">
        <w:t xml:space="preserve">Следует отметить, что после 22-го собрания </w:t>
      </w:r>
      <w:proofErr w:type="spellStart"/>
      <w:r w:rsidRPr="00875E94">
        <w:t>КГР</w:t>
      </w:r>
      <w:proofErr w:type="spellEnd"/>
      <w:r w:rsidRPr="00875E94">
        <w:t xml:space="preserve">, состоявшегося в 2015 году, были продолжены мероприятия по подготовке к </w:t>
      </w:r>
      <w:proofErr w:type="spellStart"/>
      <w:r w:rsidRPr="00875E94">
        <w:t>ВКР</w:t>
      </w:r>
      <w:proofErr w:type="spellEnd"/>
      <w:r w:rsidRPr="00875E94">
        <w:t>-15 с учетом Резолюции 80 (</w:t>
      </w:r>
      <w:proofErr w:type="spellStart"/>
      <w:r w:rsidRPr="00875E94">
        <w:t>Пересм</w:t>
      </w:r>
      <w:proofErr w:type="spellEnd"/>
      <w:r w:rsidRPr="00875E94">
        <w:t>. Марракеш, 2002 г.), в</w:t>
      </w:r>
      <w:r w:rsidR="00E705E9" w:rsidRPr="00875E94">
        <w:t> </w:t>
      </w:r>
      <w:r w:rsidRPr="00875E94">
        <w:t xml:space="preserve">частности, путем активного участия </w:t>
      </w:r>
      <w:proofErr w:type="spellStart"/>
      <w:r w:rsidRPr="00875E94">
        <w:t>БР</w:t>
      </w:r>
      <w:proofErr w:type="spellEnd"/>
      <w:r w:rsidRPr="00875E94">
        <w:t xml:space="preserve"> в заключительных подготовительных собраниях региональных групп, в том числе </w:t>
      </w:r>
      <w:proofErr w:type="spellStart"/>
      <w:r w:rsidRPr="00875E94">
        <w:t>АТСЭ</w:t>
      </w:r>
      <w:proofErr w:type="spellEnd"/>
      <w:r w:rsidRPr="00875E94">
        <w:t xml:space="preserve">, </w:t>
      </w:r>
      <w:proofErr w:type="spellStart"/>
      <w:r w:rsidRPr="00875E94">
        <w:t>ASMG</w:t>
      </w:r>
      <w:proofErr w:type="spellEnd"/>
      <w:r w:rsidRPr="00875E94">
        <w:t xml:space="preserve">, </w:t>
      </w:r>
      <w:proofErr w:type="spellStart"/>
      <w:r w:rsidRPr="00875E94">
        <w:t>АСЭ</w:t>
      </w:r>
      <w:proofErr w:type="spellEnd"/>
      <w:r w:rsidRPr="00875E94">
        <w:t xml:space="preserve">, СЕПТ, </w:t>
      </w:r>
      <w:proofErr w:type="spellStart"/>
      <w:r w:rsidRPr="00875E94">
        <w:t>СИТЕЛ</w:t>
      </w:r>
      <w:proofErr w:type="spellEnd"/>
      <w:r w:rsidRPr="00875E94">
        <w:t xml:space="preserve"> и </w:t>
      </w:r>
      <w:proofErr w:type="spellStart"/>
      <w:r w:rsidRPr="00875E94">
        <w:t>РСС</w:t>
      </w:r>
      <w:proofErr w:type="spellEnd"/>
      <w:r w:rsidRPr="00875E94">
        <w:t>. МСЭ, по возможности, оказывал помощь в проведении этих подготовительных мероприятий, и с учетом, в частности, Резолюции 72 (</w:t>
      </w:r>
      <w:proofErr w:type="spellStart"/>
      <w:r w:rsidRPr="00875E94">
        <w:t>Пересм</w:t>
      </w:r>
      <w:proofErr w:type="spellEnd"/>
      <w:r w:rsidRPr="00875E94">
        <w:t xml:space="preserve">. Женева, 2007 г.) </w:t>
      </w:r>
      <w:proofErr w:type="spellStart"/>
      <w:r w:rsidRPr="00875E94">
        <w:t>ВКР</w:t>
      </w:r>
      <w:proofErr w:type="spellEnd"/>
      <w:r w:rsidRPr="00875E94">
        <w:t xml:space="preserve">, провел 1–3 сентября 2015 года </w:t>
      </w:r>
      <w:hyperlink r:id="rId22" w:history="1">
        <w:r w:rsidRPr="00875E94">
          <w:rPr>
            <w:rStyle w:val="Hyperlink"/>
            <w:szCs w:val="24"/>
          </w:rPr>
          <w:t xml:space="preserve">3-й Межрегиональный семинар-практикум МСЭ по подготовке к </w:t>
        </w:r>
        <w:proofErr w:type="spellStart"/>
        <w:r w:rsidRPr="00875E94">
          <w:rPr>
            <w:rStyle w:val="Hyperlink"/>
            <w:szCs w:val="24"/>
          </w:rPr>
          <w:t>ВКР</w:t>
        </w:r>
        <w:proofErr w:type="spellEnd"/>
        <w:r w:rsidRPr="00875E94">
          <w:rPr>
            <w:rStyle w:val="Hyperlink"/>
            <w:szCs w:val="24"/>
          </w:rPr>
          <w:t>-15</w:t>
        </w:r>
      </w:hyperlink>
      <w:r w:rsidRPr="00875E94">
        <w:t>.</w:t>
      </w:r>
    </w:p>
    <w:p w:rsidR="00D70AFD" w:rsidRPr="00875E94" w:rsidRDefault="00D70AFD" w:rsidP="005247B9">
      <w:pPr>
        <w:pStyle w:val="Heading3"/>
      </w:pPr>
      <w:r w:rsidRPr="00875E94">
        <w:lastRenderedPageBreak/>
        <w:t>3.2.</w:t>
      </w:r>
      <w:r w:rsidR="00112F9F" w:rsidRPr="00875E94">
        <w:t>2</w:t>
      </w:r>
      <w:r w:rsidRPr="00875E94">
        <w:tab/>
        <w:t xml:space="preserve">Результаты </w:t>
      </w:r>
      <w:proofErr w:type="spellStart"/>
      <w:r w:rsidRPr="00875E94">
        <w:t>ВКР</w:t>
      </w:r>
      <w:proofErr w:type="spellEnd"/>
      <w:r w:rsidRPr="00875E94">
        <w:t>-15</w:t>
      </w:r>
    </w:p>
    <w:p w:rsidR="006067C1" w:rsidRPr="00875E94" w:rsidRDefault="006067C1" w:rsidP="00BC7400">
      <w:r w:rsidRPr="00875E94">
        <w:t xml:space="preserve">В соответствии с Резолюцией 807 (Женева, 2012 г.) </w:t>
      </w:r>
      <w:proofErr w:type="spellStart"/>
      <w:r w:rsidRPr="00875E94">
        <w:t>ВКР</w:t>
      </w:r>
      <w:proofErr w:type="spellEnd"/>
      <w:r w:rsidRPr="00875E94">
        <w:t xml:space="preserve">-12 и </w:t>
      </w:r>
      <w:r w:rsidR="00BC7400" w:rsidRPr="00875E94">
        <w:t xml:space="preserve">согласно </w:t>
      </w:r>
      <w:r w:rsidRPr="00875E94">
        <w:t>Резолюци</w:t>
      </w:r>
      <w:r w:rsidR="00BC7400" w:rsidRPr="00875E94">
        <w:t xml:space="preserve">и </w:t>
      </w:r>
      <w:r w:rsidRPr="00875E94">
        <w:t>1343 Совета Всемирная конференция радиосвязи 2015 года (</w:t>
      </w:r>
      <w:proofErr w:type="spellStart"/>
      <w:r w:rsidRPr="00875E94">
        <w:t>ВКР</w:t>
      </w:r>
      <w:proofErr w:type="spellEnd"/>
      <w:r w:rsidRPr="00875E94">
        <w:t xml:space="preserve">-15) </w:t>
      </w:r>
      <w:r w:rsidR="00BC7400" w:rsidRPr="00875E94">
        <w:t xml:space="preserve">была проведена </w:t>
      </w:r>
      <w:r w:rsidRPr="00875E94">
        <w:t xml:space="preserve">в Женеве </w:t>
      </w:r>
      <w:r w:rsidR="00BC7400" w:rsidRPr="00875E94">
        <w:t xml:space="preserve">с </w:t>
      </w:r>
      <w:r w:rsidRPr="00875E94">
        <w:t>2</w:t>
      </w:r>
      <w:r w:rsidR="00BC7400" w:rsidRPr="00875E94">
        <w:t xml:space="preserve"> по </w:t>
      </w:r>
      <w:r w:rsidRPr="00875E94">
        <w:t>27 ноября 2015 года.</w:t>
      </w:r>
    </w:p>
    <w:p w:rsidR="006067C1" w:rsidRPr="00875E94" w:rsidRDefault="006067C1" w:rsidP="005247B9">
      <w:pPr>
        <w:rPr>
          <w:rFonts w:eastAsia="Arial Unicode MS"/>
          <w:szCs w:val="24"/>
        </w:rPr>
      </w:pPr>
      <w:r w:rsidRPr="00875E94">
        <w:rPr>
          <w:color w:val="000000"/>
          <w:szCs w:val="24"/>
        </w:rPr>
        <w:t>В общей сложн</w:t>
      </w:r>
      <w:r w:rsidR="008809A7">
        <w:rPr>
          <w:color w:val="000000"/>
          <w:szCs w:val="24"/>
        </w:rPr>
        <w:t xml:space="preserve">ости на </w:t>
      </w:r>
      <w:proofErr w:type="spellStart"/>
      <w:r w:rsidR="008809A7">
        <w:rPr>
          <w:color w:val="000000"/>
          <w:szCs w:val="24"/>
        </w:rPr>
        <w:t>ВКР</w:t>
      </w:r>
      <w:proofErr w:type="spellEnd"/>
      <w:r w:rsidR="008809A7">
        <w:rPr>
          <w:color w:val="000000"/>
          <w:szCs w:val="24"/>
        </w:rPr>
        <w:t>-15 присутствовали 3</w:t>
      </w:r>
      <w:r w:rsidRPr="00875E94">
        <w:rPr>
          <w:color w:val="000000"/>
          <w:szCs w:val="24"/>
        </w:rPr>
        <w:t>275 участников, которые представляли 162</w:t>
      </w:r>
      <w:r w:rsidR="005247B9" w:rsidRPr="00875E94">
        <w:rPr>
          <w:color w:val="000000"/>
          <w:szCs w:val="24"/>
        </w:rPr>
        <w:t> </w:t>
      </w:r>
      <w:r w:rsidRPr="00875E94">
        <w:rPr>
          <w:color w:val="000000"/>
          <w:szCs w:val="24"/>
        </w:rPr>
        <w:t xml:space="preserve">Государства-Члена и 130 организаций-наблюдателей. </w:t>
      </w:r>
    </w:p>
    <w:p w:rsidR="006067C1" w:rsidRPr="00875E94" w:rsidRDefault="006067C1" w:rsidP="00BC7400">
      <w:r w:rsidRPr="00875E94">
        <w:rPr>
          <w:szCs w:val="24"/>
        </w:rPr>
        <w:t xml:space="preserve">На первом пленарном заседании </w:t>
      </w:r>
      <w:r w:rsidR="00112F9F" w:rsidRPr="00875E94">
        <w:rPr>
          <w:szCs w:val="24"/>
        </w:rPr>
        <w:t xml:space="preserve">Председателем </w:t>
      </w:r>
      <w:proofErr w:type="spellStart"/>
      <w:r w:rsidRPr="00875E94">
        <w:rPr>
          <w:szCs w:val="24"/>
        </w:rPr>
        <w:t>ВКР</w:t>
      </w:r>
      <w:proofErr w:type="spellEnd"/>
      <w:r w:rsidRPr="00875E94">
        <w:rPr>
          <w:szCs w:val="24"/>
        </w:rPr>
        <w:t xml:space="preserve">-15 был избран г-н </w:t>
      </w:r>
      <w:proofErr w:type="spellStart"/>
      <w:r w:rsidRPr="00875E94">
        <w:t>Фестус</w:t>
      </w:r>
      <w:proofErr w:type="spellEnd"/>
      <w:r w:rsidRPr="00875E94">
        <w:t xml:space="preserve"> Юсуфу </w:t>
      </w:r>
      <w:proofErr w:type="spellStart"/>
      <w:r w:rsidRPr="00875E94">
        <w:t>Нарай</w:t>
      </w:r>
      <w:proofErr w:type="spellEnd"/>
      <w:r w:rsidRPr="00875E94">
        <w:t xml:space="preserve"> </w:t>
      </w:r>
      <w:proofErr w:type="spellStart"/>
      <w:r w:rsidRPr="00875E94">
        <w:t>Доду</w:t>
      </w:r>
      <w:proofErr w:type="spellEnd"/>
      <w:r w:rsidRPr="00875E94">
        <w:t xml:space="preserve"> (Нигерия). </w:t>
      </w:r>
      <w:r w:rsidR="00BC7400" w:rsidRPr="00875E94">
        <w:t xml:space="preserve">Были </w:t>
      </w:r>
      <w:r w:rsidRPr="00875E94">
        <w:t xml:space="preserve">избраны следующие шесть заместителей </w:t>
      </w:r>
      <w:r w:rsidR="00112F9F" w:rsidRPr="00875E94">
        <w:t>Председателя</w:t>
      </w:r>
      <w:r w:rsidRPr="00875E94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67C1" w:rsidRPr="00875E94" w:rsidTr="00797218">
        <w:tc>
          <w:tcPr>
            <w:tcW w:w="4675" w:type="dxa"/>
          </w:tcPr>
          <w:p w:rsidR="006067C1" w:rsidRPr="00875E94" w:rsidRDefault="006067C1" w:rsidP="00E32416">
            <w:pPr>
              <w:pStyle w:val="enumlev1"/>
              <w:rPr>
                <w:szCs w:val="24"/>
              </w:rPr>
            </w:pPr>
            <w:r w:rsidRPr="00875E94">
              <w:t>г-н А. Джемисон (Новая Зеландия)</w:t>
            </w:r>
          </w:p>
        </w:tc>
        <w:tc>
          <w:tcPr>
            <w:tcW w:w="4675" w:type="dxa"/>
          </w:tcPr>
          <w:p w:rsidR="006067C1" w:rsidRPr="00875E94" w:rsidRDefault="006067C1" w:rsidP="00E32416">
            <w:pPr>
              <w:pStyle w:val="enumlev1"/>
              <w:rPr>
                <w:szCs w:val="24"/>
              </w:rPr>
            </w:pPr>
            <w:r w:rsidRPr="00875E94">
              <w:t xml:space="preserve">г-жа Д. </w:t>
            </w:r>
            <w:proofErr w:type="spellStart"/>
            <w:r w:rsidRPr="00875E94">
              <w:t>Томимура</w:t>
            </w:r>
            <w:proofErr w:type="spellEnd"/>
            <w:r w:rsidRPr="00875E94">
              <w:t xml:space="preserve"> (Бразилия)</w:t>
            </w:r>
          </w:p>
        </w:tc>
      </w:tr>
      <w:tr w:rsidR="006067C1" w:rsidRPr="00875E94" w:rsidTr="00797218">
        <w:tc>
          <w:tcPr>
            <w:tcW w:w="4675" w:type="dxa"/>
          </w:tcPr>
          <w:p w:rsidR="006067C1" w:rsidRPr="00875E94" w:rsidRDefault="006067C1" w:rsidP="00E32416">
            <w:pPr>
              <w:pStyle w:val="enumlev1"/>
              <w:rPr>
                <w:szCs w:val="24"/>
              </w:rPr>
            </w:pPr>
            <w:r w:rsidRPr="00875E94">
              <w:t xml:space="preserve">г-н </w:t>
            </w:r>
            <w:r w:rsidRPr="00875E94">
              <w:rPr>
                <w:rFonts w:eastAsia="MS Mincho"/>
              </w:rPr>
              <w:t>Ю. Аль-</w:t>
            </w:r>
            <w:proofErr w:type="spellStart"/>
            <w:r w:rsidRPr="00875E94">
              <w:rPr>
                <w:rFonts w:eastAsia="MS Mincho"/>
              </w:rPr>
              <w:t>Булуши</w:t>
            </w:r>
            <w:proofErr w:type="spellEnd"/>
            <w:r w:rsidRPr="00875E94">
              <w:t xml:space="preserve"> (Оман)</w:t>
            </w:r>
          </w:p>
        </w:tc>
        <w:tc>
          <w:tcPr>
            <w:tcW w:w="4675" w:type="dxa"/>
          </w:tcPr>
          <w:p w:rsidR="006067C1" w:rsidRPr="00875E94" w:rsidRDefault="006067C1" w:rsidP="00E32416">
            <w:pPr>
              <w:pStyle w:val="enumlev1"/>
              <w:rPr>
                <w:szCs w:val="24"/>
              </w:rPr>
            </w:pPr>
            <w:r w:rsidRPr="00875E94">
              <w:t xml:space="preserve">г-н А. </w:t>
            </w:r>
            <w:proofErr w:type="spellStart"/>
            <w:r w:rsidRPr="00875E94">
              <w:t>Кюн</w:t>
            </w:r>
            <w:proofErr w:type="spellEnd"/>
            <w:r w:rsidRPr="00875E94">
              <w:t xml:space="preserve"> (Германия)</w:t>
            </w:r>
          </w:p>
        </w:tc>
      </w:tr>
      <w:tr w:rsidR="006067C1" w:rsidRPr="00875E94" w:rsidTr="00797218">
        <w:tc>
          <w:tcPr>
            <w:tcW w:w="4675" w:type="dxa"/>
          </w:tcPr>
          <w:p w:rsidR="006067C1" w:rsidRPr="00875E94" w:rsidRDefault="006067C1" w:rsidP="00E32416">
            <w:pPr>
              <w:pStyle w:val="enumlev1"/>
              <w:rPr>
                <w:szCs w:val="24"/>
              </w:rPr>
            </w:pPr>
            <w:r w:rsidRPr="00875E94">
              <w:t>г-н Д. Обам (Кения)</w:t>
            </w:r>
          </w:p>
        </w:tc>
        <w:tc>
          <w:tcPr>
            <w:tcW w:w="4675" w:type="dxa"/>
          </w:tcPr>
          <w:p w:rsidR="006067C1" w:rsidRPr="00875E94" w:rsidRDefault="006067C1" w:rsidP="00E32416">
            <w:pPr>
              <w:pStyle w:val="enumlev1"/>
              <w:rPr>
                <w:szCs w:val="24"/>
              </w:rPr>
            </w:pPr>
            <w:r w:rsidRPr="00875E94">
              <w:t>г-н Н. Никифоров (Российская Федерация)</w:t>
            </w:r>
          </w:p>
        </w:tc>
      </w:tr>
    </w:tbl>
    <w:p w:rsidR="006067C1" w:rsidRPr="00875E94" w:rsidRDefault="006067C1" w:rsidP="008809A7">
      <w:pPr>
        <w:pStyle w:val="Normalaftertitle0"/>
        <w:spacing w:before="120" w:after="120"/>
      </w:pPr>
      <w:r w:rsidRPr="00875E94">
        <w:t xml:space="preserve">Были учреждены следующие комитеты (структуру </w:t>
      </w:r>
      <w:proofErr w:type="spellStart"/>
      <w:r w:rsidRPr="00875E94">
        <w:t>ВКР</w:t>
      </w:r>
      <w:proofErr w:type="spellEnd"/>
      <w:r w:rsidRPr="00875E94">
        <w:t xml:space="preserve">-15 см. также в Документе 20 </w:t>
      </w:r>
      <w:proofErr w:type="spellStart"/>
      <w:r w:rsidRPr="00875E94">
        <w:t>ВКР</w:t>
      </w:r>
      <w:proofErr w:type="spellEnd"/>
      <w:r w:rsidRPr="00875E94">
        <w:t>-15):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1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Руководящий комитет)</w:t>
            </w:r>
          </w:p>
        </w:tc>
        <w:tc>
          <w:tcPr>
            <w:tcW w:w="7087" w:type="dxa"/>
          </w:tcPr>
          <w:p w:rsidR="000327B6" w:rsidRPr="008809A7" w:rsidRDefault="000327B6" w:rsidP="00875E94">
            <w:pPr>
              <w:pStyle w:val="Tabletext"/>
              <w:rPr>
                <w:sz w:val="22"/>
                <w:szCs w:val="24"/>
              </w:rPr>
            </w:pPr>
            <w:r w:rsidRPr="008809A7">
              <w:rPr>
                <w:sz w:val="22"/>
                <w:szCs w:val="24"/>
              </w:rPr>
              <w:t>(в составе Председателя и заместителей Председателя Конференции, а</w:t>
            </w:r>
            <w:r w:rsidR="00033004" w:rsidRP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>также председателей и заместителей председателей Комитетов)</w:t>
            </w:r>
          </w:p>
        </w:tc>
      </w:tr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2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Комитет по проверке полномочий)</w:t>
            </w:r>
          </w:p>
        </w:tc>
        <w:tc>
          <w:tcPr>
            <w:tcW w:w="7087" w:type="dxa"/>
          </w:tcPr>
          <w:p w:rsidR="000327B6" w:rsidRPr="008809A7" w:rsidRDefault="000327B6" w:rsidP="008809A7">
            <w:pPr>
              <w:pStyle w:val="Tabletext"/>
              <w:tabs>
                <w:tab w:val="clear" w:pos="851"/>
                <w:tab w:val="clear" w:pos="1134"/>
                <w:tab w:val="clear" w:pos="1418"/>
                <w:tab w:val="clear" w:pos="1701"/>
                <w:tab w:val="left" w:pos="1593"/>
              </w:tabs>
              <w:rPr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>Председатель</w:t>
            </w:r>
            <w:r w:rsidRPr="008809A7">
              <w:rPr>
                <w:sz w:val="22"/>
                <w:szCs w:val="24"/>
              </w:rPr>
              <w:t xml:space="preserve">: </w:t>
            </w:r>
            <w:r w:rsidRPr="008809A7">
              <w:rPr>
                <w:sz w:val="22"/>
                <w:szCs w:val="24"/>
              </w:rPr>
              <w:tab/>
              <w:t>г-н Н. Миней (Австралия)</w:t>
            </w:r>
          </w:p>
          <w:p w:rsid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after="0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>Заместители</w:t>
            </w:r>
          </w:p>
          <w:p w:rsidR="000327B6" w:rsidRP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</w:tabs>
              <w:spacing w:before="0"/>
              <w:ind w:left="1593" w:hanging="1593"/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Председателя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г-н М. </w:t>
            </w:r>
            <w:proofErr w:type="spellStart"/>
            <w:r w:rsidRPr="008809A7">
              <w:rPr>
                <w:sz w:val="22"/>
                <w:szCs w:val="24"/>
              </w:rPr>
              <w:t>Омер</w:t>
            </w:r>
            <w:proofErr w:type="spellEnd"/>
            <w:r w:rsidRPr="008809A7">
              <w:rPr>
                <w:sz w:val="22"/>
                <w:szCs w:val="24"/>
              </w:rPr>
              <w:t xml:space="preserve"> (Судан); г-н Г. </w:t>
            </w:r>
            <w:proofErr w:type="spellStart"/>
            <w:r w:rsidRPr="008809A7">
              <w:rPr>
                <w:sz w:val="22"/>
                <w:szCs w:val="24"/>
              </w:rPr>
              <w:t>Канор</w:t>
            </w:r>
            <w:proofErr w:type="spellEnd"/>
            <w:r w:rsidRPr="008809A7">
              <w:rPr>
                <w:sz w:val="22"/>
                <w:szCs w:val="24"/>
              </w:rPr>
              <w:t xml:space="preserve"> (</w:t>
            </w:r>
            <w:r w:rsidRPr="008809A7">
              <w:rPr>
                <w:rFonts w:eastAsiaTheme="minorEastAsia"/>
                <w:sz w:val="22"/>
                <w:szCs w:val="24"/>
              </w:rPr>
              <w:t>Гана</w:t>
            </w:r>
            <w:r w:rsidRPr="008809A7">
              <w:rPr>
                <w:sz w:val="22"/>
                <w:szCs w:val="24"/>
              </w:rPr>
              <w:t>); г-н Э. Буде (Уругвай); г-н</w:t>
            </w:r>
            <w:r w:rsidR="008809A7">
              <w:rPr>
                <w:sz w:val="22"/>
                <w:szCs w:val="24"/>
              </w:rPr>
              <w:t xml:space="preserve"> Г. </w:t>
            </w:r>
            <w:proofErr w:type="spellStart"/>
            <w:r w:rsidR="008809A7">
              <w:rPr>
                <w:sz w:val="22"/>
                <w:szCs w:val="24"/>
              </w:rPr>
              <w:t>Осинга</w:t>
            </w:r>
            <w:proofErr w:type="spellEnd"/>
            <w:r w:rsidR="008809A7">
              <w:rPr>
                <w:sz w:val="22"/>
                <w:szCs w:val="24"/>
              </w:rPr>
              <w:t xml:space="preserve"> (Нидерланды); г</w:t>
            </w:r>
            <w:r w:rsidR="008809A7">
              <w:rPr>
                <w:sz w:val="22"/>
                <w:szCs w:val="24"/>
              </w:rPr>
              <w:noBreakHyphen/>
              <w:t>н Г. </w:t>
            </w:r>
            <w:r w:rsidRPr="008809A7">
              <w:rPr>
                <w:sz w:val="22"/>
                <w:szCs w:val="24"/>
              </w:rPr>
              <w:t>Абдуллаев (Азербайджан)</w:t>
            </w:r>
          </w:p>
        </w:tc>
      </w:tr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3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Комитет по</w:t>
            </w:r>
            <w:r w:rsidR="00033004" w:rsidRP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>бюджетному контролю)</w:t>
            </w:r>
          </w:p>
        </w:tc>
        <w:tc>
          <w:tcPr>
            <w:tcW w:w="7087" w:type="dxa"/>
          </w:tcPr>
          <w:p w:rsidR="000327B6" w:rsidRPr="008809A7" w:rsidRDefault="000327B6" w:rsidP="008809A7">
            <w:pPr>
              <w:pStyle w:val="Tabletext"/>
              <w:tabs>
                <w:tab w:val="clear" w:pos="851"/>
                <w:tab w:val="clear" w:pos="1134"/>
                <w:tab w:val="clear" w:pos="1418"/>
                <w:tab w:val="clear" w:pos="1701"/>
                <w:tab w:val="left" w:pos="1593"/>
              </w:tabs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Председатель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>г-н А. Кадыров (Узбекистан)</w:t>
            </w:r>
          </w:p>
          <w:p w:rsid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after="0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>Заместители</w:t>
            </w:r>
          </w:p>
          <w:p w:rsidR="000327B6" w:rsidRP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</w:tabs>
              <w:spacing w:before="0"/>
              <w:ind w:left="1593" w:hanging="1593"/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Председателя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г-жа Х. </w:t>
            </w:r>
            <w:proofErr w:type="spellStart"/>
            <w:r w:rsidRPr="008809A7">
              <w:rPr>
                <w:sz w:val="22"/>
                <w:szCs w:val="24"/>
              </w:rPr>
              <w:t>Сенг</w:t>
            </w:r>
            <w:proofErr w:type="spellEnd"/>
            <w:r w:rsidRPr="008809A7">
              <w:rPr>
                <w:sz w:val="22"/>
                <w:szCs w:val="24"/>
              </w:rPr>
              <w:t xml:space="preserve"> (Республика Корея); г-н А. </w:t>
            </w:r>
            <w:proofErr w:type="spellStart"/>
            <w:r w:rsidRPr="008809A7">
              <w:rPr>
                <w:sz w:val="22"/>
                <w:szCs w:val="24"/>
              </w:rPr>
              <w:t>Нволуне</w:t>
            </w:r>
            <w:proofErr w:type="spellEnd"/>
            <w:r w:rsidRPr="008809A7">
              <w:rPr>
                <w:sz w:val="22"/>
                <w:szCs w:val="24"/>
              </w:rPr>
              <w:t xml:space="preserve"> (Нигерия); г-н M. </w:t>
            </w:r>
            <w:proofErr w:type="spellStart"/>
            <w:r w:rsidRPr="008809A7">
              <w:rPr>
                <w:sz w:val="22"/>
                <w:szCs w:val="24"/>
              </w:rPr>
              <w:t>Солиман</w:t>
            </w:r>
            <w:proofErr w:type="spellEnd"/>
            <w:r w:rsidRPr="008809A7">
              <w:rPr>
                <w:rFonts w:eastAsiaTheme="minorEastAsia"/>
                <w:sz w:val="22"/>
                <w:szCs w:val="24"/>
              </w:rPr>
              <w:t xml:space="preserve"> (Египет); </w:t>
            </w:r>
            <w:r w:rsidRPr="008809A7">
              <w:rPr>
                <w:sz w:val="22"/>
                <w:szCs w:val="24"/>
              </w:rPr>
              <w:t>г-н Дж. Малколм (Ямайка); г-н A.</w:t>
            </w:r>
            <w:r w:rsidR="00112F9F" w:rsidRPr="008809A7">
              <w:rPr>
                <w:sz w:val="22"/>
                <w:szCs w:val="24"/>
              </w:rPr>
              <w:t> </w:t>
            </w:r>
            <w:proofErr w:type="spellStart"/>
            <w:r w:rsidRPr="008809A7">
              <w:rPr>
                <w:sz w:val="22"/>
                <w:szCs w:val="24"/>
              </w:rPr>
              <w:t>Йонссон</w:t>
            </w:r>
            <w:proofErr w:type="spellEnd"/>
            <w:r w:rsidRPr="008809A7">
              <w:rPr>
                <w:sz w:val="22"/>
                <w:szCs w:val="24"/>
              </w:rPr>
              <w:t xml:space="preserve"> (Швеция)</w:t>
            </w:r>
          </w:p>
        </w:tc>
      </w:tr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4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Переданные на</w:t>
            </w:r>
            <w:r w:rsidR="00033004" w:rsidRP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>рассмотрение</w:t>
            </w:r>
            <w:r w:rsidRPr="008809A7">
              <w:rPr>
                <w:sz w:val="22"/>
                <w:szCs w:val="24"/>
              </w:rPr>
              <w:br/>
              <w:t>пункты повестки дня)</w:t>
            </w:r>
          </w:p>
        </w:tc>
        <w:tc>
          <w:tcPr>
            <w:tcW w:w="7087" w:type="dxa"/>
          </w:tcPr>
          <w:p w:rsidR="000327B6" w:rsidRPr="008809A7" w:rsidRDefault="000327B6" w:rsidP="008809A7">
            <w:pPr>
              <w:pStyle w:val="Tabletext"/>
              <w:tabs>
                <w:tab w:val="clear" w:pos="851"/>
                <w:tab w:val="clear" w:pos="1134"/>
                <w:tab w:val="clear" w:pos="1418"/>
                <w:tab w:val="clear" w:pos="1701"/>
                <w:tab w:val="left" w:pos="1593"/>
              </w:tabs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Председатель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г-н M. </w:t>
            </w:r>
            <w:proofErr w:type="spellStart"/>
            <w:r w:rsidRPr="008809A7">
              <w:rPr>
                <w:sz w:val="22"/>
                <w:szCs w:val="24"/>
              </w:rPr>
              <w:t>Фентон</w:t>
            </w:r>
            <w:proofErr w:type="spellEnd"/>
            <w:r w:rsidRPr="008809A7">
              <w:rPr>
                <w:sz w:val="22"/>
                <w:szCs w:val="24"/>
              </w:rPr>
              <w:t xml:space="preserve"> (Соединенное Королевство)</w:t>
            </w:r>
          </w:p>
          <w:p w:rsid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after="0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Заместители </w:t>
            </w:r>
          </w:p>
          <w:p w:rsidR="000327B6" w:rsidRP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</w:tabs>
              <w:spacing w:before="0"/>
              <w:ind w:left="1593" w:hanging="1593"/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Председателя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г-н Ф. Се (Китай); г-н A. </w:t>
            </w:r>
            <w:proofErr w:type="spellStart"/>
            <w:r w:rsidRPr="008809A7">
              <w:rPr>
                <w:sz w:val="22"/>
                <w:szCs w:val="24"/>
              </w:rPr>
              <w:t>Белькадир</w:t>
            </w:r>
            <w:proofErr w:type="spellEnd"/>
            <w:r w:rsidRPr="008809A7">
              <w:rPr>
                <w:sz w:val="22"/>
                <w:szCs w:val="24"/>
              </w:rPr>
              <w:t xml:space="preserve"> (Марокко); г</w:t>
            </w:r>
            <w:r w:rsidR="008809A7">
              <w:rPr>
                <w:sz w:val="22"/>
                <w:szCs w:val="24"/>
              </w:rPr>
              <w:noBreakHyphen/>
            </w:r>
            <w:r w:rsidRPr="008809A7">
              <w:rPr>
                <w:sz w:val="22"/>
                <w:szCs w:val="24"/>
              </w:rPr>
              <w:t>н</w:t>
            </w:r>
            <w:r w:rsid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>У.</w:t>
            </w:r>
            <w:r w:rsidR="00112F9F" w:rsidRPr="008809A7">
              <w:rPr>
                <w:sz w:val="22"/>
                <w:szCs w:val="24"/>
              </w:rPr>
              <w:t> </w:t>
            </w:r>
            <w:proofErr w:type="spellStart"/>
            <w:r w:rsidRPr="008809A7">
              <w:rPr>
                <w:sz w:val="22"/>
                <w:szCs w:val="24"/>
              </w:rPr>
              <w:t>Саед</w:t>
            </w:r>
            <w:proofErr w:type="spellEnd"/>
            <w:r w:rsidRPr="008809A7">
              <w:rPr>
                <w:sz w:val="22"/>
                <w:szCs w:val="24"/>
              </w:rPr>
              <w:t xml:space="preserve"> (Египет); </w:t>
            </w:r>
            <w:r w:rsidR="008809A7">
              <w:rPr>
                <w:sz w:val="22"/>
                <w:szCs w:val="24"/>
              </w:rPr>
              <w:t xml:space="preserve">г-жа К. </w:t>
            </w:r>
            <w:proofErr w:type="spellStart"/>
            <w:r w:rsidR="008809A7">
              <w:rPr>
                <w:sz w:val="22"/>
                <w:szCs w:val="24"/>
              </w:rPr>
              <w:t>Бомье</w:t>
            </w:r>
            <w:proofErr w:type="spellEnd"/>
            <w:r w:rsidR="008809A7">
              <w:rPr>
                <w:sz w:val="22"/>
                <w:szCs w:val="24"/>
              </w:rPr>
              <w:t xml:space="preserve"> (Канада); г</w:t>
            </w:r>
            <w:r w:rsidR="008809A7">
              <w:rPr>
                <w:sz w:val="22"/>
                <w:szCs w:val="24"/>
              </w:rPr>
              <w:noBreakHyphen/>
            </w:r>
            <w:r w:rsidRPr="008809A7">
              <w:rPr>
                <w:sz w:val="22"/>
                <w:szCs w:val="24"/>
              </w:rPr>
              <w:t>н</w:t>
            </w:r>
            <w:r w:rsid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>В.</w:t>
            </w:r>
            <w:r w:rsidR="008809A7">
              <w:rPr>
                <w:sz w:val="22"/>
                <w:szCs w:val="24"/>
              </w:rPr>
              <w:t> </w:t>
            </w:r>
            <w:proofErr w:type="spellStart"/>
            <w:r w:rsidRPr="008809A7">
              <w:rPr>
                <w:sz w:val="22"/>
                <w:szCs w:val="24"/>
              </w:rPr>
              <w:t>Поскакухин</w:t>
            </w:r>
            <w:proofErr w:type="spellEnd"/>
            <w:r w:rsidRPr="008809A7">
              <w:rPr>
                <w:sz w:val="22"/>
                <w:szCs w:val="24"/>
              </w:rPr>
              <w:t xml:space="preserve"> (Российская Федерация)</w:t>
            </w:r>
          </w:p>
        </w:tc>
      </w:tr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5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Переданные на</w:t>
            </w:r>
            <w:r w:rsidR="00033004" w:rsidRP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 xml:space="preserve">рассмотрение </w:t>
            </w:r>
            <w:r w:rsidRPr="008809A7">
              <w:rPr>
                <w:sz w:val="22"/>
                <w:szCs w:val="24"/>
              </w:rPr>
              <w:br/>
              <w:t>пункты повестки дня)</w:t>
            </w:r>
          </w:p>
        </w:tc>
        <w:tc>
          <w:tcPr>
            <w:tcW w:w="7087" w:type="dxa"/>
          </w:tcPr>
          <w:p w:rsidR="000327B6" w:rsidRPr="008809A7" w:rsidRDefault="000327B6" w:rsidP="008809A7">
            <w:pPr>
              <w:pStyle w:val="Tabletext"/>
              <w:tabs>
                <w:tab w:val="clear" w:pos="851"/>
                <w:tab w:val="clear" w:pos="1134"/>
                <w:tab w:val="clear" w:pos="1418"/>
                <w:tab w:val="clear" w:pos="1701"/>
                <w:tab w:val="left" w:pos="1593"/>
              </w:tabs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Председатель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>г-н Х. Аль-</w:t>
            </w:r>
            <w:proofErr w:type="spellStart"/>
            <w:r w:rsidRPr="008809A7">
              <w:rPr>
                <w:sz w:val="22"/>
                <w:szCs w:val="24"/>
              </w:rPr>
              <w:t>Авади</w:t>
            </w:r>
            <w:proofErr w:type="spellEnd"/>
            <w:r w:rsidRPr="008809A7">
              <w:rPr>
                <w:sz w:val="22"/>
                <w:szCs w:val="24"/>
              </w:rPr>
              <w:t xml:space="preserve"> (Объединенные Арабские Эмираты)</w:t>
            </w:r>
          </w:p>
          <w:p w:rsid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after="0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Заместители </w:t>
            </w:r>
          </w:p>
          <w:p w:rsidR="000327B6" w:rsidRP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</w:tabs>
              <w:spacing w:before="0"/>
              <w:ind w:left="1593" w:hanging="1593"/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Председателя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г-н </w:t>
            </w:r>
            <w:proofErr w:type="spellStart"/>
            <w:r w:rsidRPr="008809A7">
              <w:rPr>
                <w:sz w:val="22"/>
                <w:szCs w:val="24"/>
              </w:rPr>
              <w:t>П.Н</w:t>
            </w:r>
            <w:proofErr w:type="spellEnd"/>
            <w:r w:rsidRPr="008809A7">
              <w:rPr>
                <w:sz w:val="22"/>
                <w:szCs w:val="24"/>
              </w:rPr>
              <w:t xml:space="preserve">. </w:t>
            </w:r>
            <w:proofErr w:type="spellStart"/>
            <w:r w:rsidRPr="008809A7">
              <w:rPr>
                <w:sz w:val="22"/>
                <w:szCs w:val="24"/>
              </w:rPr>
              <w:t>Пхуонг</w:t>
            </w:r>
            <w:proofErr w:type="spellEnd"/>
            <w:r w:rsidRPr="008809A7">
              <w:rPr>
                <w:sz w:val="22"/>
                <w:szCs w:val="24"/>
              </w:rPr>
              <w:t xml:space="preserve"> (Вьетнам); г-н М. </w:t>
            </w:r>
            <w:proofErr w:type="spellStart"/>
            <w:r w:rsidRPr="008809A7">
              <w:rPr>
                <w:sz w:val="22"/>
                <w:szCs w:val="24"/>
              </w:rPr>
              <w:t>Абдельхафиз</w:t>
            </w:r>
            <w:proofErr w:type="spellEnd"/>
            <w:r w:rsidRPr="008809A7">
              <w:rPr>
                <w:sz w:val="22"/>
                <w:szCs w:val="24"/>
              </w:rPr>
              <w:t xml:space="preserve"> (Судан); г-н Х. Леви (Аргентина); г-н Э. </w:t>
            </w:r>
            <w:proofErr w:type="spellStart"/>
            <w:r w:rsidRPr="008809A7">
              <w:rPr>
                <w:sz w:val="22"/>
                <w:szCs w:val="24"/>
              </w:rPr>
              <w:t>Фурнье</w:t>
            </w:r>
            <w:proofErr w:type="spellEnd"/>
            <w:r w:rsidRPr="008809A7">
              <w:rPr>
                <w:sz w:val="22"/>
                <w:szCs w:val="24"/>
              </w:rPr>
              <w:t xml:space="preserve"> (</w:t>
            </w:r>
            <w:r w:rsidRPr="008809A7">
              <w:rPr>
                <w:rFonts w:eastAsiaTheme="minorEastAsia"/>
                <w:sz w:val="22"/>
                <w:szCs w:val="24"/>
              </w:rPr>
              <w:t>Франция</w:t>
            </w:r>
            <w:r w:rsidRPr="008809A7">
              <w:rPr>
                <w:sz w:val="22"/>
                <w:szCs w:val="24"/>
              </w:rPr>
              <w:t>); г-н Т. Ким (Казахстан)</w:t>
            </w:r>
          </w:p>
        </w:tc>
      </w:tr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6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Переданные на</w:t>
            </w:r>
            <w:r w:rsidR="00033004" w:rsidRPr="008809A7">
              <w:rPr>
                <w:sz w:val="22"/>
                <w:szCs w:val="24"/>
              </w:rPr>
              <w:t> </w:t>
            </w:r>
            <w:r w:rsidRPr="008809A7">
              <w:rPr>
                <w:sz w:val="22"/>
                <w:szCs w:val="24"/>
              </w:rPr>
              <w:t xml:space="preserve">рассмотрение </w:t>
            </w:r>
            <w:r w:rsidRPr="008809A7">
              <w:rPr>
                <w:sz w:val="22"/>
                <w:szCs w:val="24"/>
              </w:rPr>
              <w:br/>
              <w:t>пункты повестки дня)</w:t>
            </w:r>
          </w:p>
        </w:tc>
        <w:tc>
          <w:tcPr>
            <w:tcW w:w="7087" w:type="dxa"/>
          </w:tcPr>
          <w:p w:rsidR="000327B6" w:rsidRPr="008809A7" w:rsidRDefault="000327B6" w:rsidP="008809A7">
            <w:pPr>
              <w:pStyle w:val="Tabletext"/>
              <w:tabs>
                <w:tab w:val="clear" w:pos="851"/>
                <w:tab w:val="clear" w:pos="1134"/>
                <w:tab w:val="clear" w:pos="1418"/>
                <w:tab w:val="clear" w:pos="1701"/>
                <w:tab w:val="left" w:pos="1593"/>
              </w:tabs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Председатель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г-жа О. </w:t>
            </w:r>
            <w:proofErr w:type="spellStart"/>
            <w:r w:rsidRPr="008809A7">
              <w:rPr>
                <w:sz w:val="22"/>
                <w:szCs w:val="24"/>
              </w:rPr>
              <w:t>Аллисон</w:t>
            </w:r>
            <w:proofErr w:type="spellEnd"/>
            <w:r w:rsidRPr="008809A7">
              <w:rPr>
                <w:sz w:val="22"/>
                <w:szCs w:val="24"/>
              </w:rPr>
              <w:t xml:space="preserve"> (Соединенные Штаты)</w:t>
            </w:r>
          </w:p>
          <w:p w:rsidR="008809A7" w:rsidRDefault="002B0C94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after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Заместители</w:t>
            </w:r>
          </w:p>
          <w:p w:rsidR="000327B6" w:rsidRP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</w:tabs>
              <w:spacing w:before="0"/>
              <w:ind w:left="1593" w:hanging="1593"/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Председателя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>г-жа К. Ким (Республика Корея); г-н М. Аль-</w:t>
            </w:r>
            <w:proofErr w:type="spellStart"/>
            <w:r w:rsidRPr="008809A7">
              <w:rPr>
                <w:sz w:val="22"/>
                <w:szCs w:val="24"/>
              </w:rPr>
              <w:t>Бади</w:t>
            </w:r>
            <w:proofErr w:type="spellEnd"/>
            <w:r w:rsidRPr="008809A7">
              <w:rPr>
                <w:sz w:val="22"/>
                <w:szCs w:val="24"/>
              </w:rPr>
              <w:t xml:space="preserve"> (Оман); г-н К. </w:t>
            </w:r>
            <w:proofErr w:type="spellStart"/>
            <w:r w:rsidRPr="008809A7">
              <w:rPr>
                <w:sz w:val="22"/>
                <w:szCs w:val="24"/>
              </w:rPr>
              <w:t>Ниане</w:t>
            </w:r>
            <w:proofErr w:type="spellEnd"/>
            <w:r w:rsidRPr="008809A7">
              <w:rPr>
                <w:sz w:val="22"/>
                <w:szCs w:val="24"/>
              </w:rPr>
              <w:t xml:space="preserve"> (</w:t>
            </w:r>
            <w:r w:rsidRPr="008809A7">
              <w:rPr>
                <w:rFonts w:eastAsiaTheme="minorEastAsia"/>
                <w:sz w:val="22"/>
                <w:szCs w:val="24"/>
              </w:rPr>
              <w:t>Сенегал</w:t>
            </w:r>
            <w:r w:rsidRPr="008809A7">
              <w:rPr>
                <w:sz w:val="22"/>
                <w:szCs w:val="24"/>
              </w:rPr>
              <w:t xml:space="preserve">); г-н А. </w:t>
            </w:r>
            <w:proofErr w:type="spellStart"/>
            <w:r w:rsidRPr="008809A7">
              <w:rPr>
                <w:sz w:val="22"/>
                <w:szCs w:val="24"/>
              </w:rPr>
              <w:t>Калинчук</w:t>
            </w:r>
            <w:proofErr w:type="spellEnd"/>
            <w:r w:rsidRPr="008809A7">
              <w:rPr>
                <w:sz w:val="22"/>
                <w:szCs w:val="24"/>
              </w:rPr>
              <w:t xml:space="preserve"> (Румыния); г-н Д. Корзун (Беларусь)</w:t>
            </w:r>
          </w:p>
        </w:tc>
      </w:tr>
      <w:tr w:rsidR="000327B6" w:rsidRPr="008809A7" w:rsidTr="008809A7">
        <w:trPr>
          <w:cantSplit/>
        </w:trPr>
        <w:tc>
          <w:tcPr>
            <w:tcW w:w="2552" w:type="dxa"/>
          </w:tcPr>
          <w:p w:rsidR="000327B6" w:rsidRPr="008809A7" w:rsidRDefault="000327B6" w:rsidP="00875E94">
            <w:pPr>
              <w:pStyle w:val="Tabletext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 xml:space="preserve">Комитет </w:t>
            </w:r>
            <w:proofErr w:type="gramStart"/>
            <w:r w:rsidRPr="008809A7">
              <w:rPr>
                <w:b/>
                <w:bCs/>
                <w:sz w:val="22"/>
                <w:szCs w:val="24"/>
              </w:rPr>
              <w:t>7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b/>
                <w:bCs/>
                <w:sz w:val="22"/>
                <w:szCs w:val="24"/>
              </w:rPr>
              <w:br/>
            </w:r>
            <w:r w:rsidRPr="008809A7">
              <w:rPr>
                <w:sz w:val="22"/>
                <w:szCs w:val="24"/>
              </w:rPr>
              <w:t>(</w:t>
            </w:r>
            <w:proofErr w:type="gramEnd"/>
            <w:r w:rsidRPr="008809A7">
              <w:rPr>
                <w:sz w:val="22"/>
                <w:szCs w:val="24"/>
              </w:rPr>
              <w:t>Редакционный комитет)</w:t>
            </w:r>
          </w:p>
        </w:tc>
        <w:tc>
          <w:tcPr>
            <w:tcW w:w="7087" w:type="dxa"/>
          </w:tcPr>
          <w:p w:rsidR="000327B6" w:rsidRPr="008809A7" w:rsidRDefault="000327B6" w:rsidP="002B0C94">
            <w:pPr>
              <w:pStyle w:val="Tabletext"/>
              <w:tabs>
                <w:tab w:val="clear" w:pos="851"/>
                <w:tab w:val="clear" w:pos="1134"/>
                <w:tab w:val="clear" w:pos="1418"/>
                <w:tab w:val="clear" w:pos="1701"/>
                <w:tab w:val="left" w:pos="1593"/>
              </w:tabs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Председатель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г-н К. </w:t>
            </w:r>
            <w:proofErr w:type="spellStart"/>
            <w:r w:rsidRPr="008809A7">
              <w:rPr>
                <w:sz w:val="22"/>
                <w:szCs w:val="24"/>
              </w:rPr>
              <w:t>Риссон</w:t>
            </w:r>
            <w:proofErr w:type="spellEnd"/>
            <w:r w:rsidRPr="008809A7">
              <w:rPr>
                <w:sz w:val="22"/>
                <w:szCs w:val="24"/>
              </w:rPr>
              <w:t xml:space="preserve"> (Франция)</w:t>
            </w:r>
          </w:p>
          <w:p w:rsid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after="0"/>
              <w:rPr>
                <w:b/>
                <w:bCs/>
                <w:sz w:val="22"/>
                <w:szCs w:val="24"/>
              </w:rPr>
            </w:pPr>
            <w:r w:rsidRPr="008809A7">
              <w:rPr>
                <w:b/>
                <w:bCs/>
                <w:sz w:val="22"/>
                <w:szCs w:val="24"/>
              </w:rPr>
              <w:t>Заместители</w:t>
            </w:r>
          </w:p>
          <w:p w:rsidR="000327B6" w:rsidRPr="008809A7" w:rsidRDefault="000327B6" w:rsidP="008809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</w:tabs>
              <w:spacing w:before="0"/>
              <w:ind w:left="1593" w:hanging="1593"/>
              <w:rPr>
                <w:sz w:val="22"/>
                <w:szCs w:val="24"/>
              </w:rPr>
            </w:pPr>
            <w:proofErr w:type="gramStart"/>
            <w:r w:rsidRPr="008809A7">
              <w:rPr>
                <w:b/>
                <w:bCs/>
                <w:sz w:val="22"/>
                <w:szCs w:val="24"/>
              </w:rPr>
              <w:t>Председателя</w:t>
            </w:r>
            <w:r w:rsidRPr="008809A7">
              <w:rPr>
                <w:sz w:val="22"/>
                <w:szCs w:val="24"/>
              </w:rPr>
              <w:t>:</w:t>
            </w:r>
            <w:r w:rsidRPr="008809A7">
              <w:rPr>
                <w:sz w:val="22"/>
                <w:szCs w:val="24"/>
              </w:rPr>
              <w:tab/>
            </w:r>
            <w:proofErr w:type="gramEnd"/>
            <w:r w:rsidRPr="008809A7">
              <w:rPr>
                <w:sz w:val="22"/>
                <w:szCs w:val="24"/>
              </w:rPr>
              <w:t xml:space="preserve">г-н М. </w:t>
            </w:r>
            <w:proofErr w:type="spellStart"/>
            <w:r w:rsidRPr="008809A7">
              <w:rPr>
                <w:sz w:val="22"/>
                <w:szCs w:val="24"/>
              </w:rPr>
              <w:t>Абдулрахман</w:t>
            </w:r>
            <w:proofErr w:type="spellEnd"/>
            <w:r w:rsidRPr="008809A7">
              <w:rPr>
                <w:sz w:val="22"/>
                <w:szCs w:val="24"/>
              </w:rPr>
              <w:t xml:space="preserve"> (Ливан); г-жа М. </w:t>
            </w:r>
            <w:proofErr w:type="spellStart"/>
            <w:r w:rsidRPr="008809A7">
              <w:rPr>
                <w:sz w:val="22"/>
                <w:szCs w:val="24"/>
              </w:rPr>
              <w:t>Дондэ</w:t>
            </w:r>
            <w:proofErr w:type="spellEnd"/>
            <w:r w:rsidRPr="008809A7">
              <w:rPr>
                <w:sz w:val="22"/>
                <w:szCs w:val="24"/>
              </w:rPr>
              <w:t xml:space="preserve"> (Соединенное Королевство); г-н </w:t>
            </w:r>
            <w:proofErr w:type="spellStart"/>
            <w:r w:rsidRPr="008809A7">
              <w:rPr>
                <w:sz w:val="22"/>
                <w:szCs w:val="24"/>
              </w:rPr>
              <w:t>Х.Г</w:t>
            </w:r>
            <w:proofErr w:type="spellEnd"/>
            <w:r w:rsidRPr="008809A7">
              <w:rPr>
                <w:sz w:val="22"/>
                <w:szCs w:val="24"/>
              </w:rPr>
              <w:t xml:space="preserve">. </w:t>
            </w:r>
            <w:proofErr w:type="spellStart"/>
            <w:r w:rsidRPr="008809A7">
              <w:rPr>
                <w:sz w:val="22"/>
                <w:szCs w:val="24"/>
              </w:rPr>
              <w:t>Ореа</w:t>
            </w:r>
            <w:proofErr w:type="spellEnd"/>
            <w:r w:rsidRPr="008809A7">
              <w:rPr>
                <w:sz w:val="22"/>
                <w:szCs w:val="24"/>
              </w:rPr>
              <w:t xml:space="preserve"> Санчес (Испания); г-н Г. </w:t>
            </w:r>
            <w:proofErr w:type="spellStart"/>
            <w:r w:rsidRPr="008809A7">
              <w:rPr>
                <w:sz w:val="22"/>
                <w:szCs w:val="24"/>
              </w:rPr>
              <w:t>Цай</w:t>
            </w:r>
            <w:proofErr w:type="spellEnd"/>
            <w:r w:rsidRPr="008809A7">
              <w:rPr>
                <w:sz w:val="22"/>
                <w:szCs w:val="24"/>
              </w:rPr>
              <w:t xml:space="preserve"> (Китай); г-н A. Живов (Российская Федерация)</w:t>
            </w:r>
          </w:p>
        </w:tc>
      </w:tr>
    </w:tbl>
    <w:p w:rsidR="00BC7400" w:rsidRPr="00875E94" w:rsidRDefault="00BC7400" w:rsidP="00875E94">
      <w:pPr>
        <w:rPr>
          <w:rFonts w:eastAsia="Arial Unicode MS"/>
        </w:rPr>
      </w:pPr>
      <w:proofErr w:type="spellStart"/>
      <w:r w:rsidRPr="00875E94">
        <w:t>ВКР</w:t>
      </w:r>
      <w:proofErr w:type="spellEnd"/>
      <w:r w:rsidRPr="00875E94">
        <w:noBreakHyphen/>
        <w:t xml:space="preserve">15 проводилась на полностью безбумажной основе. Для упрощения работы с 1008 документами, представленными на </w:t>
      </w:r>
      <w:r w:rsidR="00AB627B" w:rsidRPr="00875E94">
        <w:t>Конференцию</w:t>
      </w:r>
      <w:r w:rsidRPr="00875E94">
        <w:t>, в которых содержались 6047 предложений, заблаговременно до</w:t>
      </w:r>
      <w:r w:rsidR="00875E94">
        <w:t> </w:t>
      </w:r>
      <w:proofErr w:type="spellStart"/>
      <w:r w:rsidRPr="00875E94">
        <w:t>ВКР</w:t>
      </w:r>
      <w:proofErr w:type="spellEnd"/>
      <w:r w:rsidRPr="00875E94">
        <w:noBreakHyphen/>
        <w:t>15 была доработана система управления предложениями, которая до этого успешно применялась на ПК</w:t>
      </w:r>
      <w:r w:rsidRPr="00875E94">
        <w:noBreakHyphen/>
        <w:t xml:space="preserve">14 и предыдущих конференциях МСЭ. </w:t>
      </w:r>
    </w:p>
    <w:p w:rsidR="00BC7400" w:rsidRPr="00875E94" w:rsidRDefault="00BC7400" w:rsidP="00AB627B">
      <w:pPr>
        <w:rPr>
          <w:rFonts w:eastAsia="Arial Unicode MS"/>
        </w:rPr>
      </w:pPr>
      <w:r w:rsidRPr="00875E94">
        <w:rPr>
          <w:rFonts w:eastAsia="Arial Unicode MS"/>
        </w:rPr>
        <w:lastRenderedPageBreak/>
        <w:t xml:space="preserve">Был также доработан интерфейс предложений для Конференции с целью содействия Государствам-Членам в составлении и представлении </w:t>
      </w:r>
      <w:r w:rsidR="00AB627B" w:rsidRPr="00875E94">
        <w:rPr>
          <w:rFonts w:eastAsia="Arial Unicode MS"/>
        </w:rPr>
        <w:t xml:space="preserve">своих </w:t>
      </w:r>
      <w:r w:rsidRPr="00875E94">
        <w:rPr>
          <w:rFonts w:eastAsia="Arial Unicode MS"/>
        </w:rPr>
        <w:t xml:space="preserve">предложений для работы Конференции. Эта система широко использовалась членами </w:t>
      </w:r>
      <w:r w:rsidR="00AB627B" w:rsidRPr="00875E94">
        <w:rPr>
          <w:rFonts w:eastAsia="Arial Unicode MS"/>
        </w:rPr>
        <w:t>МСЭ</w:t>
      </w:r>
      <w:r w:rsidRPr="00875E94">
        <w:rPr>
          <w:rFonts w:eastAsia="Arial Unicode MS"/>
        </w:rPr>
        <w:t xml:space="preserve"> в период, предшествовавший </w:t>
      </w:r>
      <w:proofErr w:type="spellStart"/>
      <w:r w:rsidRPr="00875E94">
        <w:rPr>
          <w:rFonts w:eastAsia="Arial Unicode MS"/>
        </w:rPr>
        <w:t>ВКР</w:t>
      </w:r>
      <w:proofErr w:type="spellEnd"/>
      <w:r w:rsidRPr="00875E94">
        <w:rPr>
          <w:rFonts w:eastAsia="Arial Unicode MS"/>
        </w:rPr>
        <w:noBreakHyphen/>
        <w:t>15.</w:t>
      </w:r>
    </w:p>
    <w:p w:rsidR="00BC7400" w:rsidRPr="00875E94" w:rsidRDefault="00BC7400" w:rsidP="00BC7400">
      <w:pPr>
        <w:rPr>
          <w:rFonts w:eastAsia="Arial Unicode MS"/>
        </w:rPr>
      </w:pPr>
      <w:r w:rsidRPr="00875E94">
        <w:rPr>
          <w:rFonts w:eastAsia="Arial Unicode MS"/>
        </w:rPr>
        <w:t xml:space="preserve">В ходе Конференции использовались и другие электронные инструменты: </w:t>
      </w:r>
      <w:r w:rsidR="00AB627B" w:rsidRPr="00875E94">
        <w:rPr>
          <w:rFonts w:eastAsia="Arial Unicode MS"/>
        </w:rPr>
        <w:t xml:space="preserve">сайт </w:t>
      </w:r>
      <w:proofErr w:type="spellStart"/>
      <w:r w:rsidRPr="00875E94">
        <w:rPr>
          <w:rFonts w:eastAsia="Arial Unicode MS"/>
        </w:rPr>
        <w:t>SharePoint</w:t>
      </w:r>
      <w:proofErr w:type="spellEnd"/>
      <w:r w:rsidRPr="00875E94">
        <w:rPr>
          <w:rFonts w:eastAsia="Arial Unicode MS"/>
        </w:rPr>
        <w:t xml:space="preserve"> </w:t>
      </w:r>
      <w:proofErr w:type="spellStart"/>
      <w:r w:rsidRPr="00875E94">
        <w:rPr>
          <w:rFonts w:eastAsia="Arial Unicode MS"/>
        </w:rPr>
        <w:t>ВКР</w:t>
      </w:r>
      <w:proofErr w:type="spellEnd"/>
      <w:r w:rsidRPr="00875E94">
        <w:rPr>
          <w:rFonts w:eastAsia="Arial Unicode MS"/>
        </w:rPr>
        <w:noBreakHyphen/>
        <w:t xml:space="preserve">15, мобильное приложение </w:t>
      </w:r>
      <w:proofErr w:type="spellStart"/>
      <w:r w:rsidRPr="00875E94">
        <w:rPr>
          <w:rFonts w:eastAsia="Arial Unicode MS"/>
        </w:rPr>
        <w:t>ВКР</w:t>
      </w:r>
      <w:proofErr w:type="spellEnd"/>
      <w:r w:rsidRPr="00875E94">
        <w:rPr>
          <w:rFonts w:eastAsia="Arial Unicode MS"/>
        </w:rPr>
        <w:noBreakHyphen/>
        <w:t>15, инструмент для навигации в Регламенте радиосвязи и приложение для синхронизации документов.</w:t>
      </w:r>
    </w:p>
    <w:p w:rsidR="00BC7400" w:rsidRPr="00875E94" w:rsidRDefault="00BC7400" w:rsidP="00AB627B">
      <w:pPr>
        <w:rPr>
          <w:rFonts w:eastAsia="Arial Unicode MS"/>
        </w:rPr>
      </w:pPr>
      <w:r w:rsidRPr="00875E94">
        <w:rPr>
          <w:rFonts w:eastAsia="Arial Unicode MS"/>
        </w:rPr>
        <w:t>Согласно решению</w:t>
      </w:r>
      <w:r w:rsidR="00AB627B" w:rsidRPr="00875E94">
        <w:rPr>
          <w:rFonts w:eastAsia="Arial Unicode MS"/>
        </w:rPr>
        <w:t xml:space="preserve"> </w:t>
      </w:r>
      <w:r w:rsidRPr="00875E94">
        <w:rPr>
          <w:rFonts w:eastAsia="Arial Unicode MS"/>
        </w:rPr>
        <w:t>ПК</w:t>
      </w:r>
      <w:r w:rsidRPr="00875E94">
        <w:rPr>
          <w:rFonts w:eastAsia="Arial Unicode MS"/>
        </w:rPr>
        <w:noBreakHyphen/>
        <w:t>14, все входные документы перед Конференцией находились в открытом доступе</w:t>
      </w:r>
      <w:r w:rsidR="00AB627B" w:rsidRPr="00875E94">
        <w:rPr>
          <w:rFonts w:eastAsia="Arial Unicode MS"/>
        </w:rPr>
        <w:t xml:space="preserve">, </w:t>
      </w:r>
      <w:r w:rsidR="00AB627B" w:rsidRPr="00875E94">
        <w:t>поскольку ни одно из Государств-Членов не посчитало, что раскрытие содержащейся в них информации нанесло бы законным частным или государственным интересам потенциальный ущерб, который перевешивает преимущества доступности</w:t>
      </w:r>
      <w:r w:rsidRPr="00875E94">
        <w:rPr>
          <w:rFonts w:eastAsia="Arial Unicode MS"/>
        </w:rPr>
        <w:t xml:space="preserve">. Предварительные Заключительные акты </w:t>
      </w:r>
      <w:proofErr w:type="spellStart"/>
      <w:r w:rsidRPr="00875E94">
        <w:rPr>
          <w:rFonts w:eastAsia="Arial Unicode MS"/>
        </w:rPr>
        <w:t>ВКР</w:t>
      </w:r>
      <w:proofErr w:type="spellEnd"/>
      <w:r w:rsidRPr="00875E94">
        <w:rPr>
          <w:rFonts w:eastAsia="Arial Unicode MS"/>
        </w:rPr>
        <w:noBreakHyphen/>
        <w:t>15 также находятся в открытом доступе, поскольку они считаются основным итоговым документом Конференции.</w:t>
      </w:r>
    </w:p>
    <w:p w:rsidR="00AB627B" w:rsidRPr="00875E94" w:rsidRDefault="00AB627B" w:rsidP="00AB627B">
      <w:r w:rsidRPr="00875E94">
        <w:t xml:space="preserve">В ходе конференции для пользователей </w:t>
      </w:r>
      <w:proofErr w:type="spellStart"/>
      <w:r w:rsidRPr="00875E94">
        <w:t>TIES</w:t>
      </w:r>
      <w:proofErr w:type="spellEnd"/>
      <w:r w:rsidRPr="00875E94">
        <w:t xml:space="preserve"> осуществлялась веб-трансляция сессий пленарного заседания и заседаний комитетов и рабочих групп, сопровождавшаяся вводом субтитров, и на веб-сайте </w:t>
      </w:r>
      <w:proofErr w:type="spellStart"/>
      <w:r w:rsidRPr="00875E94">
        <w:t>ВКР</w:t>
      </w:r>
      <w:proofErr w:type="spellEnd"/>
      <w:r w:rsidRPr="00875E94">
        <w:t xml:space="preserve">-15 пользователям </w:t>
      </w:r>
      <w:proofErr w:type="spellStart"/>
      <w:r w:rsidRPr="00875E94">
        <w:t>TIES</w:t>
      </w:r>
      <w:proofErr w:type="spellEnd"/>
      <w:r w:rsidRPr="00875E94">
        <w:t xml:space="preserve"> доступны соответствующие файлы (архивы).</w:t>
      </w:r>
    </w:p>
    <w:p w:rsidR="00BC7400" w:rsidRPr="00875E94" w:rsidRDefault="00BC7400" w:rsidP="00BC7400">
      <w:pPr>
        <w:rPr>
          <w:rFonts w:eastAsia="Arial Unicode MS"/>
        </w:rPr>
      </w:pPr>
      <w:r w:rsidRPr="00875E94">
        <w:t xml:space="preserve">Полная информация по </w:t>
      </w:r>
      <w:proofErr w:type="spellStart"/>
      <w:r w:rsidRPr="00875E94">
        <w:t>ВКР</w:t>
      </w:r>
      <w:proofErr w:type="spellEnd"/>
      <w:r w:rsidRPr="00875E94">
        <w:noBreakHyphen/>
        <w:t xml:space="preserve">15, в том числе предварительные Заключительные акты, а </w:t>
      </w:r>
      <w:r w:rsidRPr="00875E94">
        <w:rPr>
          <w:rFonts w:asciiTheme="majorBidi" w:hAnsiTheme="majorBidi" w:cstheme="majorBidi"/>
        </w:rPr>
        <w:t xml:space="preserve">также документы, фотографии и видеоматериалы размещены по адресу: </w:t>
      </w:r>
      <w:hyperlink r:id="rId23" w:history="1">
        <w:r w:rsidR="00AA75C1" w:rsidRPr="00EC1EC3">
          <w:rPr>
            <w:rStyle w:val="Hyperlink"/>
            <w:rFonts w:asciiTheme="majorBidi" w:hAnsiTheme="majorBidi" w:cstheme="majorBidi"/>
            <w:szCs w:val="24"/>
          </w:rPr>
          <w:t>http://www.itu.int/en/ITU</w:t>
        </w:r>
        <w:r w:rsidR="00AA75C1" w:rsidRPr="00EC1EC3">
          <w:rPr>
            <w:rStyle w:val="Hyperlink"/>
            <w:rFonts w:asciiTheme="majorBidi" w:hAnsiTheme="majorBidi" w:cstheme="majorBidi"/>
            <w:szCs w:val="24"/>
          </w:rPr>
          <w:noBreakHyphen/>
          <w:t>R/conferences/wrc/2015</w:t>
        </w:r>
      </w:hyperlink>
      <w:r w:rsidRPr="00875E94">
        <w:rPr>
          <w:rFonts w:eastAsia="Arial Unicode MS"/>
        </w:rPr>
        <w:t>.</w:t>
      </w:r>
    </w:p>
    <w:p w:rsidR="005F0730" w:rsidRPr="00875E94" w:rsidRDefault="005F0730" w:rsidP="005F0730">
      <w:pPr>
        <w:pStyle w:val="Heading3"/>
      </w:pPr>
      <w:bookmarkStart w:id="3" w:name="_Toc446060763"/>
      <w:r w:rsidRPr="00875E94">
        <w:t>3.2.3</w:t>
      </w:r>
      <w:r w:rsidRPr="00875E94">
        <w:tab/>
        <w:t xml:space="preserve">Финансовые последствия решений </w:t>
      </w:r>
      <w:proofErr w:type="spellStart"/>
      <w:r w:rsidRPr="00875E94">
        <w:t>ВКР</w:t>
      </w:r>
      <w:proofErr w:type="spellEnd"/>
      <w:r w:rsidRPr="00875E94">
        <w:t>-15</w:t>
      </w:r>
      <w:bookmarkEnd w:id="3"/>
    </w:p>
    <w:p w:rsidR="005F0730" w:rsidRPr="00875E94" w:rsidRDefault="005F0730" w:rsidP="00143FA3">
      <w:r w:rsidRPr="00875E94">
        <w:t xml:space="preserve">На </w:t>
      </w:r>
      <w:proofErr w:type="spellStart"/>
      <w:r w:rsidRPr="00875E94">
        <w:t>ВКР</w:t>
      </w:r>
      <w:proofErr w:type="spellEnd"/>
      <w:r w:rsidRPr="00875E94">
        <w:t>-15 были пересмотрены существующие резолюции и приняты новые резолюции, которые имеют финансовые последствия для Союза с точки зрения дополнительных издержек. Речь идет о</w:t>
      </w:r>
      <w:r w:rsidR="00143FA3" w:rsidRPr="00875E94">
        <w:t> </w:t>
      </w:r>
      <w:r w:rsidRPr="00875E94">
        <w:t>следующих резолюциях:</w:t>
      </w:r>
    </w:p>
    <w:p w:rsidR="005F0730" w:rsidRPr="00875E94" w:rsidRDefault="005F0730" w:rsidP="00143FA3">
      <w:pPr>
        <w:pStyle w:val="enumlev1"/>
      </w:pPr>
      <w:r w:rsidRPr="00875E94">
        <w:t>•</w:t>
      </w:r>
      <w:r w:rsidRPr="00875E94">
        <w:tab/>
      </w:r>
      <w:r w:rsidRPr="00875E94">
        <w:rPr>
          <w:b/>
          <w:bCs/>
        </w:rPr>
        <w:t>Резолюция 907 (</w:t>
      </w:r>
      <w:proofErr w:type="spellStart"/>
      <w:r w:rsidRPr="00875E94">
        <w:rPr>
          <w:b/>
          <w:bCs/>
        </w:rPr>
        <w:t>Пересм</w:t>
      </w:r>
      <w:proofErr w:type="spellEnd"/>
      <w:r w:rsidRPr="00875E94">
        <w:rPr>
          <w:b/>
          <w:bCs/>
        </w:rPr>
        <w:t xml:space="preserve">. </w:t>
      </w:r>
      <w:proofErr w:type="spellStart"/>
      <w:r w:rsidRPr="00875E94">
        <w:rPr>
          <w:b/>
          <w:bCs/>
        </w:rPr>
        <w:t>ВКР</w:t>
      </w:r>
      <w:proofErr w:type="spellEnd"/>
      <w:r w:rsidRPr="00875E94">
        <w:rPr>
          <w:b/>
          <w:bCs/>
        </w:rPr>
        <w:t>-15)</w:t>
      </w:r>
      <w:r w:rsidRPr="00875E94">
        <w:t xml:space="preserve"> "Использование современных электронных средств связи в административной корреспонденции, связанной с предварительной публикацией, координацией и заявлением спутниковых сетей, в том числе корреспонденции в</w:t>
      </w:r>
      <w:r w:rsidR="00143FA3" w:rsidRPr="00875E94">
        <w:t> </w:t>
      </w:r>
      <w:r w:rsidRPr="00875E94">
        <w:t xml:space="preserve">отношении Приложений 30, </w:t>
      </w:r>
      <w:proofErr w:type="spellStart"/>
      <w:r w:rsidRPr="00875E94">
        <w:t>30A</w:t>
      </w:r>
      <w:proofErr w:type="spellEnd"/>
      <w:r w:rsidRPr="00875E94">
        <w:t xml:space="preserve">, </w:t>
      </w:r>
      <w:proofErr w:type="spellStart"/>
      <w:r w:rsidRPr="00875E94">
        <w:t>30B</w:t>
      </w:r>
      <w:proofErr w:type="spellEnd"/>
      <w:r w:rsidRPr="00875E94">
        <w:t>, земных станций и радиоастрономических станций";</w:t>
      </w:r>
    </w:p>
    <w:p w:rsidR="005F0730" w:rsidRPr="00875E94" w:rsidRDefault="005F0730" w:rsidP="005F0730">
      <w:pPr>
        <w:pStyle w:val="enumlev1"/>
      </w:pPr>
      <w:r w:rsidRPr="00875E94">
        <w:t>•</w:t>
      </w:r>
      <w:r w:rsidRPr="00875E94">
        <w:tab/>
      </w:r>
      <w:r w:rsidRPr="00875E94">
        <w:rPr>
          <w:b/>
          <w:bCs/>
        </w:rPr>
        <w:t>Резолюция 908 (</w:t>
      </w:r>
      <w:proofErr w:type="spellStart"/>
      <w:r w:rsidRPr="00875E94">
        <w:rPr>
          <w:b/>
          <w:bCs/>
        </w:rPr>
        <w:t>Пересм</w:t>
      </w:r>
      <w:proofErr w:type="spellEnd"/>
      <w:r w:rsidRPr="00875E94">
        <w:rPr>
          <w:b/>
          <w:bCs/>
        </w:rPr>
        <w:t xml:space="preserve">. </w:t>
      </w:r>
      <w:proofErr w:type="spellStart"/>
      <w:r w:rsidRPr="00875E94">
        <w:rPr>
          <w:b/>
          <w:bCs/>
        </w:rPr>
        <w:t>ВКР</w:t>
      </w:r>
      <w:proofErr w:type="spellEnd"/>
      <w:r w:rsidRPr="00875E94">
        <w:rPr>
          <w:b/>
          <w:bCs/>
        </w:rPr>
        <w:t>-15)</w:t>
      </w:r>
      <w:r w:rsidRPr="00875E94">
        <w:t xml:space="preserve"> "Представление и публикация в электронном формате заявок на регистрацию спутниковых сетей";</w:t>
      </w:r>
    </w:p>
    <w:p w:rsidR="005F0730" w:rsidRPr="00875E94" w:rsidRDefault="005F0730" w:rsidP="005F0730">
      <w:pPr>
        <w:pStyle w:val="enumlev1"/>
      </w:pPr>
      <w:r w:rsidRPr="00875E94">
        <w:t>•</w:t>
      </w:r>
      <w:r w:rsidRPr="00875E94">
        <w:tab/>
      </w:r>
      <w:r w:rsidRPr="00875E94">
        <w:rPr>
          <w:b/>
          <w:bCs/>
        </w:rPr>
        <w:t>Резолюция 238 (</w:t>
      </w:r>
      <w:proofErr w:type="spellStart"/>
      <w:r w:rsidRPr="00875E94">
        <w:rPr>
          <w:b/>
          <w:bCs/>
        </w:rPr>
        <w:t>ВКР</w:t>
      </w:r>
      <w:proofErr w:type="spellEnd"/>
      <w:r w:rsidRPr="00875E94">
        <w:rPr>
          <w:b/>
          <w:bCs/>
        </w:rPr>
        <w:t>-15)</w:t>
      </w:r>
      <w:r w:rsidRPr="00875E94">
        <w:t xml:space="preserve"> "Исследования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</w:t>
      </w:r>
      <w:proofErr w:type="spellStart"/>
      <w:r w:rsidRPr="00875E94">
        <w:t>IMT</w:t>
      </w:r>
      <w:proofErr w:type="spellEnd"/>
      <w:r w:rsidRPr="00875E94">
        <w:t xml:space="preserve"> на период до 2020 года и далее".</w:t>
      </w:r>
    </w:p>
    <w:p w:rsidR="005F0730" w:rsidRPr="00875E94" w:rsidRDefault="005F0730" w:rsidP="00143FA3">
      <w:pPr>
        <w:spacing w:after="120"/>
      </w:pPr>
      <w:r w:rsidRPr="00875E94">
        <w:t>В следующей ниже таблице представлена краткая информация по этим решениям и их соответствующим финансовым последствиям: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5F0730" w:rsidRPr="008809A7" w:rsidTr="00797218">
        <w:tc>
          <w:tcPr>
            <w:tcW w:w="7650" w:type="dxa"/>
            <w:shd w:val="clear" w:color="auto" w:fill="auto"/>
          </w:tcPr>
          <w:p w:rsidR="005F0730" w:rsidRPr="008809A7" w:rsidRDefault="005F0730" w:rsidP="00797218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Резолюция</w:t>
            </w:r>
          </w:p>
        </w:tc>
        <w:tc>
          <w:tcPr>
            <w:tcW w:w="1984" w:type="dxa"/>
            <w:shd w:val="clear" w:color="auto" w:fill="auto"/>
          </w:tcPr>
          <w:p w:rsidR="005F0730" w:rsidRPr="008809A7" w:rsidRDefault="005F0730" w:rsidP="00797218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Сумма (</w:t>
            </w:r>
            <w:proofErr w:type="spellStart"/>
            <w:r w:rsidRPr="008809A7">
              <w:rPr>
                <w:sz w:val="20"/>
                <w:szCs w:val="22"/>
                <w:lang w:val="ru-RU"/>
              </w:rPr>
              <w:t>шв</w:t>
            </w:r>
            <w:proofErr w:type="spellEnd"/>
            <w:r w:rsidRPr="008809A7">
              <w:rPr>
                <w:sz w:val="20"/>
                <w:szCs w:val="22"/>
                <w:lang w:val="ru-RU"/>
              </w:rPr>
              <w:t>. фр.)</w:t>
            </w:r>
          </w:p>
        </w:tc>
      </w:tr>
      <w:tr w:rsidR="005F0730" w:rsidRPr="008809A7" w:rsidTr="00797218">
        <w:tc>
          <w:tcPr>
            <w:tcW w:w="7650" w:type="dxa"/>
            <w:shd w:val="clear" w:color="auto" w:fill="auto"/>
            <w:vAlign w:val="bottom"/>
          </w:tcPr>
          <w:p w:rsidR="005F0730" w:rsidRPr="008809A7" w:rsidRDefault="005F0730" w:rsidP="0079721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"Использование современных электронных средств связи в административной корреспонденции, связанной с предварительной публикацией, координацией и заявлением спутниковых сетей, в том числе корреспонденции в отношении Приложений 30, </w:t>
            </w:r>
            <w:proofErr w:type="spellStart"/>
            <w:r w:rsidRPr="008809A7">
              <w:rPr>
                <w:sz w:val="20"/>
                <w:szCs w:val="22"/>
              </w:rPr>
              <w:t>30A</w:t>
            </w:r>
            <w:proofErr w:type="spellEnd"/>
            <w:r w:rsidRPr="008809A7">
              <w:rPr>
                <w:sz w:val="20"/>
                <w:szCs w:val="22"/>
              </w:rPr>
              <w:t xml:space="preserve">, </w:t>
            </w:r>
            <w:proofErr w:type="spellStart"/>
            <w:r w:rsidRPr="008809A7">
              <w:rPr>
                <w:sz w:val="20"/>
                <w:szCs w:val="22"/>
              </w:rPr>
              <w:t>30B</w:t>
            </w:r>
            <w:proofErr w:type="spellEnd"/>
            <w:r w:rsidRPr="008809A7">
              <w:rPr>
                <w:sz w:val="20"/>
                <w:szCs w:val="22"/>
              </w:rPr>
              <w:t xml:space="preserve">, земных станций и радиоастрономических станций" </w:t>
            </w:r>
            <w:r w:rsidRPr="008809A7">
              <w:rPr>
                <w:b/>
                <w:bCs/>
                <w:sz w:val="20"/>
                <w:szCs w:val="22"/>
              </w:rPr>
              <w:t>Резолюция 907 (</w:t>
            </w:r>
            <w:proofErr w:type="spellStart"/>
            <w:r w:rsidRPr="008809A7">
              <w:rPr>
                <w:b/>
                <w:bCs/>
                <w:sz w:val="20"/>
                <w:szCs w:val="22"/>
              </w:rPr>
              <w:t>Пересм</w:t>
            </w:r>
            <w:proofErr w:type="spellEnd"/>
            <w:r w:rsidRPr="008809A7">
              <w:rPr>
                <w:b/>
                <w:bCs/>
                <w:sz w:val="20"/>
                <w:szCs w:val="22"/>
              </w:rPr>
              <w:t xml:space="preserve">. </w:t>
            </w:r>
            <w:proofErr w:type="spellStart"/>
            <w:r w:rsidRPr="008809A7">
              <w:rPr>
                <w:b/>
                <w:bCs/>
                <w:sz w:val="20"/>
                <w:szCs w:val="22"/>
              </w:rPr>
              <w:t>ВКР</w:t>
            </w:r>
            <w:proofErr w:type="spellEnd"/>
            <w:r w:rsidRPr="008809A7">
              <w:rPr>
                <w:b/>
                <w:bCs/>
                <w:sz w:val="20"/>
                <w:szCs w:val="22"/>
              </w:rPr>
              <w:t>-15)</w:t>
            </w:r>
            <w:r w:rsidRPr="008809A7">
              <w:rPr>
                <w:sz w:val="20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F0730" w:rsidRPr="008809A7" w:rsidRDefault="005F0730" w:rsidP="00421069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350 000</w:t>
            </w:r>
          </w:p>
        </w:tc>
      </w:tr>
      <w:tr w:rsidR="005F0730" w:rsidRPr="008809A7" w:rsidTr="00797218">
        <w:tc>
          <w:tcPr>
            <w:tcW w:w="7650" w:type="dxa"/>
            <w:shd w:val="clear" w:color="auto" w:fill="auto"/>
            <w:vAlign w:val="bottom"/>
          </w:tcPr>
          <w:p w:rsidR="005F0730" w:rsidRPr="008809A7" w:rsidRDefault="005F0730" w:rsidP="0079721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"Представление и публикация в электронном формате заявок на регистрацию спутниковых сетей" </w:t>
            </w:r>
            <w:r w:rsidRPr="008809A7">
              <w:rPr>
                <w:b/>
                <w:bCs/>
                <w:sz w:val="20"/>
                <w:szCs w:val="22"/>
              </w:rPr>
              <w:t>Резолюция 908 (</w:t>
            </w:r>
            <w:proofErr w:type="spellStart"/>
            <w:r w:rsidRPr="008809A7">
              <w:rPr>
                <w:b/>
                <w:bCs/>
                <w:sz w:val="20"/>
                <w:szCs w:val="22"/>
              </w:rPr>
              <w:t>Пересм</w:t>
            </w:r>
            <w:proofErr w:type="spellEnd"/>
            <w:r w:rsidRPr="008809A7">
              <w:rPr>
                <w:b/>
                <w:bCs/>
                <w:sz w:val="20"/>
                <w:szCs w:val="22"/>
              </w:rPr>
              <w:t xml:space="preserve">. </w:t>
            </w:r>
            <w:proofErr w:type="spellStart"/>
            <w:r w:rsidRPr="008809A7">
              <w:rPr>
                <w:b/>
                <w:bCs/>
                <w:sz w:val="20"/>
                <w:szCs w:val="22"/>
              </w:rPr>
              <w:t>ВКР</w:t>
            </w:r>
            <w:proofErr w:type="spellEnd"/>
            <w:r w:rsidRPr="008809A7">
              <w:rPr>
                <w:b/>
                <w:bCs/>
                <w:sz w:val="20"/>
                <w:szCs w:val="22"/>
              </w:rPr>
              <w:t>-15)</w:t>
            </w:r>
            <w:r w:rsidRPr="008809A7">
              <w:rPr>
                <w:sz w:val="20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F0730" w:rsidRPr="008809A7" w:rsidRDefault="005F0730" w:rsidP="00421069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200 000</w:t>
            </w:r>
          </w:p>
        </w:tc>
      </w:tr>
      <w:tr w:rsidR="005F0730" w:rsidRPr="008809A7" w:rsidTr="00797218">
        <w:tc>
          <w:tcPr>
            <w:tcW w:w="7650" w:type="dxa"/>
            <w:shd w:val="clear" w:color="auto" w:fill="auto"/>
            <w:vAlign w:val="bottom"/>
          </w:tcPr>
          <w:p w:rsidR="005F0730" w:rsidRPr="008809A7" w:rsidRDefault="005F0730" w:rsidP="0079721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"Исследования связанных с частотами вопросов, которые направлены на 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</w:t>
            </w:r>
            <w:proofErr w:type="spellStart"/>
            <w:r w:rsidRPr="008809A7">
              <w:rPr>
                <w:sz w:val="20"/>
                <w:szCs w:val="22"/>
              </w:rPr>
              <w:t>IMT</w:t>
            </w:r>
            <w:proofErr w:type="spellEnd"/>
            <w:r w:rsidRPr="008809A7">
              <w:rPr>
                <w:sz w:val="20"/>
                <w:szCs w:val="22"/>
              </w:rPr>
              <w:t xml:space="preserve"> на период до 2020 года и далее" </w:t>
            </w:r>
            <w:r w:rsidRPr="008809A7">
              <w:rPr>
                <w:b/>
                <w:bCs/>
                <w:sz w:val="20"/>
                <w:szCs w:val="22"/>
              </w:rPr>
              <w:t>Резолюция 238 (</w:t>
            </w:r>
            <w:proofErr w:type="spellStart"/>
            <w:r w:rsidRPr="008809A7">
              <w:rPr>
                <w:b/>
                <w:bCs/>
                <w:sz w:val="20"/>
                <w:szCs w:val="22"/>
              </w:rPr>
              <w:t>ВКР</w:t>
            </w:r>
            <w:proofErr w:type="spellEnd"/>
            <w:r w:rsidRPr="008809A7">
              <w:rPr>
                <w:b/>
                <w:bCs/>
                <w:sz w:val="20"/>
                <w:szCs w:val="22"/>
              </w:rPr>
              <w:t>-15)</w:t>
            </w:r>
            <w:r w:rsidRPr="008809A7">
              <w:rPr>
                <w:sz w:val="20"/>
                <w:szCs w:val="22"/>
              </w:rPr>
              <w:t xml:space="preserve"> (ранее Рез. </w:t>
            </w:r>
            <w:proofErr w:type="spellStart"/>
            <w:r w:rsidRPr="008809A7">
              <w:rPr>
                <w:sz w:val="20"/>
                <w:szCs w:val="22"/>
              </w:rPr>
              <w:t>COM6</w:t>
            </w:r>
            <w:proofErr w:type="spellEnd"/>
            <w:r w:rsidRPr="008809A7">
              <w:rPr>
                <w:sz w:val="20"/>
                <w:szCs w:val="22"/>
              </w:rPr>
              <w:t>/20).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F0730" w:rsidRPr="008809A7" w:rsidRDefault="005F0730" w:rsidP="00421069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280 000</w:t>
            </w:r>
          </w:p>
        </w:tc>
      </w:tr>
      <w:tr w:rsidR="005F0730" w:rsidRPr="008809A7" w:rsidTr="00797218">
        <w:tc>
          <w:tcPr>
            <w:tcW w:w="7650" w:type="dxa"/>
            <w:shd w:val="clear" w:color="auto" w:fill="auto"/>
            <w:vAlign w:val="bottom"/>
          </w:tcPr>
          <w:p w:rsidR="005F0730" w:rsidRPr="008809A7" w:rsidRDefault="005F0730" w:rsidP="00797218">
            <w:pPr>
              <w:pStyle w:val="Tabletext"/>
              <w:rPr>
                <w:b/>
                <w:bCs/>
                <w:sz w:val="20"/>
                <w:szCs w:val="22"/>
              </w:rPr>
            </w:pPr>
            <w:r w:rsidRPr="008809A7">
              <w:rPr>
                <w:b/>
                <w:bCs/>
                <w:sz w:val="20"/>
                <w:szCs w:val="22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F0730" w:rsidRPr="008809A7" w:rsidRDefault="005F0730" w:rsidP="00421069">
            <w:pPr>
              <w:pStyle w:val="Tabletext"/>
              <w:ind w:right="567"/>
              <w:jc w:val="right"/>
              <w:rPr>
                <w:b/>
                <w:bCs/>
                <w:sz w:val="20"/>
                <w:szCs w:val="22"/>
              </w:rPr>
            </w:pPr>
            <w:r w:rsidRPr="008809A7">
              <w:rPr>
                <w:b/>
                <w:bCs/>
                <w:sz w:val="20"/>
                <w:szCs w:val="22"/>
              </w:rPr>
              <w:t>830 000</w:t>
            </w:r>
          </w:p>
        </w:tc>
      </w:tr>
    </w:tbl>
    <w:p w:rsidR="005F0730" w:rsidRPr="00875E94" w:rsidRDefault="005F0730" w:rsidP="0035261A">
      <w:pPr>
        <w:pStyle w:val="Normalaftertitle0"/>
      </w:pPr>
      <w:r w:rsidRPr="00875E94">
        <w:lastRenderedPageBreak/>
        <w:t>Исходя из приведенного выше анализа финансовых последствий, являющихся следствием различных решений и резолюций, их общая сумма оценивается в размере 830 000 швейцарских франков. Осуществление этих видов деятельности первоначально будет покрываться за счет экономии в</w:t>
      </w:r>
      <w:r w:rsidR="0035261A">
        <w:t> </w:t>
      </w:r>
      <w:r w:rsidRPr="00875E94">
        <w:t>рамках выделенных бюджетных средств. Однако в случае, если Бюро не сможет обеспечить эту деятельность в рамках текущих ассигнований, могут быть предусмотрены другие источники финансирования.</w:t>
      </w:r>
    </w:p>
    <w:p w:rsidR="005F0730" w:rsidRPr="00875E94" w:rsidRDefault="005F0730" w:rsidP="005F0730">
      <w:pPr>
        <w:pStyle w:val="Heading3"/>
      </w:pPr>
      <w:bookmarkStart w:id="4" w:name="_Toc446060764"/>
      <w:r w:rsidRPr="00875E94">
        <w:t>3.2.4</w:t>
      </w:r>
      <w:r w:rsidRPr="00875E94">
        <w:tab/>
        <w:t xml:space="preserve">Разработка программного обеспечения для выполнения решений </w:t>
      </w:r>
      <w:proofErr w:type="spellStart"/>
      <w:r w:rsidRPr="00875E94">
        <w:t>ВКР</w:t>
      </w:r>
      <w:proofErr w:type="spellEnd"/>
      <w:r w:rsidRPr="00875E94">
        <w:t>-15</w:t>
      </w:r>
      <w:bookmarkEnd w:id="4"/>
    </w:p>
    <w:p w:rsidR="005F0730" w:rsidRPr="00875E94" w:rsidRDefault="005F0730" w:rsidP="00025CE8">
      <w:proofErr w:type="spellStart"/>
      <w:r w:rsidRPr="00875E94">
        <w:t>БР</w:t>
      </w:r>
      <w:proofErr w:type="spellEnd"/>
      <w:r w:rsidRPr="00875E94">
        <w:t xml:space="preserve"> занимается </w:t>
      </w:r>
      <w:r w:rsidR="00112F9F" w:rsidRPr="00875E94">
        <w:t xml:space="preserve">проектированием </w:t>
      </w:r>
      <w:r w:rsidRPr="00875E94">
        <w:t xml:space="preserve">и </w:t>
      </w:r>
      <w:r w:rsidR="00112F9F" w:rsidRPr="00875E94">
        <w:t xml:space="preserve">разработкой </w:t>
      </w:r>
      <w:r w:rsidRPr="00875E94">
        <w:t xml:space="preserve">программного обеспечения для выполнения решений </w:t>
      </w:r>
      <w:proofErr w:type="spellStart"/>
      <w:r w:rsidRPr="00875E94">
        <w:t>ВКР</w:t>
      </w:r>
      <w:proofErr w:type="spellEnd"/>
      <w:r w:rsidRPr="00875E94">
        <w:noBreakHyphen/>
        <w:t>15. В следующей ниже таблице представлена краткая информация об основных решаемых задачах.</w:t>
      </w:r>
    </w:p>
    <w:p w:rsidR="005F0730" w:rsidRPr="00875E94" w:rsidRDefault="005F0730" w:rsidP="00025CE8">
      <w:pPr>
        <w:pStyle w:val="Tabletitle"/>
        <w:rPr>
          <w:szCs w:val="24"/>
        </w:rPr>
      </w:pPr>
      <w:r w:rsidRPr="00875E94">
        <w:t xml:space="preserve">Разработка программного обеспечения для выполнения решений </w:t>
      </w:r>
      <w:proofErr w:type="spellStart"/>
      <w:r w:rsidRPr="00875E94">
        <w:t>ВКР</w:t>
      </w:r>
      <w:proofErr w:type="spellEnd"/>
      <w:r w:rsidRPr="00875E94">
        <w:t>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F0730" w:rsidRPr="008809A7" w:rsidTr="008809A7">
        <w:trPr>
          <w:cantSplit/>
        </w:trPr>
        <w:tc>
          <w:tcPr>
            <w:tcW w:w="9350" w:type="dxa"/>
          </w:tcPr>
          <w:p w:rsidR="005F0730" w:rsidRPr="008809A7" w:rsidRDefault="005F0730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Резолюция 907 (</w:t>
            </w:r>
            <w:proofErr w:type="spellStart"/>
            <w:r w:rsidRPr="008809A7">
              <w:rPr>
                <w:sz w:val="20"/>
                <w:szCs w:val="22"/>
              </w:rPr>
              <w:t>Пересм</w:t>
            </w:r>
            <w:proofErr w:type="spellEnd"/>
            <w:r w:rsidRPr="008809A7">
              <w:rPr>
                <w:sz w:val="20"/>
                <w:szCs w:val="22"/>
              </w:rPr>
              <w:t xml:space="preserve">. </w:t>
            </w:r>
            <w:proofErr w:type="spellStart"/>
            <w:r w:rsidRPr="008809A7">
              <w:rPr>
                <w:sz w:val="20"/>
                <w:szCs w:val="22"/>
              </w:rPr>
              <w:t>ВКР</w:t>
            </w:r>
            <w:proofErr w:type="spellEnd"/>
            <w:r w:rsidRPr="008809A7">
              <w:rPr>
                <w:sz w:val="20"/>
                <w:szCs w:val="22"/>
              </w:rPr>
              <w:t>-15): Использование современных электронных средств связи в административной корреспонденции</w:t>
            </w:r>
            <w:r w:rsidR="00E5075A" w:rsidRPr="008809A7">
              <w:rPr>
                <w:sz w:val="20"/>
                <w:szCs w:val="22"/>
              </w:rPr>
              <w:t>, связанной со спутниковыми сетями.</w:t>
            </w:r>
            <w:r w:rsidRPr="008809A7">
              <w:rPr>
                <w:sz w:val="20"/>
                <w:szCs w:val="22"/>
              </w:rPr>
              <w:t xml:space="preserve"> </w:t>
            </w:r>
          </w:p>
          <w:p w:rsidR="005F0730" w:rsidRPr="008809A7" w:rsidRDefault="00E5075A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Состояние</w:t>
            </w:r>
            <w:r w:rsidR="005F0730" w:rsidRPr="008809A7">
              <w:rPr>
                <w:sz w:val="20"/>
                <w:szCs w:val="22"/>
              </w:rPr>
              <w:t xml:space="preserve">: </w:t>
            </w:r>
            <w:r w:rsidRPr="008809A7">
              <w:rPr>
                <w:sz w:val="20"/>
                <w:szCs w:val="22"/>
              </w:rPr>
              <w:t xml:space="preserve">На этапе проектирования </w:t>
            </w:r>
            <w:r w:rsidR="005F0730" w:rsidRPr="008809A7">
              <w:rPr>
                <w:sz w:val="20"/>
                <w:szCs w:val="22"/>
              </w:rPr>
              <w:t>(</w:t>
            </w:r>
            <w:r w:rsidRPr="008809A7">
              <w:rPr>
                <w:sz w:val="20"/>
                <w:szCs w:val="22"/>
              </w:rPr>
              <w:t xml:space="preserve">в сотрудничестве с </w:t>
            </w:r>
            <w:r w:rsidR="00112F9F" w:rsidRPr="008809A7">
              <w:rPr>
                <w:sz w:val="20"/>
                <w:szCs w:val="22"/>
              </w:rPr>
              <w:t xml:space="preserve">Департаментом </w:t>
            </w:r>
            <w:proofErr w:type="spellStart"/>
            <w:r w:rsidR="005F0730" w:rsidRPr="008809A7">
              <w:rPr>
                <w:sz w:val="20"/>
                <w:szCs w:val="22"/>
              </w:rPr>
              <w:t>IS</w:t>
            </w:r>
            <w:proofErr w:type="spellEnd"/>
            <w:r w:rsidR="005F0730" w:rsidRPr="008809A7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>по аспектам инфраструктуры безопасности</w:t>
            </w:r>
            <w:r w:rsidR="005F0730" w:rsidRPr="008809A7">
              <w:rPr>
                <w:sz w:val="20"/>
                <w:szCs w:val="22"/>
              </w:rPr>
              <w:t>).</w:t>
            </w:r>
          </w:p>
        </w:tc>
      </w:tr>
      <w:tr w:rsidR="005F0730" w:rsidRPr="008809A7" w:rsidTr="008809A7">
        <w:trPr>
          <w:cantSplit/>
        </w:trPr>
        <w:tc>
          <w:tcPr>
            <w:tcW w:w="9350" w:type="dxa"/>
          </w:tcPr>
          <w:p w:rsidR="005F0730" w:rsidRPr="008809A7" w:rsidRDefault="00E5075A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Резолюция</w:t>
            </w:r>
            <w:r w:rsidR="005F0730" w:rsidRPr="008809A7">
              <w:rPr>
                <w:sz w:val="20"/>
                <w:szCs w:val="22"/>
              </w:rPr>
              <w:t xml:space="preserve"> 908 (</w:t>
            </w:r>
            <w:proofErr w:type="spellStart"/>
            <w:r w:rsidRPr="008809A7">
              <w:rPr>
                <w:sz w:val="20"/>
                <w:szCs w:val="22"/>
              </w:rPr>
              <w:t>Пересм</w:t>
            </w:r>
            <w:proofErr w:type="spellEnd"/>
            <w:r w:rsidR="005F0730" w:rsidRPr="008809A7">
              <w:rPr>
                <w:sz w:val="20"/>
                <w:szCs w:val="22"/>
              </w:rPr>
              <w:t xml:space="preserve">. </w:t>
            </w:r>
            <w:proofErr w:type="spellStart"/>
            <w:r w:rsidRPr="008809A7">
              <w:rPr>
                <w:sz w:val="20"/>
                <w:szCs w:val="22"/>
              </w:rPr>
              <w:t>ВКР</w:t>
            </w:r>
            <w:proofErr w:type="spellEnd"/>
            <w:r w:rsidR="005F0730" w:rsidRPr="008809A7">
              <w:rPr>
                <w:sz w:val="20"/>
                <w:szCs w:val="22"/>
              </w:rPr>
              <w:t xml:space="preserve">-15): </w:t>
            </w:r>
            <w:r w:rsidRPr="008809A7">
              <w:rPr>
                <w:sz w:val="20"/>
                <w:szCs w:val="22"/>
              </w:rPr>
              <w:t>Электронное представление заявок на регистрацию спутниковых сетей.</w:t>
            </w:r>
          </w:p>
          <w:p w:rsidR="005F0730" w:rsidRPr="008809A7" w:rsidRDefault="00E5075A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Состояние</w:t>
            </w:r>
            <w:r w:rsidR="005F0730" w:rsidRPr="008809A7">
              <w:rPr>
                <w:sz w:val="20"/>
                <w:szCs w:val="22"/>
              </w:rPr>
              <w:t xml:space="preserve">: </w:t>
            </w:r>
            <w:r w:rsidRPr="008809A7">
              <w:rPr>
                <w:sz w:val="20"/>
                <w:szCs w:val="22"/>
              </w:rPr>
              <w:t xml:space="preserve">Приложение </w:t>
            </w:r>
            <w:proofErr w:type="spellStart"/>
            <w:r w:rsidR="005F0730" w:rsidRPr="008809A7">
              <w:rPr>
                <w:sz w:val="20"/>
                <w:szCs w:val="22"/>
              </w:rPr>
              <w:t>SpaceWISC</w:t>
            </w:r>
            <w:proofErr w:type="spellEnd"/>
            <w:r w:rsidR="005F0730" w:rsidRPr="008809A7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 xml:space="preserve">работает с 1 марта 2015 года и использовалось для предоставления и публикации более 1600 заявок </w:t>
            </w:r>
            <w:proofErr w:type="spellStart"/>
            <w:r w:rsidRPr="008809A7">
              <w:rPr>
                <w:sz w:val="20"/>
                <w:szCs w:val="22"/>
              </w:rPr>
              <w:t>API</w:t>
            </w:r>
            <w:proofErr w:type="spellEnd"/>
            <w:r w:rsidRPr="008809A7">
              <w:rPr>
                <w:sz w:val="20"/>
                <w:szCs w:val="22"/>
              </w:rPr>
              <w:t xml:space="preserve">. </w:t>
            </w:r>
            <w:proofErr w:type="spellStart"/>
            <w:r w:rsidRPr="008809A7">
              <w:rPr>
                <w:sz w:val="20"/>
                <w:szCs w:val="22"/>
              </w:rPr>
              <w:t>ВКР</w:t>
            </w:r>
            <w:proofErr w:type="spellEnd"/>
            <w:r w:rsidRPr="008809A7">
              <w:rPr>
                <w:sz w:val="20"/>
                <w:szCs w:val="22"/>
              </w:rPr>
              <w:t xml:space="preserve">-15 приняла решение расширить сферу применения Резолюции 908, а также изменить порядок подготовки и публикации заявок </w:t>
            </w:r>
            <w:proofErr w:type="spellStart"/>
            <w:r w:rsidRPr="008809A7">
              <w:rPr>
                <w:sz w:val="20"/>
                <w:szCs w:val="22"/>
              </w:rPr>
              <w:t>API</w:t>
            </w:r>
            <w:proofErr w:type="spellEnd"/>
            <w:r w:rsidRPr="008809A7">
              <w:rPr>
                <w:sz w:val="20"/>
                <w:szCs w:val="22"/>
              </w:rPr>
              <w:t xml:space="preserve">. В связи с этим 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 xml:space="preserve"> осуществляет модернизацию приложения </w:t>
            </w:r>
            <w:proofErr w:type="spellStart"/>
            <w:r w:rsidR="005F0730" w:rsidRPr="008809A7">
              <w:rPr>
                <w:sz w:val="20"/>
                <w:szCs w:val="22"/>
              </w:rPr>
              <w:t>SpaceWISC</w:t>
            </w:r>
            <w:proofErr w:type="spellEnd"/>
            <w:r w:rsidR="005F0730" w:rsidRPr="008809A7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>для удовлетворения новы</w:t>
            </w:r>
            <w:r w:rsidR="009A3781" w:rsidRPr="008809A7">
              <w:rPr>
                <w:sz w:val="20"/>
                <w:szCs w:val="22"/>
              </w:rPr>
              <w:t>м</w:t>
            </w:r>
            <w:r w:rsidRPr="008809A7">
              <w:rPr>
                <w:sz w:val="20"/>
                <w:szCs w:val="22"/>
              </w:rPr>
              <w:t xml:space="preserve"> требовани</w:t>
            </w:r>
            <w:r w:rsidR="009A3781" w:rsidRPr="008809A7">
              <w:rPr>
                <w:sz w:val="20"/>
                <w:szCs w:val="22"/>
              </w:rPr>
              <w:t>ям</w:t>
            </w:r>
            <w:r w:rsidR="005F0730" w:rsidRPr="008809A7">
              <w:rPr>
                <w:sz w:val="20"/>
                <w:szCs w:val="22"/>
              </w:rPr>
              <w:t xml:space="preserve">. </w:t>
            </w:r>
            <w:r w:rsidR="009A3781" w:rsidRPr="008809A7">
              <w:rPr>
                <w:sz w:val="20"/>
                <w:szCs w:val="22"/>
              </w:rPr>
              <w:t>Ожидается, что система начнет работать в 2017 году</w:t>
            </w:r>
            <w:r w:rsidR="005F0730" w:rsidRPr="008809A7">
              <w:rPr>
                <w:sz w:val="20"/>
                <w:szCs w:val="22"/>
              </w:rPr>
              <w:t>.</w:t>
            </w:r>
          </w:p>
        </w:tc>
      </w:tr>
      <w:tr w:rsidR="005F0730" w:rsidRPr="008809A7" w:rsidTr="008809A7">
        <w:trPr>
          <w:cantSplit/>
        </w:trPr>
        <w:tc>
          <w:tcPr>
            <w:tcW w:w="9350" w:type="dxa"/>
          </w:tcPr>
          <w:p w:rsidR="005F0730" w:rsidRPr="008809A7" w:rsidRDefault="009A3781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Выполнение решений </w:t>
            </w:r>
            <w:proofErr w:type="spellStart"/>
            <w:r w:rsidRPr="008809A7">
              <w:rPr>
                <w:sz w:val="20"/>
                <w:szCs w:val="22"/>
              </w:rPr>
              <w:t>ВКР</w:t>
            </w:r>
            <w:proofErr w:type="spellEnd"/>
            <w:r w:rsidRPr="008809A7">
              <w:rPr>
                <w:sz w:val="20"/>
                <w:szCs w:val="22"/>
              </w:rPr>
              <w:t>-15, связанных с космическими сетями</w:t>
            </w:r>
            <w:r w:rsidR="005F0730" w:rsidRPr="008809A7">
              <w:rPr>
                <w:sz w:val="20"/>
                <w:szCs w:val="22"/>
              </w:rPr>
              <w:t xml:space="preserve">: </w:t>
            </w:r>
            <w:r w:rsidR="00112F9F" w:rsidRPr="008809A7">
              <w:rPr>
                <w:sz w:val="20"/>
                <w:szCs w:val="22"/>
              </w:rPr>
              <w:t xml:space="preserve">Выполнение </w:t>
            </w:r>
            <w:r w:rsidRPr="008809A7">
              <w:rPr>
                <w:sz w:val="20"/>
                <w:szCs w:val="22"/>
              </w:rPr>
              <w:t>осуществляется в два этапа</w:t>
            </w:r>
            <w:r w:rsidR="005F0730" w:rsidRPr="008809A7">
              <w:rPr>
                <w:sz w:val="20"/>
                <w:szCs w:val="22"/>
              </w:rPr>
              <w:t>:</w:t>
            </w:r>
          </w:p>
          <w:p w:rsidR="005F0730" w:rsidRPr="008809A7" w:rsidRDefault="005F0730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</w:t>
            </w:r>
            <w:r w:rsidR="009A3781" w:rsidRPr="008809A7">
              <w:rPr>
                <w:sz w:val="20"/>
                <w:szCs w:val="22"/>
              </w:rPr>
              <w:t>-й этап</w:t>
            </w:r>
            <w:r w:rsidRPr="008809A7">
              <w:rPr>
                <w:sz w:val="20"/>
                <w:szCs w:val="22"/>
              </w:rPr>
              <w:t xml:space="preserve">: </w:t>
            </w:r>
            <w:r w:rsidR="009A3781" w:rsidRPr="008809A7">
              <w:rPr>
                <w:sz w:val="20"/>
                <w:szCs w:val="22"/>
              </w:rPr>
              <w:t xml:space="preserve">Выполнение решений, которые вступили в силу по окончании </w:t>
            </w:r>
            <w:proofErr w:type="spellStart"/>
            <w:r w:rsidR="009A3781" w:rsidRPr="008809A7">
              <w:rPr>
                <w:sz w:val="20"/>
                <w:szCs w:val="22"/>
              </w:rPr>
              <w:t>ВКР</w:t>
            </w:r>
            <w:proofErr w:type="spellEnd"/>
            <w:r w:rsidR="009A3781" w:rsidRPr="008809A7">
              <w:rPr>
                <w:sz w:val="20"/>
                <w:szCs w:val="22"/>
              </w:rPr>
              <w:t xml:space="preserve">-15 и касаются Правил процедуры. Дата </w:t>
            </w:r>
            <w:r w:rsidR="000E246C" w:rsidRPr="008809A7">
              <w:rPr>
                <w:sz w:val="20"/>
                <w:szCs w:val="22"/>
              </w:rPr>
              <w:t>выпуска</w:t>
            </w:r>
            <w:r w:rsidR="009A3781" w:rsidRPr="008809A7">
              <w:rPr>
                <w:sz w:val="20"/>
                <w:szCs w:val="22"/>
              </w:rPr>
              <w:t>: 1 апреля 2016 года.</w:t>
            </w:r>
          </w:p>
          <w:p w:rsidR="005F0730" w:rsidRPr="008809A7" w:rsidRDefault="009A3781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2-й этап</w:t>
            </w:r>
            <w:r w:rsidR="005F0730" w:rsidRPr="008809A7">
              <w:rPr>
                <w:sz w:val="20"/>
                <w:szCs w:val="22"/>
              </w:rPr>
              <w:t xml:space="preserve">: </w:t>
            </w:r>
            <w:r w:rsidRPr="008809A7">
              <w:rPr>
                <w:sz w:val="20"/>
                <w:szCs w:val="22"/>
              </w:rPr>
              <w:t xml:space="preserve">Выполнение остальных решений </w:t>
            </w:r>
            <w:proofErr w:type="spellStart"/>
            <w:r w:rsidRPr="008809A7">
              <w:rPr>
                <w:sz w:val="20"/>
                <w:szCs w:val="22"/>
              </w:rPr>
              <w:t>ВКР</w:t>
            </w:r>
            <w:proofErr w:type="spellEnd"/>
            <w:r w:rsidRPr="008809A7">
              <w:rPr>
                <w:sz w:val="20"/>
                <w:szCs w:val="22"/>
              </w:rPr>
              <w:t xml:space="preserve">-15, вступающих в силу 1 января 2017 года. Дата </w:t>
            </w:r>
            <w:r w:rsidR="000E246C" w:rsidRPr="008809A7">
              <w:rPr>
                <w:sz w:val="20"/>
                <w:szCs w:val="22"/>
              </w:rPr>
              <w:t>выпуска</w:t>
            </w:r>
            <w:r w:rsidRPr="008809A7">
              <w:rPr>
                <w:sz w:val="20"/>
                <w:szCs w:val="22"/>
              </w:rPr>
              <w:t>: 1 января 2017 года</w:t>
            </w:r>
            <w:r w:rsidR="005F0730" w:rsidRPr="008809A7">
              <w:rPr>
                <w:sz w:val="20"/>
                <w:szCs w:val="22"/>
              </w:rPr>
              <w:t>.</w:t>
            </w:r>
          </w:p>
        </w:tc>
      </w:tr>
      <w:tr w:rsidR="005F0730" w:rsidRPr="008809A7" w:rsidTr="008809A7">
        <w:trPr>
          <w:cantSplit/>
        </w:trPr>
        <w:tc>
          <w:tcPr>
            <w:tcW w:w="9350" w:type="dxa"/>
          </w:tcPr>
          <w:p w:rsidR="009A3781" w:rsidRPr="008809A7" w:rsidRDefault="009A3781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Анализ и обновление программного обеспечения для проверки </w:t>
            </w:r>
            <w:r w:rsidR="000E246C" w:rsidRPr="008809A7">
              <w:rPr>
                <w:sz w:val="20"/>
                <w:szCs w:val="22"/>
              </w:rPr>
              <w:t>и эталонных таблиц, относящихся к наземным службам, в результате изменения ситуации с распределением частот или появления дополнительных условий, например, в Резолюции 205;</w:t>
            </w:r>
          </w:p>
          <w:p w:rsidR="005F0730" w:rsidRPr="008809A7" w:rsidRDefault="000E246C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Дата выпуска</w:t>
            </w:r>
            <w:r w:rsidR="005F0730" w:rsidRPr="008809A7">
              <w:rPr>
                <w:sz w:val="20"/>
                <w:szCs w:val="22"/>
              </w:rPr>
              <w:t xml:space="preserve">: </w:t>
            </w:r>
            <w:r w:rsidRPr="008809A7">
              <w:rPr>
                <w:sz w:val="20"/>
                <w:szCs w:val="22"/>
              </w:rPr>
              <w:t xml:space="preserve">1 января </w:t>
            </w:r>
            <w:r w:rsidR="005F0730" w:rsidRPr="008809A7">
              <w:rPr>
                <w:sz w:val="20"/>
                <w:szCs w:val="22"/>
              </w:rPr>
              <w:t>2017</w:t>
            </w:r>
            <w:r w:rsidRPr="008809A7">
              <w:rPr>
                <w:sz w:val="20"/>
                <w:szCs w:val="22"/>
              </w:rPr>
              <w:t xml:space="preserve"> года</w:t>
            </w:r>
            <w:r w:rsidR="005F0730" w:rsidRPr="008809A7">
              <w:rPr>
                <w:sz w:val="20"/>
                <w:szCs w:val="22"/>
              </w:rPr>
              <w:t>.</w:t>
            </w:r>
          </w:p>
        </w:tc>
      </w:tr>
      <w:tr w:rsidR="005F0730" w:rsidRPr="008809A7" w:rsidTr="008809A7">
        <w:trPr>
          <w:cantSplit/>
        </w:trPr>
        <w:tc>
          <w:tcPr>
            <w:tcW w:w="9350" w:type="dxa"/>
          </w:tcPr>
          <w:p w:rsidR="005F0730" w:rsidRPr="008809A7" w:rsidRDefault="000E246C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Анализ и обновление программных модулей для проверки и связанных с ними эталонных таблиц в результате изменения ситуации с распределением частот, в основном в полосах частот, совместно используемых космическими и наземными службами</w:t>
            </w:r>
            <w:r w:rsidR="005F0730" w:rsidRPr="008809A7">
              <w:rPr>
                <w:sz w:val="20"/>
                <w:szCs w:val="22"/>
              </w:rPr>
              <w:t>.</w:t>
            </w:r>
          </w:p>
          <w:p w:rsidR="005F0730" w:rsidRPr="008809A7" w:rsidRDefault="000E246C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Дата выпуска</w:t>
            </w:r>
            <w:r w:rsidR="005F0730" w:rsidRPr="008809A7">
              <w:rPr>
                <w:sz w:val="20"/>
                <w:szCs w:val="22"/>
              </w:rPr>
              <w:t xml:space="preserve">: </w:t>
            </w:r>
            <w:r w:rsidRPr="008809A7">
              <w:rPr>
                <w:sz w:val="20"/>
                <w:szCs w:val="22"/>
              </w:rPr>
              <w:t>1 января</w:t>
            </w:r>
            <w:r w:rsidR="005F0730" w:rsidRPr="008809A7">
              <w:rPr>
                <w:sz w:val="20"/>
                <w:szCs w:val="22"/>
              </w:rPr>
              <w:t xml:space="preserve"> 2017</w:t>
            </w:r>
            <w:r w:rsidRPr="008809A7">
              <w:rPr>
                <w:sz w:val="20"/>
                <w:szCs w:val="22"/>
              </w:rPr>
              <w:t xml:space="preserve"> года</w:t>
            </w:r>
            <w:r w:rsidR="005F0730" w:rsidRPr="008809A7">
              <w:rPr>
                <w:sz w:val="20"/>
                <w:szCs w:val="22"/>
              </w:rPr>
              <w:t>.</w:t>
            </w:r>
          </w:p>
        </w:tc>
      </w:tr>
      <w:tr w:rsidR="005F0730" w:rsidRPr="008809A7" w:rsidTr="008809A7">
        <w:trPr>
          <w:cantSplit/>
        </w:trPr>
        <w:tc>
          <w:tcPr>
            <w:tcW w:w="9350" w:type="dxa"/>
          </w:tcPr>
          <w:p w:rsidR="005F0730" w:rsidRPr="008809A7" w:rsidRDefault="000E246C" w:rsidP="00025CE8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Согласование части </w:t>
            </w:r>
            <w:proofErr w:type="spellStart"/>
            <w:r w:rsidRPr="008809A7">
              <w:rPr>
                <w:sz w:val="20"/>
                <w:szCs w:val="22"/>
              </w:rPr>
              <w:t>МСРЧ</w:t>
            </w:r>
            <w:proofErr w:type="spellEnd"/>
            <w:r w:rsidRPr="008809A7">
              <w:rPr>
                <w:sz w:val="20"/>
                <w:szCs w:val="22"/>
              </w:rPr>
              <w:t xml:space="preserve"> по наземным службам с базой данных </w:t>
            </w:r>
            <w:proofErr w:type="spellStart"/>
            <w:r w:rsidRPr="008809A7">
              <w:rPr>
                <w:sz w:val="20"/>
                <w:szCs w:val="22"/>
              </w:rPr>
              <w:t>ИКАО</w:t>
            </w:r>
            <w:proofErr w:type="spellEnd"/>
            <w:r w:rsidRPr="008809A7">
              <w:rPr>
                <w:sz w:val="20"/>
                <w:szCs w:val="22"/>
              </w:rPr>
              <w:t xml:space="preserve">: Бюро продолжает разработку соответствующих программных инструментов, позволяющих администрациям согласовывать свои данные в </w:t>
            </w:r>
            <w:proofErr w:type="spellStart"/>
            <w:r w:rsidRPr="008809A7">
              <w:rPr>
                <w:sz w:val="20"/>
                <w:szCs w:val="22"/>
              </w:rPr>
              <w:t>МСРЧ</w:t>
            </w:r>
            <w:proofErr w:type="spellEnd"/>
            <w:r w:rsidRPr="008809A7">
              <w:rPr>
                <w:sz w:val="20"/>
                <w:szCs w:val="22"/>
              </w:rPr>
              <w:t xml:space="preserve"> со своими соответствующими данными в базе данных </w:t>
            </w:r>
            <w:proofErr w:type="spellStart"/>
            <w:r w:rsidRPr="008809A7">
              <w:rPr>
                <w:sz w:val="20"/>
                <w:szCs w:val="22"/>
              </w:rPr>
              <w:t>ИКАО</w:t>
            </w:r>
            <w:proofErr w:type="spellEnd"/>
            <w:r w:rsidRPr="008809A7">
              <w:rPr>
                <w:sz w:val="20"/>
                <w:szCs w:val="22"/>
              </w:rPr>
              <w:t xml:space="preserve">. Для этого была завершена разработка программного обеспечения, предназначенного для сравнения, и образцов создаваемых заявок, которые позволяют администрациям определять необходимость в обновлении </w:t>
            </w:r>
            <w:proofErr w:type="spellStart"/>
            <w:r w:rsidRPr="008809A7">
              <w:rPr>
                <w:sz w:val="20"/>
                <w:szCs w:val="22"/>
              </w:rPr>
              <w:t>МСРЧ</w:t>
            </w:r>
            <w:proofErr w:type="spellEnd"/>
            <w:r w:rsidRPr="008809A7">
              <w:rPr>
                <w:sz w:val="20"/>
                <w:szCs w:val="22"/>
              </w:rPr>
              <w:t xml:space="preserve"> и автоматически создавать необходимые электронные заявки, подлежащие заявлению в 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 xml:space="preserve">. Данный процесс находится на этапе тестирования, и осуществляется дальнейшее взаимодействие с </w:t>
            </w:r>
            <w:proofErr w:type="spellStart"/>
            <w:r w:rsidRPr="008809A7">
              <w:rPr>
                <w:sz w:val="20"/>
                <w:szCs w:val="22"/>
              </w:rPr>
              <w:t>ИКАО</w:t>
            </w:r>
            <w:proofErr w:type="spellEnd"/>
            <w:r w:rsidRPr="008809A7">
              <w:rPr>
                <w:sz w:val="20"/>
                <w:szCs w:val="22"/>
              </w:rPr>
              <w:t xml:space="preserve">. Ход работы в значительной степени зависит от доступности базы данных </w:t>
            </w:r>
            <w:proofErr w:type="spellStart"/>
            <w:r w:rsidRPr="008809A7">
              <w:rPr>
                <w:sz w:val="20"/>
                <w:szCs w:val="22"/>
              </w:rPr>
              <w:t>ИКАО</w:t>
            </w:r>
            <w:proofErr w:type="spellEnd"/>
            <w:r w:rsidRPr="008809A7">
              <w:rPr>
                <w:sz w:val="20"/>
                <w:szCs w:val="22"/>
              </w:rPr>
              <w:t xml:space="preserve"> на веб-сайте, который в настоящее время находится на этапе разработки.</w:t>
            </w:r>
          </w:p>
        </w:tc>
      </w:tr>
    </w:tbl>
    <w:p w:rsidR="005F0730" w:rsidRPr="00875E94" w:rsidRDefault="005F0730" w:rsidP="000E246C">
      <w:pPr>
        <w:pStyle w:val="Heading3"/>
      </w:pPr>
      <w:bookmarkStart w:id="5" w:name="_Toc446060765"/>
      <w:r w:rsidRPr="00875E94">
        <w:t>3.2.5</w:t>
      </w:r>
      <w:r w:rsidRPr="00875E94">
        <w:tab/>
      </w:r>
      <w:r w:rsidR="000E246C" w:rsidRPr="00875E94">
        <w:t xml:space="preserve">Другие меры по выполнению решений </w:t>
      </w:r>
      <w:proofErr w:type="spellStart"/>
      <w:r w:rsidR="000E246C" w:rsidRPr="00875E94">
        <w:t>ВКР</w:t>
      </w:r>
      <w:proofErr w:type="spellEnd"/>
      <w:r w:rsidRPr="00875E94">
        <w:t>-15</w:t>
      </w:r>
      <w:bookmarkEnd w:id="5"/>
    </w:p>
    <w:p w:rsidR="005F0730" w:rsidRPr="00875E94" w:rsidRDefault="000E246C" w:rsidP="00C07428">
      <w:r w:rsidRPr="00875E94">
        <w:t xml:space="preserve">В соответствии с поручением Конференции Бюро подготовило подборку всех решений </w:t>
      </w:r>
      <w:proofErr w:type="spellStart"/>
      <w:r w:rsidRPr="00875E94">
        <w:t>ВКР</w:t>
      </w:r>
      <w:proofErr w:type="spellEnd"/>
      <w:r w:rsidRPr="00875E94">
        <w:t xml:space="preserve">-15, которые не вошли в Заключительные акты, но отражены в протоколах пленарных заседаний </w:t>
      </w:r>
      <w:proofErr w:type="spellStart"/>
      <w:r w:rsidRPr="00875E94">
        <w:t>ВКР</w:t>
      </w:r>
      <w:proofErr w:type="spellEnd"/>
      <w:r w:rsidRPr="00875E94">
        <w:t>-15</w:t>
      </w:r>
      <w:r w:rsidR="00C07428" w:rsidRPr="00875E94">
        <w:t xml:space="preserve">, и опубликовало их в Циркулярном письме </w:t>
      </w:r>
      <w:proofErr w:type="spellStart"/>
      <w:r w:rsidR="005F0730" w:rsidRPr="00875E94">
        <w:rPr>
          <w:b/>
        </w:rPr>
        <w:t>CR</w:t>
      </w:r>
      <w:proofErr w:type="spellEnd"/>
      <w:r w:rsidR="005F0730" w:rsidRPr="00875E94">
        <w:rPr>
          <w:b/>
        </w:rPr>
        <w:t>/389</w:t>
      </w:r>
      <w:r w:rsidR="005F0730" w:rsidRPr="00875E94">
        <w:t xml:space="preserve"> </w:t>
      </w:r>
      <w:r w:rsidR="00C07428" w:rsidRPr="00875E94">
        <w:t xml:space="preserve">от </w:t>
      </w:r>
      <w:r w:rsidR="005F0730" w:rsidRPr="00875E94">
        <w:t>29</w:t>
      </w:r>
      <w:r w:rsidR="00C07428" w:rsidRPr="00875E94">
        <w:t xml:space="preserve"> января </w:t>
      </w:r>
      <w:r w:rsidR="005F0730" w:rsidRPr="00875E94">
        <w:t>2015</w:t>
      </w:r>
      <w:r w:rsidR="00C07428" w:rsidRPr="00875E94">
        <w:t xml:space="preserve"> года</w:t>
      </w:r>
      <w:r w:rsidR="005F0730" w:rsidRPr="00875E94">
        <w:t>.</w:t>
      </w:r>
    </w:p>
    <w:p w:rsidR="005F0730" w:rsidRPr="00875E94" w:rsidRDefault="00C07428" w:rsidP="0035261A">
      <w:r w:rsidRPr="00875E94">
        <w:t xml:space="preserve">Кроме того, на собрание </w:t>
      </w:r>
      <w:proofErr w:type="spellStart"/>
      <w:r w:rsidRPr="00875E94">
        <w:t>РРК</w:t>
      </w:r>
      <w:proofErr w:type="spellEnd"/>
      <w:r w:rsidRPr="00875E94">
        <w:t xml:space="preserve">, которое состоится в мае 2016 года, Бюро представит документы, содержащие перечень существующих Правил процедуры, которые, возможно, потребуется пересмотреть в свете решений </w:t>
      </w:r>
      <w:proofErr w:type="spellStart"/>
      <w:r w:rsidRPr="00875E94">
        <w:t>ВКР</w:t>
      </w:r>
      <w:proofErr w:type="spellEnd"/>
      <w:r w:rsidRPr="00875E94">
        <w:t xml:space="preserve">-15, а также предварительный перечень положений и решений </w:t>
      </w:r>
      <w:proofErr w:type="spellStart"/>
      <w:r w:rsidRPr="00875E94">
        <w:lastRenderedPageBreak/>
        <w:t>ВКР</w:t>
      </w:r>
      <w:proofErr w:type="spellEnd"/>
      <w:r w:rsidRPr="00875E94">
        <w:t>-15, принятых на пленарных заседаниях, которые могут потребовать рассмотрения Комитетом и</w:t>
      </w:r>
      <w:r w:rsidR="0035261A">
        <w:t> </w:t>
      </w:r>
      <w:r w:rsidRPr="00875E94">
        <w:t xml:space="preserve">подготовки новых Правил процедуры. </w:t>
      </w:r>
    </w:p>
    <w:p w:rsidR="005F0730" w:rsidRPr="00875E94" w:rsidRDefault="00C07428" w:rsidP="00C07428">
      <w:r w:rsidRPr="00875E94">
        <w:t xml:space="preserve">После завершения рассмотрения предварительных Заключительных актов </w:t>
      </w:r>
      <w:proofErr w:type="spellStart"/>
      <w:r w:rsidRPr="00875E94">
        <w:t>ВКР</w:t>
      </w:r>
      <w:proofErr w:type="spellEnd"/>
      <w:r w:rsidRPr="00875E94">
        <w:t>-15 Бюро планирует проинформировать администрации с помощью циркулярных писем о принятых мерах по выполнению новых и пересмотренных положений Регламента радиосвязи</w:t>
      </w:r>
      <w:r w:rsidR="005F0730" w:rsidRPr="00875E94">
        <w:t>.</w:t>
      </w:r>
    </w:p>
    <w:p w:rsidR="005F0730" w:rsidRPr="00875E94" w:rsidRDefault="005F0730" w:rsidP="00C07428">
      <w:pPr>
        <w:pStyle w:val="Heading1"/>
      </w:pPr>
      <w:bookmarkStart w:id="6" w:name="_Toc446060766"/>
      <w:r w:rsidRPr="00875E94">
        <w:t>4</w:t>
      </w:r>
      <w:r w:rsidRPr="00875E94">
        <w:tab/>
      </w:r>
      <w:bookmarkEnd w:id="6"/>
      <w:r w:rsidR="00C07428" w:rsidRPr="00875E94">
        <w:t>Деятельность исследовательских комиссий</w:t>
      </w:r>
    </w:p>
    <w:p w:rsidR="005F0730" w:rsidRPr="00875E94" w:rsidRDefault="00C07428" w:rsidP="00025CE8">
      <w:pPr>
        <w:rPr>
          <w:rFonts w:eastAsia="SimSun"/>
        </w:rPr>
      </w:pPr>
      <w:r w:rsidRPr="00875E94">
        <w:rPr>
          <w:rFonts w:eastAsia="SimSun"/>
        </w:rPr>
        <w:t>Эта тема представлена в Дополнительном документе 1 к настоящему документу</w:t>
      </w:r>
      <w:r w:rsidR="005F0730" w:rsidRPr="00875E94">
        <w:rPr>
          <w:rFonts w:eastAsia="SimSun"/>
        </w:rPr>
        <w:t>.</w:t>
      </w:r>
    </w:p>
    <w:p w:rsidR="00797218" w:rsidRPr="00875E94" w:rsidRDefault="00797218" w:rsidP="00797218">
      <w:pPr>
        <w:pStyle w:val="Heading1"/>
      </w:pPr>
      <w:r w:rsidRPr="00875E94">
        <w:t>5</w:t>
      </w:r>
      <w:r w:rsidRPr="00875E94">
        <w:tab/>
        <w:t xml:space="preserve">Подготовка к </w:t>
      </w:r>
      <w:proofErr w:type="spellStart"/>
      <w:r w:rsidRPr="00875E94">
        <w:t>ВКР</w:t>
      </w:r>
      <w:proofErr w:type="spellEnd"/>
      <w:r w:rsidRPr="00875E94">
        <w:t>-19</w:t>
      </w:r>
    </w:p>
    <w:p w:rsidR="00797218" w:rsidRPr="00875E94" w:rsidRDefault="00797218" w:rsidP="00025CE8">
      <w:r w:rsidRPr="00875E94">
        <w:t xml:space="preserve">Повестка дня </w:t>
      </w:r>
      <w:proofErr w:type="spellStart"/>
      <w:r w:rsidRPr="00875E94">
        <w:t>ВКР</w:t>
      </w:r>
      <w:proofErr w:type="spellEnd"/>
      <w:r w:rsidRPr="00875E94">
        <w:t>-19, содержащаяся в Резолюции 809 (</w:t>
      </w:r>
      <w:proofErr w:type="spellStart"/>
      <w:r w:rsidRPr="00875E94">
        <w:t>ВКР</w:t>
      </w:r>
      <w:proofErr w:type="spellEnd"/>
      <w:r w:rsidRPr="00875E94">
        <w:t>-15) [</w:t>
      </w:r>
      <w:proofErr w:type="spellStart"/>
      <w:r w:rsidRPr="00875E94">
        <w:t>COM6</w:t>
      </w:r>
      <w:proofErr w:type="spellEnd"/>
      <w:r w:rsidRPr="00875E94">
        <w:t>/16], будет рассмотрена на</w:t>
      </w:r>
      <w:r w:rsidR="00025CE8" w:rsidRPr="00875E94">
        <w:t> </w:t>
      </w:r>
      <w:r w:rsidRPr="00875E94">
        <w:t>сессии Совета 2016 года, которой будет предложено утвердить Резолюцию, содержащую данную повестку дня, а также место проведения и точны</w:t>
      </w:r>
      <w:r w:rsidR="00112F9F" w:rsidRPr="00875E94">
        <w:t>е</w:t>
      </w:r>
      <w:r w:rsidRPr="00875E94">
        <w:t xml:space="preserve"> дат</w:t>
      </w:r>
      <w:r w:rsidR="00112F9F" w:rsidRPr="00875E94">
        <w:t>ы</w:t>
      </w:r>
      <w:r w:rsidRPr="00875E94">
        <w:t xml:space="preserve"> </w:t>
      </w:r>
      <w:proofErr w:type="spellStart"/>
      <w:r w:rsidRPr="00875E94">
        <w:t>ВКР</w:t>
      </w:r>
      <w:proofErr w:type="spellEnd"/>
      <w:r w:rsidRPr="00875E94">
        <w:t>-19 и АР-19.</w:t>
      </w:r>
    </w:p>
    <w:p w:rsidR="00797218" w:rsidRPr="00875E94" w:rsidRDefault="00797218" w:rsidP="00025CE8">
      <w:r w:rsidRPr="00875E94">
        <w:t xml:space="preserve">Первая сессия Подготовительного собрания к конференции для </w:t>
      </w:r>
      <w:proofErr w:type="spellStart"/>
      <w:r w:rsidRPr="00875E94">
        <w:t>ВКР</w:t>
      </w:r>
      <w:proofErr w:type="spellEnd"/>
      <w:r w:rsidRPr="00875E94">
        <w:t>-19 (</w:t>
      </w:r>
      <w:proofErr w:type="spellStart"/>
      <w:r w:rsidRPr="00875E94">
        <w:t>ПСК19</w:t>
      </w:r>
      <w:proofErr w:type="spellEnd"/>
      <w:r w:rsidRPr="00875E94">
        <w:t>-1) состоялась с 30</w:t>
      </w:r>
      <w:r w:rsidR="00025CE8" w:rsidRPr="00875E94">
        <w:t> </w:t>
      </w:r>
      <w:r w:rsidRPr="00875E94">
        <w:t xml:space="preserve">ноября по 1 декабря 2015 года с целью организации подготовительных исследований для </w:t>
      </w:r>
      <w:proofErr w:type="spellStart"/>
      <w:r w:rsidRPr="00875E94">
        <w:t>ВКР</w:t>
      </w:r>
      <w:proofErr w:type="spellEnd"/>
      <w:r w:rsidRPr="00875E94">
        <w:t xml:space="preserve">-19 </w:t>
      </w:r>
      <w:proofErr w:type="gramStart"/>
      <w:r w:rsidRPr="00875E94">
        <w:t>на основе</w:t>
      </w:r>
      <w:proofErr w:type="gramEnd"/>
      <w:r w:rsidRPr="00875E94">
        <w:t xml:space="preserve"> подготовленной на </w:t>
      </w:r>
      <w:proofErr w:type="spellStart"/>
      <w:r w:rsidRPr="00875E94">
        <w:t>ВКР</w:t>
      </w:r>
      <w:proofErr w:type="spellEnd"/>
      <w:r w:rsidRPr="00875E94">
        <w:t xml:space="preserve">-15 повестки дня </w:t>
      </w:r>
      <w:proofErr w:type="spellStart"/>
      <w:r w:rsidRPr="00875E94">
        <w:t>ВКР</w:t>
      </w:r>
      <w:proofErr w:type="spellEnd"/>
      <w:r w:rsidRPr="00875E94">
        <w:t xml:space="preserve">-19 и с учетом соответствующих резолюций </w:t>
      </w:r>
      <w:proofErr w:type="spellStart"/>
      <w:r w:rsidRPr="00875E94">
        <w:t>ВКР</w:t>
      </w:r>
      <w:proofErr w:type="spellEnd"/>
      <w:r w:rsidRPr="00875E94">
        <w:t>-1</w:t>
      </w:r>
      <w:r w:rsidR="00112F9F" w:rsidRPr="00875E94">
        <w:t>5</w:t>
      </w:r>
      <w:r w:rsidRPr="00875E94">
        <w:t>, предусматривающих проведение неотложных и других исследований МСЭ-R и представление отчета Директором на </w:t>
      </w:r>
      <w:proofErr w:type="spellStart"/>
      <w:r w:rsidRPr="00875E94">
        <w:t>ВКР</w:t>
      </w:r>
      <w:proofErr w:type="spellEnd"/>
      <w:r w:rsidRPr="00875E94">
        <w:noBreakHyphen/>
        <w:t>15.</w:t>
      </w:r>
    </w:p>
    <w:p w:rsidR="00797218" w:rsidRPr="00875E94" w:rsidRDefault="00797218" w:rsidP="00D22517">
      <w:r w:rsidRPr="00875E94">
        <w:t xml:space="preserve">В Циркулярном письме </w:t>
      </w:r>
      <w:hyperlink r:id="rId24" w:history="1">
        <w:proofErr w:type="spellStart"/>
        <w:r w:rsidRPr="00875E94">
          <w:rPr>
            <w:rStyle w:val="Hyperlink"/>
            <w:szCs w:val="24"/>
          </w:rPr>
          <w:t>CA</w:t>
        </w:r>
        <w:proofErr w:type="spellEnd"/>
        <w:r w:rsidRPr="00875E94">
          <w:rPr>
            <w:rStyle w:val="Hyperlink"/>
            <w:szCs w:val="24"/>
          </w:rPr>
          <w:t>/226</w:t>
        </w:r>
      </w:hyperlink>
      <w:r w:rsidRPr="00875E94">
        <w:t xml:space="preserve"> от 23 декабря 2015 года приведены результаты </w:t>
      </w:r>
      <w:proofErr w:type="spellStart"/>
      <w:r w:rsidRPr="00875E94">
        <w:t>ПСК19</w:t>
      </w:r>
      <w:proofErr w:type="spellEnd"/>
      <w:r w:rsidRPr="00875E94">
        <w:t xml:space="preserve">-1, в частности определение по каждому пункту повестки дня </w:t>
      </w:r>
      <w:proofErr w:type="spellStart"/>
      <w:r w:rsidRPr="00875E94">
        <w:t>ВКР</w:t>
      </w:r>
      <w:proofErr w:type="spellEnd"/>
      <w:r w:rsidRPr="00875E94">
        <w:t xml:space="preserve">-19 ответственных и заинтересованных групп МСЭ-R и определение вопросов для исследования, в том числе решение </w:t>
      </w:r>
      <w:proofErr w:type="spellStart"/>
      <w:r w:rsidRPr="00875E94">
        <w:t>ПСК19</w:t>
      </w:r>
      <w:proofErr w:type="spellEnd"/>
      <w:r w:rsidRPr="00875E94">
        <w:t>-1 о том, чтобы предложить 5-й Исследовательской комиссии создать Целевую группу (</w:t>
      </w:r>
      <w:proofErr w:type="spellStart"/>
      <w:r w:rsidRPr="00875E94">
        <w:t>ЦГ</w:t>
      </w:r>
      <w:proofErr w:type="spellEnd"/>
      <w:r w:rsidRPr="00875E94">
        <w:t xml:space="preserve"> 5/1) в качестве ответственной группы по пункту 1.13 повестки дня </w:t>
      </w:r>
      <w:proofErr w:type="spellStart"/>
      <w:r w:rsidRPr="00875E94">
        <w:t>ВКР</w:t>
      </w:r>
      <w:proofErr w:type="spellEnd"/>
      <w:r w:rsidRPr="00875E94">
        <w:t xml:space="preserve">-19, имеющей согласованный круг ведения. Всем ответственным группам требуется соблюдать руководящие указания по подготовке проектов текстов </w:t>
      </w:r>
      <w:proofErr w:type="spellStart"/>
      <w:r w:rsidRPr="00875E94">
        <w:t>ПСК</w:t>
      </w:r>
      <w:proofErr w:type="spellEnd"/>
      <w:r w:rsidRPr="00875E94">
        <w:t>, содержащиеся в Приложении 2 к Резолюции МСЭ-R 2-</w:t>
      </w:r>
      <w:r w:rsidR="00D22517" w:rsidRPr="00875E94">
        <w:t>7</w:t>
      </w:r>
      <w:r w:rsidRPr="00875E94">
        <w:t>.</w:t>
      </w:r>
    </w:p>
    <w:p w:rsidR="00797218" w:rsidRPr="00875E94" w:rsidRDefault="00797218" w:rsidP="00025CE8">
      <w:r w:rsidRPr="00875E94">
        <w:t xml:space="preserve">В </w:t>
      </w:r>
      <w:r w:rsidR="00D22517" w:rsidRPr="00875E94">
        <w:t xml:space="preserve">Циркулярном письме </w:t>
      </w:r>
      <w:proofErr w:type="spellStart"/>
      <w:r w:rsidRPr="00875E94">
        <w:t>CA</w:t>
      </w:r>
      <w:proofErr w:type="spellEnd"/>
      <w:r w:rsidRPr="00875E94">
        <w:t>/20</w:t>
      </w:r>
      <w:r w:rsidR="00D22517" w:rsidRPr="00875E94">
        <w:t>6</w:t>
      </w:r>
      <w:r w:rsidRPr="00875E94">
        <w:t xml:space="preserve"> </w:t>
      </w:r>
      <w:r w:rsidR="00D22517" w:rsidRPr="00875E94">
        <w:t xml:space="preserve">и Исправлении 1 к нему </w:t>
      </w:r>
      <w:r w:rsidRPr="00875E94">
        <w:t>также приведена информация о структуре и</w:t>
      </w:r>
      <w:r w:rsidR="00025CE8" w:rsidRPr="00875E94">
        <w:t> </w:t>
      </w:r>
      <w:r w:rsidRPr="00875E94">
        <w:t xml:space="preserve">плане проекта Отчета </w:t>
      </w:r>
      <w:proofErr w:type="spellStart"/>
      <w:r w:rsidRPr="00875E94">
        <w:t>ПСК</w:t>
      </w:r>
      <w:proofErr w:type="spellEnd"/>
      <w:r w:rsidRPr="00875E94">
        <w:t xml:space="preserve"> для </w:t>
      </w:r>
      <w:proofErr w:type="spellStart"/>
      <w:r w:rsidRPr="00875E94">
        <w:t>ВКР</w:t>
      </w:r>
      <w:proofErr w:type="spellEnd"/>
      <w:r w:rsidRPr="00875E94">
        <w:t>-1</w:t>
      </w:r>
      <w:r w:rsidR="00D22517" w:rsidRPr="00875E94">
        <w:t>9</w:t>
      </w:r>
      <w:r w:rsidRPr="00875E94">
        <w:t xml:space="preserve"> и о шести его главах, а также о </w:t>
      </w:r>
      <w:r w:rsidR="00D22517" w:rsidRPr="00875E94">
        <w:t>шести</w:t>
      </w:r>
      <w:r w:rsidRPr="00875E94">
        <w:t xml:space="preserve"> докладчиках по</w:t>
      </w:r>
      <w:r w:rsidR="00025CE8" w:rsidRPr="00875E94">
        <w:t> </w:t>
      </w:r>
      <w:r w:rsidRPr="00875E94">
        <w:t xml:space="preserve">главам, назначенных для оказания помощи председателю в управлении потоком вкладов и разработке проектов текстов </w:t>
      </w:r>
      <w:proofErr w:type="spellStart"/>
      <w:r w:rsidRPr="00875E94">
        <w:t>ПСК</w:t>
      </w:r>
      <w:proofErr w:type="spellEnd"/>
      <w:r w:rsidRPr="00875E94">
        <w:t>.</w:t>
      </w:r>
    </w:p>
    <w:p w:rsidR="00F01466" w:rsidRPr="0035261A" w:rsidRDefault="00D55979" w:rsidP="0035261A">
      <w:pPr>
        <w:pStyle w:val="Heading1"/>
      </w:pPr>
      <w:r>
        <w:t>6</w:t>
      </w:r>
      <w:r>
        <w:tab/>
        <w:t>Оперативное планирование</w:t>
      </w:r>
    </w:p>
    <w:p w:rsidR="00F01466" w:rsidRPr="00875E94" w:rsidRDefault="00F01466" w:rsidP="00025CE8">
      <w:r w:rsidRPr="00875E94">
        <w:t xml:space="preserve">Как сообщалось 22-му собранию </w:t>
      </w:r>
      <w:proofErr w:type="spellStart"/>
      <w:r w:rsidRPr="00875E94">
        <w:t>КГР</w:t>
      </w:r>
      <w:proofErr w:type="spellEnd"/>
      <w:r w:rsidRPr="00875E94">
        <w:t>, по результатам утверждения на ПК-14 Стратегического плана Союза на 2016–2019 годы была сформирована структура Оперативного плана МСЭ</w:t>
      </w:r>
      <w:r w:rsidRPr="00875E94">
        <w:noBreakHyphen/>
        <w:t>R на основе принципов управления, ориентированного на результаты, с тем чтобы обеспечить полную увязку с</w:t>
      </w:r>
      <w:r w:rsidR="00025CE8" w:rsidRPr="00875E94">
        <w:t> </w:t>
      </w:r>
      <w:r w:rsidRPr="00875E94">
        <w:t>бюджетом и другими финансовыми инструментами Союза. Оперативный план МСЭ-R на период 2016–2019 годов был утвержден Советом-15 (</w:t>
      </w:r>
      <w:hyperlink r:id="rId25" w:history="1">
        <w:r w:rsidRPr="00875E94">
          <w:rPr>
            <w:rStyle w:val="Hyperlink"/>
          </w:rPr>
          <w:t>http://www.itu.int/oth/R0B05000019/en</w:t>
        </w:r>
      </w:hyperlink>
      <w:r w:rsidRPr="00875E94">
        <w:t xml:space="preserve">). </w:t>
      </w:r>
    </w:p>
    <w:p w:rsidR="00F01466" w:rsidRPr="00875E94" w:rsidRDefault="00F01466" w:rsidP="00F01466">
      <w:r w:rsidRPr="00875E94">
        <w:t xml:space="preserve">Проект Оперативного плана МСЭ-R на период 2017–2020 годов представлен в Дополнительном документе 2 к настоящему документу для рассмотрения и замечаний со стороны </w:t>
      </w:r>
      <w:proofErr w:type="spellStart"/>
      <w:r w:rsidRPr="00875E94">
        <w:t>КГР</w:t>
      </w:r>
      <w:proofErr w:type="spellEnd"/>
      <w:r w:rsidRPr="00875E94">
        <w:t>.</w:t>
      </w:r>
    </w:p>
    <w:p w:rsidR="00F01466" w:rsidRPr="00875E94" w:rsidRDefault="00F01466" w:rsidP="00F01466">
      <w:pPr>
        <w:pStyle w:val="Heading1"/>
      </w:pPr>
      <w:r w:rsidRPr="00875E94">
        <w:t>7</w:t>
      </w:r>
      <w:r w:rsidRPr="00875E94">
        <w:tab/>
        <w:t xml:space="preserve">Информационная система </w:t>
      </w:r>
      <w:proofErr w:type="spellStart"/>
      <w:r w:rsidRPr="00875E94">
        <w:t>БР</w:t>
      </w:r>
      <w:proofErr w:type="spellEnd"/>
    </w:p>
    <w:p w:rsidR="00F01466" w:rsidRPr="00875E94" w:rsidRDefault="00CC390C" w:rsidP="00F0291C">
      <w:pPr>
        <w:rPr>
          <w:lang w:eastAsia="zh-CN"/>
        </w:rPr>
      </w:pPr>
      <w:r w:rsidRPr="00875E94">
        <w:rPr>
          <w:lang w:eastAsia="zh-CN"/>
        </w:rPr>
        <w:t xml:space="preserve">На </w:t>
      </w:r>
      <w:proofErr w:type="spellStart"/>
      <w:r w:rsidR="00F01466" w:rsidRPr="00875E94">
        <w:rPr>
          <w:lang w:eastAsia="zh-CN"/>
        </w:rPr>
        <w:t>КГР</w:t>
      </w:r>
      <w:proofErr w:type="spellEnd"/>
      <w:r w:rsidR="00F01466" w:rsidRPr="00875E94">
        <w:rPr>
          <w:lang w:eastAsia="zh-CN"/>
        </w:rPr>
        <w:t xml:space="preserve">-19 (2012 г.) Директору </w:t>
      </w:r>
      <w:r w:rsidRPr="00875E94">
        <w:rPr>
          <w:lang w:eastAsia="zh-CN"/>
        </w:rPr>
        <w:t xml:space="preserve">было предложено </w:t>
      </w:r>
      <w:r w:rsidR="00F01466" w:rsidRPr="00875E94">
        <w:rPr>
          <w:lang w:eastAsia="zh-CN"/>
        </w:rPr>
        <w:t xml:space="preserve">внедрить рекомендуемые меры в </w:t>
      </w:r>
      <w:r w:rsidR="00F0291C" w:rsidRPr="00875E94">
        <w:rPr>
          <w:lang w:eastAsia="zh-CN"/>
        </w:rPr>
        <w:t>намеченные</w:t>
      </w:r>
      <w:r w:rsidR="00F01466" w:rsidRPr="00875E94">
        <w:rPr>
          <w:lang w:eastAsia="zh-CN"/>
        </w:rPr>
        <w:t xml:space="preserve"> сроки, изложенные в согласованной дорожной карте, которая включает: Этап 1 (Выполнение решений </w:t>
      </w:r>
      <w:proofErr w:type="spellStart"/>
      <w:r w:rsidR="00F01466" w:rsidRPr="00875E94">
        <w:rPr>
          <w:lang w:eastAsia="zh-CN"/>
        </w:rPr>
        <w:t>ВКР</w:t>
      </w:r>
      <w:proofErr w:type="spellEnd"/>
      <w:r w:rsidR="00F01466" w:rsidRPr="00875E94">
        <w:rPr>
          <w:lang w:eastAsia="zh-CN"/>
        </w:rPr>
        <w:noBreakHyphen/>
        <w:t xml:space="preserve">12), до 31 декабря 2012 года; Этап 2 (Переработка некоторого существующего программного обеспечения), до 31 декабря 2015 года; и Этап 3 (Создание группы по проекту для внедрения общей структуры, системы безопасности и централизованной базы данных для космических служб), с 1 января 2016 года до 31 декабря 2018 года. </w:t>
      </w:r>
      <w:proofErr w:type="spellStart"/>
      <w:r w:rsidR="00F01466" w:rsidRPr="00875E94">
        <w:rPr>
          <w:lang w:eastAsia="zh-CN"/>
        </w:rPr>
        <w:t>КГР</w:t>
      </w:r>
      <w:proofErr w:type="spellEnd"/>
      <w:r w:rsidR="00F01466" w:rsidRPr="00875E94">
        <w:rPr>
          <w:lang w:eastAsia="zh-CN"/>
        </w:rPr>
        <w:t xml:space="preserve"> призвала Государства-Члены и Членов Сектора представить свои комментарии по Этапу 3.</w:t>
      </w:r>
    </w:p>
    <w:p w:rsidR="00F01466" w:rsidRPr="00875E94" w:rsidRDefault="00F01466" w:rsidP="00F01466">
      <w:r w:rsidRPr="00875E94">
        <w:t>Отчет о ходе работы по данной теме представлен в Приложении 1 к настоящему документу. Другая текущая деятельность рассматривается ниже.</w:t>
      </w:r>
    </w:p>
    <w:p w:rsidR="00F01466" w:rsidRPr="00875E94" w:rsidRDefault="00F01466" w:rsidP="00F01466">
      <w:pPr>
        <w:pStyle w:val="Heading2"/>
      </w:pPr>
      <w:bookmarkStart w:id="7" w:name="_Toc446060770"/>
      <w:r w:rsidRPr="00875E94">
        <w:lastRenderedPageBreak/>
        <w:t>7.1</w:t>
      </w:r>
      <w:r w:rsidRPr="00875E94">
        <w:tab/>
        <w:t>Выполнение Резолюции 186 (</w:t>
      </w:r>
      <w:proofErr w:type="spellStart"/>
      <w:r w:rsidRPr="00875E94">
        <w:t>Пусан</w:t>
      </w:r>
      <w:proofErr w:type="spellEnd"/>
      <w:r w:rsidRPr="00875E94">
        <w:t>)</w:t>
      </w:r>
      <w:bookmarkEnd w:id="7"/>
    </w:p>
    <w:p w:rsidR="00F01466" w:rsidRPr="00875E94" w:rsidRDefault="00780C46" w:rsidP="00F4005C">
      <w:r w:rsidRPr="00875E94">
        <w:t>В целях выполнения Резолюции 186 (</w:t>
      </w:r>
      <w:proofErr w:type="spellStart"/>
      <w:r w:rsidRPr="00875E94">
        <w:t>Пусан</w:t>
      </w:r>
      <w:proofErr w:type="spellEnd"/>
      <w:r w:rsidRPr="00875E94">
        <w:t xml:space="preserve">) </w:t>
      </w:r>
      <w:proofErr w:type="spellStart"/>
      <w:r w:rsidR="00F01466" w:rsidRPr="00875E94">
        <w:t>БР</w:t>
      </w:r>
      <w:proofErr w:type="spellEnd"/>
      <w:r w:rsidR="00F01466" w:rsidRPr="00875E94">
        <w:t xml:space="preserve"> разрабатывает систему </w:t>
      </w:r>
      <w:r w:rsidRPr="00875E94">
        <w:t>представления отчетов о</w:t>
      </w:r>
      <w:r w:rsidR="00F4005C" w:rsidRPr="00875E94">
        <w:t> </w:t>
      </w:r>
      <w:r w:rsidRPr="00875E94">
        <w:t>помехах и раз</w:t>
      </w:r>
      <w:r w:rsidR="00F01466" w:rsidRPr="00875E94">
        <w:t xml:space="preserve">решения проблем помех </w:t>
      </w:r>
      <w:r w:rsidRPr="00875E94">
        <w:t>(</w:t>
      </w:r>
      <w:proofErr w:type="spellStart"/>
      <w:r w:rsidRPr="00875E94">
        <w:t>SIRRS</w:t>
      </w:r>
      <w:proofErr w:type="spellEnd"/>
      <w:r w:rsidRPr="00875E94">
        <w:t xml:space="preserve">), предназначенную </w:t>
      </w:r>
      <w:r w:rsidR="00F01466" w:rsidRPr="00875E94">
        <w:t>для поддержания и ведения базы данных о случаях вредных помех, сообщенных согласно соответствующим положениям Регламента радиосвязи, во взаимодействии с заинтересованными Государствами-Членами.</w:t>
      </w:r>
      <w:r w:rsidRPr="00875E94">
        <w:t xml:space="preserve"> Система </w:t>
      </w:r>
      <w:proofErr w:type="spellStart"/>
      <w:r w:rsidRPr="00875E94">
        <w:t>SIRRS</w:t>
      </w:r>
      <w:proofErr w:type="spellEnd"/>
      <w:r w:rsidRPr="00875E94">
        <w:t xml:space="preserve"> будет включать безопасный клиентский веб-интерфейс для представления отчетов о помехах и</w:t>
      </w:r>
      <w:r w:rsidR="00F4005C" w:rsidRPr="00875E94">
        <w:t> </w:t>
      </w:r>
      <w:r w:rsidRPr="00875E94">
        <w:t>ознакомления с этими отчетами. Ожидается, что система начнет работать в июле 2016 года.</w:t>
      </w:r>
    </w:p>
    <w:p w:rsidR="00F01466" w:rsidRPr="00875E94" w:rsidRDefault="00F01466" w:rsidP="00780C46">
      <w:pPr>
        <w:pStyle w:val="Heading2"/>
      </w:pPr>
      <w:bookmarkStart w:id="8" w:name="_Toc446060771"/>
      <w:r w:rsidRPr="00875E94">
        <w:t>7.2</w:t>
      </w:r>
      <w:r w:rsidRPr="00875E94">
        <w:tab/>
      </w:r>
      <w:r w:rsidR="00780C46" w:rsidRPr="00875E94">
        <w:t xml:space="preserve">Программное обеспечение для расчета </w:t>
      </w:r>
      <w:proofErr w:type="spellStart"/>
      <w:r w:rsidR="00780C46" w:rsidRPr="00875E94">
        <w:t>э.п.п.м</w:t>
      </w:r>
      <w:proofErr w:type="spellEnd"/>
      <w:r w:rsidR="00780C46" w:rsidRPr="00875E94">
        <w:t xml:space="preserve">. </w:t>
      </w:r>
      <w:bookmarkEnd w:id="8"/>
    </w:p>
    <w:p w:rsidR="00780C46" w:rsidRPr="00875E94" w:rsidRDefault="00780C46" w:rsidP="00F4005C">
      <w:r w:rsidRPr="00875E94">
        <w:t>В целях выполнения рассмотрения, касающегося соблюдения пределов эквивалентной плотности потока мощности (</w:t>
      </w:r>
      <w:proofErr w:type="spellStart"/>
      <w:r w:rsidRPr="00875E94">
        <w:t>э.п.п.м</w:t>
      </w:r>
      <w:proofErr w:type="spellEnd"/>
      <w:r w:rsidRPr="00875E94">
        <w:t>.), определенных в Статье 22, в 2015 году Бюро заключило контракты с</w:t>
      </w:r>
      <w:r w:rsidR="00F4005C" w:rsidRPr="00875E94">
        <w:t> </w:t>
      </w:r>
      <w:r w:rsidRPr="00875E94">
        <w:t xml:space="preserve">двумя компаниями, занимающимися разработкой специального программного обеспечения, с тем чтобы завершить разработку программных средств для проверки значений </w:t>
      </w:r>
      <w:proofErr w:type="spellStart"/>
      <w:r w:rsidRPr="00875E94">
        <w:t>э.п.п.м</w:t>
      </w:r>
      <w:proofErr w:type="spellEnd"/>
      <w:r w:rsidRPr="00875E94">
        <w:t>. в целях анализа негеостационарных систем фиксированной спутниковой службы (</w:t>
      </w:r>
      <w:proofErr w:type="spellStart"/>
      <w:r w:rsidRPr="00875E94">
        <w:t>ФСС</w:t>
      </w:r>
      <w:proofErr w:type="spellEnd"/>
      <w:r w:rsidRPr="00875E94">
        <w:t>) в соответствии со</w:t>
      </w:r>
      <w:r w:rsidR="00F4005C" w:rsidRPr="00875E94">
        <w:t> </w:t>
      </w:r>
      <w:r w:rsidRPr="00875E94">
        <w:t xml:space="preserve">спецификациями программного обеспечения, установленными в Рекомендации МСЭ-R </w:t>
      </w:r>
      <w:proofErr w:type="spellStart"/>
      <w:r w:rsidRPr="00875E94">
        <w:t>S.1503</w:t>
      </w:r>
      <w:proofErr w:type="spellEnd"/>
      <w:r w:rsidRPr="00875E94">
        <w:t>-1.</w:t>
      </w:r>
    </w:p>
    <w:p w:rsidR="00F01466" w:rsidRPr="00875E94" w:rsidRDefault="00780C46" w:rsidP="00111B9C">
      <w:r w:rsidRPr="00875E94">
        <w:t xml:space="preserve">В </w:t>
      </w:r>
      <w:r w:rsidR="00F0291C" w:rsidRPr="00875E94">
        <w:t xml:space="preserve">середине </w:t>
      </w:r>
      <w:r w:rsidRPr="00875E94">
        <w:t>феврал</w:t>
      </w:r>
      <w:r w:rsidR="00F0291C" w:rsidRPr="00875E94">
        <w:t>я</w:t>
      </w:r>
      <w:r w:rsidRPr="00875E94">
        <w:t xml:space="preserve"> 2016 года эти две компании представили Бюро тестовые версии программного обеспечения. В настоящее время </w:t>
      </w:r>
      <w:r w:rsidR="00F0291C" w:rsidRPr="00875E94">
        <w:t xml:space="preserve">проводится тщательное тестирование </w:t>
      </w:r>
      <w:r w:rsidRPr="00875E94">
        <w:t>об</w:t>
      </w:r>
      <w:r w:rsidR="00F0291C" w:rsidRPr="00875E94">
        <w:t>оих видов</w:t>
      </w:r>
      <w:r w:rsidRPr="00875E94">
        <w:t xml:space="preserve"> программн</w:t>
      </w:r>
      <w:r w:rsidR="00F0291C" w:rsidRPr="00875E94">
        <w:t>ого</w:t>
      </w:r>
      <w:r w:rsidRPr="00875E94">
        <w:t xml:space="preserve"> </w:t>
      </w:r>
      <w:r w:rsidR="00F0291C" w:rsidRPr="00875E94">
        <w:t xml:space="preserve">обеспечения </w:t>
      </w:r>
      <w:r w:rsidRPr="00875E94">
        <w:t xml:space="preserve">применительно </w:t>
      </w:r>
      <w:r w:rsidR="00111B9C">
        <w:t>к</w:t>
      </w:r>
      <w:r w:rsidRPr="00875E94">
        <w:t xml:space="preserve"> случаям, указанным в 2000 году (компании </w:t>
      </w:r>
      <w:proofErr w:type="spellStart"/>
      <w:r w:rsidR="00F01466" w:rsidRPr="00875E94">
        <w:t>Skybridge</w:t>
      </w:r>
      <w:proofErr w:type="spellEnd"/>
      <w:r w:rsidR="00F01466" w:rsidRPr="00875E94">
        <w:t xml:space="preserve"> </w:t>
      </w:r>
      <w:proofErr w:type="spellStart"/>
      <w:r w:rsidR="00F01466" w:rsidRPr="00875E94">
        <w:t>and</w:t>
      </w:r>
      <w:proofErr w:type="spellEnd"/>
      <w:r w:rsidR="00F01466" w:rsidRPr="00875E94">
        <w:t xml:space="preserve"> </w:t>
      </w:r>
      <w:proofErr w:type="spellStart"/>
      <w:r w:rsidR="00F01466" w:rsidRPr="00875E94">
        <w:t>Boeing</w:t>
      </w:r>
      <w:proofErr w:type="spellEnd"/>
      <w:r w:rsidR="00F01466" w:rsidRPr="00875E94">
        <w:t>)</w:t>
      </w:r>
      <w:r w:rsidRPr="00875E94">
        <w:t>, а</w:t>
      </w:r>
      <w:r w:rsidR="00F4005C" w:rsidRPr="00875E94">
        <w:t> </w:t>
      </w:r>
      <w:r w:rsidRPr="00875E94">
        <w:t xml:space="preserve">также к новым случаям использования различных орбит </w:t>
      </w:r>
      <w:r w:rsidR="00F01466" w:rsidRPr="00875E94">
        <w:t>(</w:t>
      </w:r>
      <w:proofErr w:type="spellStart"/>
      <w:r w:rsidR="00F01466" w:rsidRPr="00875E94">
        <w:t>USCSID</w:t>
      </w:r>
      <w:proofErr w:type="spellEnd"/>
      <w:r w:rsidR="00F01466" w:rsidRPr="00875E94">
        <w:t xml:space="preserve">-P, </w:t>
      </w:r>
      <w:proofErr w:type="spellStart"/>
      <w:r w:rsidR="00F01466" w:rsidRPr="00875E94">
        <w:t>CANPOL</w:t>
      </w:r>
      <w:proofErr w:type="spellEnd"/>
      <w:r w:rsidR="00F01466" w:rsidRPr="00875E94">
        <w:t>-2</w:t>
      </w:r>
      <w:r w:rsidRPr="00875E94">
        <w:t xml:space="preserve"> и</w:t>
      </w:r>
      <w:r w:rsidR="00F01466" w:rsidRPr="00875E94">
        <w:t xml:space="preserve"> </w:t>
      </w:r>
      <w:proofErr w:type="spellStart"/>
      <w:r w:rsidR="00F01466" w:rsidRPr="00875E94">
        <w:t>O3B</w:t>
      </w:r>
      <w:proofErr w:type="spellEnd"/>
      <w:r w:rsidR="00F01466" w:rsidRPr="00875E94">
        <w:t xml:space="preserve">). </w:t>
      </w:r>
      <w:r w:rsidRPr="00875E94">
        <w:t xml:space="preserve">Кроме того, Бюро проведет дополнительные </w:t>
      </w:r>
      <w:r w:rsidR="006D0E7C" w:rsidRPr="00875E94">
        <w:t xml:space="preserve">тесты применительно к ряду новых группировок, представленных в конце 2014 года </w:t>
      </w:r>
      <w:r w:rsidR="00F01466" w:rsidRPr="00875E94">
        <w:t>(</w:t>
      </w:r>
      <w:proofErr w:type="spellStart"/>
      <w:r w:rsidR="00F01466" w:rsidRPr="00875E94">
        <w:t>L5</w:t>
      </w:r>
      <w:proofErr w:type="spellEnd"/>
      <w:r w:rsidR="00F01466" w:rsidRPr="00875E94">
        <w:t xml:space="preserve">, </w:t>
      </w:r>
      <w:proofErr w:type="spellStart"/>
      <w:r w:rsidR="00F01466" w:rsidRPr="00875E94">
        <w:t>MCSAT</w:t>
      </w:r>
      <w:proofErr w:type="spellEnd"/>
      <w:r w:rsidR="00F01466" w:rsidRPr="00875E94">
        <w:t xml:space="preserve">-2 </w:t>
      </w:r>
      <w:proofErr w:type="spellStart"/>
      <w:r w:rsidR="00F01466" w:rsidRPr="00875E94">
        <w:t>LEO</w:t>
      </w:r>
      <w:proofErr w:type="spellEnd"/>
      <w:r w:rsidR="00F01466" w:rsidRPr="00875E94">
        <w:t xml:space="preserve">…). </w:t>
      </w:r>
      <w:r w:rsidR="006D0E7C" w:rsidRPr="00875E94">
        <w:t>В связи с большой трудоемкостью выполнения всех тестов по рассмотрению</w:t>
      </w:r>
      <w:r w:rsidR="00CC336C" w:rsidRPr="00875E94">
        <w:t xml:space="preserve"> и проверке</w:t>
      </w:r>
      <w:r w:rsidR="006D0E7C" w:rsidRPr="00875E94">
        <w:t xml:space="preserve"> Бюро р</w:t>
      </w:r>
      <w:r w:rsidR="00F4005C" w:rsidRPr="00875E94">
        <w:t>ассчитывает подготовить отчет о </w:t>
      </w:r>
      <w:r w:rsidR="006D0E7C" w:rsidRPr="00875E94">
        <w:t xml:space="preserve">результатах ко времени проведения следующего собрания Рабочей группы </w:t>
      </w:r>
      <w:proofErr w:type="spellStart"/>
      <w:r w:rsidR="00F01466" w:rsidRPr="00875E94">
        <w:t>4A</w:t>
      </w:r>
      <w:proofErr w:type="spellEnd"/>
      <w:r w:rsidR="00F01466" w:rsidRPr="00875E94">
        <w:t xml:space="preserve"> </w:t>
      </w:r>
      <w:r w:rsidR="006D0E7C" w:rsidRPr="00875E94">
        <w:t xml:space="preserve">в апреле </w:t>
      </w:r>
      <w:r w:rsidR="00F01466" w:rsidRPr="00875E94">
        <w:t>2016</w:t>
      </w:r>
      <w:r w:rsidR="006D0E7C" w:rsidRPr="00875E94">
        <w:t xml:space="preserve"> года</w:t>
      </w:r>
      <w:r w:rsidR="00F01466" w:rsidRPr="00875E94">
        <w:t>.</w:t>
      </w:r>
    </w:p>
    <w:p w:rsidR="00F01466" w:rsidRPr="00875E94" w:rsidRDefault="00F01466" w:rsidP="00CC336C">
      <w:pPr>
        <w:pStyle w:val="Heading2"/>
      </w:pPr>
      <w:bookmarkStart w:id="9" w:name="_Toc446060772"/>
      <w:r w:rsidRPr="00875E94">
        <w:t>7.3</w:t>
      </w:r>
      <w:r w:rsidRPr="00875E94">
        <w:tab/>
      </w:r>
      <w:bookmarkEnd w:id="9"/>
      <w:r w:rsidR="00CC336C" w:rsidRPr="00875E94">
        <w:t>Другие выполняемые работы</w:t>
      </w:r>
    </w:p>
    <w:p w:rsidR="00F01466" w:rsidRPr="00875E94" w:rsidRDefault="00F01466" w:rsidP="00F0291C">
      <w:pPr>
        <w:pStyle w:val="Heading3"/>
      </w:pPr>
      <w:bookmarkStart w:id="10" w:name="_Toc444689399"/>
      <w:bookmarkStart w:id="11" w:name="_Toc446060773"/>
      <w:r w:rsidRPr="00875E94">
        <w:t>7.3.1</w:t>
      </w:r>
      <w:r w:rsidRPr="00875E94">
        <w:tab/>
      </w:r>
      <w:r w:rsidR="00CC336C" w:rsidRPr="00875E94">
        <w:t xml:space="preserve">Дальнейшая разработка </w:t>
      </w:r>
      <w:bookmarkEnd w:id="10"/>
      <w:bookmarkEnd w:id="11"/>
      <w:r w:rsidR="00F0291C" w:rsidRPr="00875E94">
        <w:t>инструмента осуществления поиска по базе данных документов МСЭ-R</w:t>
      </w:r>
    </w:p>
    <w:p w:rsidR="00F01466" w:rsidRPr="00875E94" w:rsidRDefault="00CC336C" w:rsidP="00CC336C">
      <w:r w:rsidRPr="00875E94">
        <w:t xml:space="preserve">Подробная информация, касающаяся этого проекта, представлена в п. </w:t>
      </w:r>
      <w:r w:rsidR="00F01466" w:rsidRPr="00875E94">
        <w:t>8.1.5.2.</w:t>
      </w:r>
    </w:p>
    <w:p w:rsidR="00F01466" w:rsidRPr="00875E94" w:rsidRDefault="00F01466" w:rsidP="00CC336C">
      <w:pPr>
        <w:pStyle w:val="Heading3"/>
      </w:pPr>
      <w:bookmarkStart w:id="12" w:name="_Toc444689400"/>
      <w:bookmarkStart w:id="13" w:name="_Toc446060774"/>
      <w:r w:rsidRPr="00875E94">
        <w:t>7.3.2</w:t>
      </w:r>
      <w:r w:rsidRPr="00875E94">
        <w:tab/>
      </w:r>
      <w:r w:rsidR="00CC336C" w:rsidRPr="00875E94">
        <w:t xml:space="preserve">Права интеллектуальной собственности </w:t>
      </w:r>
      <w:r w:rsidRPr="00875E94">
        <w:t>(</w:t>
      </w:r>
      <w:proofErr w:type="spellStart"/>
      <w:r w:rsidR="00CC336C" w:rsidRPr="00875E94">
        <w:t>ПИС</w:t>
      </w:r>
      <w:proofErr w:type="spellEnd"/>
      <w:r w:rsidRPr="00875E94">
        <w:t>)</w:t>
      </w:r>
      <w:bookmarkEnd w:id="12"/>
      <w:bookmarkEnd w:id="13"/>
    </w:p>
    <w:p w:rsidR="00F01466" w:rsidRPr="00875E94" w:rsidRDefault="00CC336C" w:rsidP="000D3843">
      <w:r w:rsidRPr="00875E94">
        <w:t>В рамках совместного проекта с Бюро стандартизации электросвязи (</w:t>
      </w:r>
      <w:proofErr w:type="spellStart"/>
      <w:r w:rsidRPr="00875E94">
        <w:t>БСЭ</w:t>
      </w:r>
      <w:proofErr w:type="spellEnd"/>
      <w:r w:rsidRPr="00875E94">
        <w:t xml:space="preserve">) и Департаментом </w:t>
      </w:r>
      <w:proofErr w:type="spellStart"/>
      <w:r w:rsidR="00F01466" w:rsidRPr="00875E94">
        <w:t>IS</w:t>
      </w:r>
      <w:proofErr w:type="spellEnd"/>
      <w:r w:rsidR="00F01466" w:rsidRPr="00875E94">
        <w:t xml:space="preserve"> </w:t>
      </w:r>
      <w:r w:rsidRPr="00875E94">
        <w:t>Бюро выполняет свою рабо</w:t>
      </w:r>
      <w:r w:rsidR="000D3843" w:rsidRPr="00875E94">
        <w:t xml:space="preserve">ту по необходимому согласованию патентных </w:t>
      </w:r>
      <w:r w:rsidRPr="00875E94">
        <w:t>баз данных МСЭ-R</w:t>
      </w:r>
      <w:r w:rsidR="000D3843" w:rsidRPr="00875E94">
        <w:t xml:space="preserve"> и МСЭ-Т</w:t>
      </w:r>
      <w:r w:rsidR="00F01466" w:rsidRPr="00875E94">
        <w:t xml:space="preserve">. </w:t>
      </w:r>
      <w:r w:rsidR="00D55979">
        <w:t>Эта </w:t>
      </w:r>
      <w:r w:rsidR="000D3843" w:rsidRPr="00875E94">
        <w:t xml:space="preserve">деятельность продолжается </w:t>
      </w:r>
      <w:r w:rsidR="00F01466" w:rsidRPr="00875E94">
        <w:t>(</w:t>
      </w:r>
      <w:r w:rsidR="000D3843" w:rsidRPr="00875E94">
        <w:t xml:space="preserve">см. </w:t>
      </w:r>
      <w:hyperlink r:id="rId26" w:history="1">
        <w:r w:rsidR="00F01466" w:rsidRPr="00875E94">
          <w:rPr>
            <w:rStyle w:val="Hyperlink"/>
          </w:rPr>
          <w:t>www.itu.int/ipr</w:t>
        </w:r>
      </w:hyperlink>
      <w:r w:rsidR="00F01466" w:rsidRPr="00AA75C1">
        <w:rPr>
          <w:rStyle w:val="Hyperlink"/>
          <w:color w:val="000000" w:themeColor="text1"/>
          <w:u w:val="none"/>
        </w:rPr>
        <w:t>).</w:t>
      </w:r>
    </w:p>
    <w:p w:rsidR="00F01466" w:rsidRPr="00875E94" w:rsidRDefault="00F01466" w:rsidP="00D1292F">
      <w:pPr>
        <w:pStyle w:val="Heading3"/>
      </w:pPr>
      <w:bookmarkStart w:id="14" w:name="_Toc446060775"/>
      <w:r w:rsidRPr="00875E94">
        <w:t>7.3.3</w:t>
      </w:r>
      <w:r w:rsidRPr="00875E94">
        <w:tab/>
      </w:r>
      <w:r w:rsidR="000D3843" w:rsidRPr="00875E94">
        <w:t>Разработка представлени</w:t>
      </w:r>
      <w:r w:rsidR="00D1292F" w:rsidRPr="00875E94">
        <w:t>й</w:t>
      </w:r>
      <w:r w:rsidR="000D3843" w:rsidRPr="00875E94">
        <w:t xml:space="preserve"> данных </w:t>
      </w:r>
      <w:r w:rsidR="00D1292F" w:rsidRPr="00875E94">
        <w:t xml:space="preserve">в </w:t>
      </w:r>
      <w:proofErr w:type="spellStart"/>
      <w:r w:rsidRPr="00875E94">
        <w:t>SharePoint</w:t>
      </w:r>
      <w:proofErr w:type="spellEnd"/>
      <w:r w:rsidRPr="00875E94">
        <w:t xml:space="preserve"> </w:t>
      </w:r>
      <w:bookmarkEnd w:id="14"/>
    </w:p>
    <w:p w:rsidR="00F01466" w:rsidRPr="00875E94" w:rsidRDefault="00D1292F" w:rsidP="00FD3CA9">
      <w:r w:rsidRPr="00875E94">
        <w:t xml:space="preserve">Представления данных в </w:t>
      </w:r>
      <w:proofErr w:type="spellStart"/>
      <w:r w:rsidRPr="00875E94">
        <w:t>SharePoint</w:t>
      </w:r>
      <w:proofErr w:type="spellEnd"/>
      <w:r w:rsidRPr="00875E94">
        <w:t xml:space="preserve"> – это модули, которые можно встраивать в веб-страницы, чтобы </w:t>
      </w:r>
      <w:r w:rsidR="00F0291C" w:rsidRPr="00875E94">
        <w:t>они могли</w:t>
      </w:r>
      <w:r w:rsidRPr="00875E94">
        <w:t xml:space="preserve"> отображать динамический контент, т.е. данные, </w:t>
      </w:r>
      <w:r w:rsidR="00C30B95" w:rsidRPr="00875E94">
        <w:t xml:space="preserve">поступающие из </w:t>
      </w:r>
      <w:r w:rsidRPr="00875E94">
        <w:t>баз данных, списк</w:t>
      </w:r>
      <w:r w:rsidR="00C30B95" w:rsidRPr="00875E94">
        <w:t>ов</w:t>
      </w:r>
      <w:r w:rsidRPr="00875E94">
        <w:t xml:space="preserve"> </w:t>
      </w:r>
      <w:proofErr w:type="spellStart"/>
      <w:r w:rsidRPr="00875E94">
        <w:t>SharePoint</w:t>
      </w:r>
      <w:proofErr w:type="spellEnd"/>
      <w:r w:rsidRPr="00875E94">
        <w:t xml:space="preserve"> и канал</w:t>
      </w:r>
      <w:r w:rsidR="00C30B95" w:rsidRPr="00875E94">
        <w:t>ов</w:t>
      </w:r>
      <w:r w:rsidRPr="00875E94">
        <w:t xml:space="preserve"> </w:t>
      </w:r>
      <w:proofErr w:type="spellStart"/>
      <w:r w:rsidR="00F01466" w:rsidRPr="00875E94">
        <w:t>XML</w:t>
      </w:r>
      <w:proofErr w:type="spellEnd"/>
      <w:r w:rsidR="00F01466" w:rsidRPr="00875E94">
        <w:t>/</w:t>
      </w:r>
      <w:proofErr w:type="spellStart"/>
      <w:r w:rsidR="00F01466" w:rsidRPr="00875E94">
        <w:t>RSS</w:t>
      </w:r>
      <w:proofErr w:type="spellEnd"/>
      <w:r w:rsidR="00C30B95" w:rsidRPr="00875E94">
        <w:t xml:space="preserve"> и управляемые в рамках этих источников</w:t>
      </w:r>
      <w:r w:rsidR="00F01466" w:rsidRPr="00875E94">
        <w:t>. </w:t>
      </w:r>
      <w:proofErr w:type="spellStart"/>
      <w:r w:rsidRPr="00875E94">
        <w:t>БР</w:t>
      </w:r>
      <w:proofErr w:type="spellEnd"/>
      <w:r w:rsidRPr="00875E94">
        <w:t xml:space="preserve"> непрерывно разрабатывает и совершенствует эти представления данных, что позволяет отображать новый и</w:t>
      </w:r>
      <w:r w:rsidR="00FD3CA9" w:rsidRPr="00875E94">
        <w:t> </w:t>
      </w:r>
      <w:r w:rsidRPr="00875E94">
        <w:t>обновленны</w:t>
      </w:r>
      <w:r w:rsidR="00C30B95" w:rsidRPr="00875E94">
        <w:t>й</w:t>
      </w:r>
      <w:r w:rsidRPr="00875E94">
        <w:t xml:space="preserve"> динамический контент на разных веб-страницах МСЭ-R.</w:t>
      </w:r>
    </w:p>
    <w:p w:rsidR="00D1292F" w:rsidRPr="00875E94" w:rsidRDefault="00D1292F" w:rsidP="00D1292F">
      <w:pPr>
        <w:pStyle w:val="Heading1"/>
      </w:pPr>
      <w:bookmarkStart w:id="15" w:name="_Toc418163375"/>
      <w:bookmarkStart w:id="16" w:name="_Toc418232293"/>
      <w:bookmarkStart w:id="17" w:name="_Toc427075588"/>
      <w:r w:rsidRPr="00875E94">
        <w:t>8</w:t>
      </w:r>
      <w:r w:rsidRPr="00875E94">
        <w:tab/>
      </w:r>
      <w:bookmarkEnd w:id="15"/>
      <w:bookmarkEnd w:id="16"/>
      <w:bookmarkEnd w:id="17"/>
      <w:r w:rsidRPr="00875E94">
        <w:t>Охват членского состава</w:t>
      </w:r>
    </w:p>
    <w:p w:rsidR="002931D4" w:rsidRPr="00875E94" w:rsidRDefault="00B82873" w:rsidP="00C82B54">
      <w:bookmarkStart w:id="18" w:name="_Toc418163376"/>
      <w:bookmarkStart w:id="19" w:name="_Toc418232294"/>
      <w:r w:rsidRPr="00875E94">
        <w:t>Информационно-пропагандистская деятельность включает предоставление информации и оказание помощи членам МСЭ, публикацию результатов деятельности МСЭ-R и их распространение, организацию семинаров и семинаров-практикумов и участие в них</w:t>
      </w:r>
      <w:r w:rsidR="002931D4" w:rsidRPr="00875E94">
        <w:t>, а также разработку и</w:t>
      </w:r>
      <w:r w:rsidR="00C82B54" w:rsidRPr="00875E94">
        <w:t> </w:t>
      </w:r>
      <w:r w:rsidR="002931D4" w:rsidRPr="00875E94">
        <w:t xml:space="preserve">поддержание средств </w:t>
      </w:r>
      <w:r w:rsidRPr="00875E94">
        <w:t>коммуникаци</w:t>
      </w:r>
      <w:r w:rsidR="002931D4" w:rsidRPr="00875E94">
        <w:t>и</w:t>
      </w:r>
      <w:r w:rsidRPr="00875E94">
        <w:t xml:space="preserve"> и </w:t>
      </w:r>
      <w:r w:rsidR="002931D4" w:rsidRPr="00875E94">
        <w:t>рекламы. Цель этой деятельности заключ</w:t>
      </w:r>
      <w:r w:rsidRPr="00875E94">
        <w:t>ается в том, чтобы результаты деятельности Сектора МСЭ-R (регламенты, рекомендации, отчеты и справочники) распространялись по всему миру, были известны членам МСЭ и заинтересованным сторонам в</w:t>
      </w:r>
      <w:r w:rsidR="00C82B54" w:rsidRPr="00875E94">
        <w:t> </w:t>
      </w:r>
      <w:r w:rsidRPr="00875E94">
        <w:t xml:space="preserve">области </w:t>
      </w:r>
      <w:proofErr w:type="gramStart"/>
      <w:r w:rsidRPr="00875E94">
        <w:t>спектра</w:t>
      </w:r>
      <w:proofErr w:type="gramEnd"/>
      <w:r w:rsidR="002931D4" w:rsidRPr="00875E94">
        <w:t xml:space="preserve"> и чтобы они составляли основу для формирования политики и принятия решений по вопросам управления использованием спектра, а также для использования радиосвязи в целом. </w:t>
      </w:r>
      <w:r w:rsidRPr="00875E94">
        <w:t xml:space="preserve">Эта деятельность осуществляется </w:t>
      </w:r>
      <w:proofErr w:type="spellStart"/>
      <w:r w:rsidR="002931D4" w:rsidRPr="00875E94">
        <w:t>БР</w:t>
      </w:r>
      <w:proofErr w:type="spellEnd"/>
      <w:r w:rsidR="002931D4" w:rsidRPr="00875E94">
        <w:t xml:space="preserve"> </w:t>
      </w:r>
      <w:r w:rsidRPr="00875E94">
        <w:t>в тесном сотрудничестве с</w:t>
      </w:r>
      <w:r w:rsidR="002931D4" w:rsidRPr="00875E94">
        <w:t xml:space="preserve"> другими Бюро и Секторами, </w:t>
      </w:r>
      <w:r w:rsidRPr="00875E94">
        <w:lastRenderedPageBreak/>
        <w:t>региональными и зональными отделениями МСЭ</w:t>
      </w:r>
      <w:r w:rsidR="002931D4" w:rsidRPr="00875E94">
        <w:t xml:space="preserve">, </w:t>
      </w:r>
      <w:r w:rsidRPr="00875E94">
        <w:t>соответствующими международными организациями или национальными органами.</w:t>
      </w:r>
    </w:p>
    <w:p w:rsidR="00B82873" w:rsidRPr="00111B9C" w:rsidRDefault="002931D4" w:rsidP="00111B9C">
      <w:pPr>
        <w:pStyle w:val="Heading2"/>
      </w:pPr>
      <w:bookmarkStart w:id="20" w:name="_Toc427075589"/>
      <w:r w:rsidRPr="00875E94">
        <w:t>8</w:t>
      </w:r>
      <w:r w:rsidR="00B82873" w:rsidRPr="00875E94">
        <w:t>.1</w:t>
      </w:r>
      <w:r w:rsidR="00B82873" w:rsidRPr="00875E94">
        <w:tab/>
      </w:r>
      <w:bookmarkEnd w:id="18"/>
      <w:bookmarkEnd w:id="19"/>
      <w:r w:rsidR="00B82873" w:rsidRPr="00875E94">
        <w:t>Публикации</w:t>
      </w:r>
      <w:bookmarkEnd w:id="20"/>
    </w:p>
    <w:p w:rsidR="00B82873" w:rsidRPr="00875E94" w:rsidRDefault="002931D4" w:rsidP="00B82873">
      <w:pPr>
        <w:pStyle w:val="Heading3"/>
        <w:rPr>
          <w:highlight w:val="yellow"/>
        </w:rPr>
      </w:pPr>
      <w:bookmarkStart w:id="21" w:name="_Toc427075590"/>
      <w:r w:rsidRPr="00875E94">
        <w:t>8</w:t>
      </w:r>
      <w:r w:rsidR="00B82873" w:rsidRPr="00875E94">
        <w:t>.1.1</w:t>
      </w:r>
      <w:r w:rsidR="00B82873" w:rsidRPr="00875E94">
        <w:tab/>
      </w:r>
      <w:proofErr w:type="spellStart"/>
      <w:r w:rsidR="00B82873" w:rsidRPr="00875E94">
        <w:t>Регламентарные</w:t>
      </w:r>
      <w:proofErr w:type="spellEnd"/>
      <w:r w:rsidR="00B82873" w:rsidRPr="00875E94">
        <w:t xml:space="preserve"> публикации</w:t>
      </w:r>
      <w:bookmarkEnd w:id="21"/>
    </w:p>
    <w:p w:rsidR="00B82873" w:rsidRPr="00875E94" w:rsidRDefault="00B82873" w:rsidP="00B82873">
      <w:pPr>
        <w:keepNext/>
        <w:keepLines/>
      </w:pPr>
      <w:r w:rsidRPr="00875E94">
        <w:t xml:space="preserve">В период 2012–2015 годов подготовка </w:t>
      </w:r>
      <w:proofErr w:type="spellStart"/>
      <w:r w:rsidRPr="00875E94">
        <w:t>регламентарных</w:t>
      </w:r>
      <w:proofErr w:type="spellEnd"/>
      <w:r w:rsidRPr="00875E94">
        <w:t xml:space="preserve"> публикаций осуществлялась по стандартной схеме – в соответствии с Оперативным планом, а именно:</w:t>
      </w:r>
    </w:p>
    <w:p w:rsidR="00B82873" w:rsidRPr="00875E94" w:rsidRDefault="00C602AB" w:rsidP="002931D4">
      <w:pPr>
        <w:pStyle w:val="enumlev1"/>
      </w:pPr>
      <w:r w:rsidRPr="00875E94">
        <w:t>–</w:t>
      </w:r>
      <w:r w:rsidR="00B82873" w:rsidRPr="00875E94">
        <w:tab/>
        <w:t xml:space="preserve">в четвертом квартале 2012 года </w:t>
      </w:r>
      <w:r w:rsidR="002931D4" w:rsidRPr="00875E94">
        <w:t xml:space="preserve">на всех языках МСЭ </w:t>
      </w:r>
      <w:r w:rsidR="00B82873" w:rsidRPr="00875E94">
        <w:t xml:space="preserve">было опубликовано издание Регламента радиосвязи, в котором нашли отражение изменения, внесенные на </w:t>
      </w:r>
      <w:proofErr w:type="spellStart"/>
      <w:r w:rsidR="00B82873" w:rsidRPr="00875E94">
        <w:t>ВКР</w:t>
      </w:r>
      <w:proofErr w:type="spellEnd"/>
      <w:r w:rsidR="00B82873" w:rsidRPr="00875E94">
        <w:t>-12;</w:t>
      </w:r>
    </w:p>
    <w:p w:rsidR="00B82873" w:rsidRPr="00875E94" w:rsidRDefault="00C602AB" w:rsidP="00C82B54">
      <w:pPr>
        <w:pStyle w:val="enumlev1"/>
      </w:pPr>
      <w:r w:rsidRPr="00875E94">
        <w:t>–</w:t>
      </w:r>
      <w:r w:rsidR="00B82873" w:rsidRPr="00875E94">
        <w:tab/>
        <w:t>в четвертом квартале 2012 года была опубликована сводная версия Правил процедуры, в</w:t>
      </w:r>
      <w:r w:rsidR="00C82B54" w:rsidRPr="00875E94">
        <w:t> </w:t>
      </w:r>
      <w:r w:rsidR="00B82873" w:rsidRPr="00875E94">
        <w:t xml:space="preserve">которой отражены решения </w:t>
      </w:r>
      <w:proofErr w:type="spellStart"/>
      <w:r w:rsidR="00B82873" w:rsidRPr="00875E94">
        <w:t>ВКР</w:t>
      </w:r>
      <w:proofErr w:type="spellEnd"/>
      <w:r w:rsidR="00B82873" w:rsidRPr="00875E94">
        <w:t>-12. После этого было опубликовано семь обновлений с</w:t>
      </w:r>
      <w:r w:rsidR="00C82B54" w:rsidRPr="00875E94">
        <w:t> </w:t>
      </w:r>
      <w:r w:rsidR="00B82873" w:rsidRPr="00875E94">
        <w:t xml:space="preserve">изменениями, внесенными </w:t>
      </w:r>
      <w:proofErr w:type="spellStart"/>
      <w:r w:rsidR="00B82873" w:rsidRPr="00875E94">
        <w:t>РРК</w:t>
      </w:r>
      <w:proofErr w:type="spellEnd"/>
      <w:r w:rsidR="00B82873" w:rsidRPr="00875E94">
        <w:t>. Правила процедуры и обновления к ним опубликованы на всех языках МСЭ.</w:t>
      </w:r>
    </w:p>
    <w:p w:rsidR="00B82873" w:rsidRPr="00875E94" w:rsidRDefault="00B82873" w:rsidP="00F94071">
      <w:r w:rsidRPr="00875E94">
        <w:t xml:space="preserve">В Таблице </w:t>
      </w:r>
      <w:r w:rsidR="002931D4" w:rsidRPr="00875E94">
        <w:t>8</w:t>
      </w:r>
      <w:r w:rsidRPr="00875E94">
        <w:t xml:space="preserve">.1.1-1 приведены итоги деятельности Бюро в период 2012–2015 годов по другим </w:t>
      </w:r>
      <w:proofErr w:type="spellStart"/>
      <w:r w:rsidRPr="00875E94">
        <w:t>регламентарным</w:t>
      </w:r>
      <w:proofErr w:type="spellEnd"/>
      <w:r w:rsidRPr="00875E94">
        <w:t xml:space="preserve"> публикациям, являющимся результатом применения Регламента радиосвязи.</w:t>
      </w:r>
    </w:p>
    <w:p w:rsidR="00B82873" w:rsidRPr="00875E94" w:rsidRDefault="00B82873" w:rsidP="00F94071">
      <w:pPr>
        <w:pStyle w:val="TableNo"/>
      </w:pPr>
      <w:r w:rsidRPr="00875E94">
        <w:t xml:space="preserve">ТАБЛИЦА </w:t>
      </w:r>
      <w:r w:rsidR="00F94071" w:rsidRPr="00875E94">
        <w:t>8</w:t>
      </w:r>
      <w:r w:rsidRPr="00875E94">
        <w:t>.1.1-1</w:t>
      </w:r>
    </w:p>
    <w:p w:rsidR="00B82873" w:rsidRPr="00875E94" w:rsidRDefault="00B82873" w:rsidP="00B82873">
      <w:pPr>
        <w:pStyle w:val="Tabletitle"/>
        <w:rPr>
          <w:rFonts w:ascii="Times New Roman" w:hAnsi="Times New Roman"/>
          <w:bCs/>
        </w:rPr>
      </w:pPr>
      <w:r w:rsidRPr="00875E94">
        <w:t>Сводная информация по публикациям, являющимся ре</w:t>
      </w:r>
      <w:r w:rsidR="008809A7">
        <w:t>зультатом применения Регламента </w:t>
      </w:r>
      <w:r w:rsidRPr="00875E94">
        <w:t>радиосвязи</w:t>
      </w:r>
    </w:p>
    <w:tbl>
      <w:tblPr>
        <w:tblW w:w="94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19"/>
        <w:gridCol w:w="1835"/>
        <w:gridCol w:w="1835"/>
        <w:gridCol w:w="1835"/>
        <w:gridCol w:w="1835"/>
      </w:tblGrid>
      <w:tr w:rsidR="00B82873" w:rsidRPr="008809A7" w:rsidTr="00D55979">
        <w:trPr>
          <w:cantSplit/>
          <w:tblHeader/>
          <w:jc w:val="center"/>
        </w:trPr>
        <w:tc>
          <w:tcPr>
            <w:tcW w:w="2119" w:type="dxa"/>
            <w:tcBorders>
              <w:top w:val="nil"/>
              <w:left w:val="nil"/>
            </w:tcBorders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</w:p>
        </w:tc>
        <w:tc>
          <w:tcPr>
            <w:tcW w:w="1835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2012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1835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2013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1835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2014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 xml:space="preserve">2015 </w:t>
            </w:r>
            <w:r w:rsidR="008809A7">
              <w:rPr>
                <w:sz w:val="20"/>
                <w:szCs w:val="22"/>
                <w:lang w:val="ru-RU"/>
              </w:rPr>
              <w:t>г.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2119" w:type="dxa"/>
          </w:tcPr>
          <w:p w:rsidR="00B82873" w:rsidRPr="008809A7" w:rsidRDefault="00B82873" w:rsidP="00AA75C1">
            <w:pPr>
              <w:pStyle w:val="Tabletext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ИФИК 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25 выпусков </w:t>
            </w:r>
            <w:r w:rsidRPr="008809A7">
              <w:rPr>
                <w:sz w:val="20"/>
                <w:szCs w:val="22"/>
              </w:rPr>
              <w:br/>
              <w:t xml:space="preserve">(на </w:t>
            </w:r>
            <w:proofErr w:type="spellStart"/>
            <w:r w:rsidRPr="008809A7">
              <w:rPr>
                <w:sz w:val="20"/>
                <w:szCs w:val="22"/>
              </w:rPr>
              <w:t>DVD-ROM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25 выпусков </w:t>
            </w:r>
            <w:r w:rsidRPr="008809A7">
              <w:rPr>
                <w:sz w:val="20"/>
                <w:szCs w:val="22"/>
              </w:rPr>
              <w:br/>
              <w:t xml:space="preserve">(на </w:t>
            </w:r>
            <w:proofErr w:type="spellStart"/>
            <w:r w:rsidRPr="008809A7">
              <w:rPr>
                <w:sz w:val="20"/>
                <w:szCs w:val="22"/>
              </w:rPr>
              <w:t>DVD-ROM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25 выпусков </w:t>
            </w:r>
            <w:r w:rsidRPr="008809A7">
              <w:rPr>
                <w:sz w:val="20"/>
                <w:szCs w:val="22"/>
              </w:rPr>
              <w:br/>
              <w:t xml:space="preserve">(на </w:t>
            </w:r>
            <w:proofErr w:type="spellStart"/>
            <w:r w:rsidRPr="008809A7">
              <w:rPr>
                <w:sz w:val="20"/>
                <w:szCs w:val="22"/>
              </w:rPr>
              <w:t>DVD-ROM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25 выпусков </w:t>
            </w:r>
            <w:r w:rsidRPr="008809A7">
              <w:rPr>
                <w:sz w:val="20"/>
                <w:szCs w:val="22"/>
              </w:rPr>
              <w:br/>
              <w:t xml:space="preserve">(на </w:t>
            </w:r>
            <w:proofErr w:type="spellStart"/>
            <w:r w:rsidRPr="008809A7">
              <w:rPr>
                <w:sz w:val="20"/>
                <w:szCs w:val="22"/>
              </w:rPr>
              <w:t>DVD-ROM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2119" w:type="dxa"/>
          </w:tcPr>
          <w:p w:rsidR="00B82873" w:rsidRPr="008809A7" w:rsidRDefault="00B82873" w:rsidP="00AA75C1">
            <w:pPr>
              <w:pStyle w:val="Tabletext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Расписания </w:t>
            </w:r>
            <w:proofErr w:type="spellStart"/>
            <w:r w:rsidRPr="008809A7">
              <w:rPr>
                <w:sz w:val="20"/>
                <w:szCs w:val="22"/>
              </w:rPr>
              <w:t>ВЧРВ</w:t>
            </w:r>
            <w:proofErr w:type="spellEnd"/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11 выпусков (на </w:t>
            </w:r>
            <w:proofErr w:type="spellStart"/>
            <w:r w:rsidRPr="008809A7">
              <w:rPr>
                <w:sz w:val="20"/>
                <w:szCs w:val="22"/>
              </w:rPr>
              <w:t>CD</w:t>
            </w:r>
            <w:r w:rsidRPr="008809A7">
              <w:rPr>
                <w:sz w:val="20"/>
                <w:szCs w:val="22"/>
              </w:rPr>
              <w:noBreakHyphen/>
              <w:t>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11 выпусков (на </w:t>
            </w:r>
            <w:proofErr w:type="spellStart"/>
            <w:r w:rsidRPr="008809A7">
              <w:rPr>
                <w:sz w:val="20"/>
                <w:szCs w:val="22"/>
              </w:rPr>
              <w:t>CD</w:t>
            </w:r>
            <w:r w:rsidRPr="008809A7">
              <w:rPr>
                <w:sz w:val="20"/>
                <w:szCs w:val="22"/>
              </w:rPr>
              <w:noBreakHyphen/>
              <w:t>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11 выпусков (на </w:t>
            </w:r>
            <w:proofErr w:type="spellStart"/>
            <w:r w:rsidRPr="008809A7">
              <w:rPr>
                <w:sz w:val="20"/>
                <w:szCs w:val="22"/>
              </w:rPr>
              <w:t>CD</w:t>
            </w:r>
            <w:r w:rsidRPr="008809A7">
              <w:rPr>
                <w:sz w:val="20"/>
                <w:szCs w:val="22"/>
              </w:rPr>
              <w:noBreakHyphen/>
              <w:t>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11 выпусков (на </w:t>
            </w:r>
            <w:proofErr w:type="spellStart"/>
            <w:r w:rsidRPr="008809A7">
              <w:rPr>
                <w:sz w:val="20"/>
                <w:szCs w:val="22"/>
              </w:rPr>
              <w:t>CD</w:t>
            </w:r>
            <w:r w:rsidRPr="008809A7">
              <w:rPr>
                <w:sz w:val="20"/>
                <w:szCs w:val="22"/>
              </w:rPr>
              <w:noBreakHyphen/>
              <w:t>ROM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2119" w:type="dxa"/>
          </w:tcPr>
          <w:p w:rsidR="00B82873" w:rsidRPr="008809A7" w:rsidRDefault="00B82873" w:rsidP="00AA75C1">
            <w:pPr>
              <w:pStyle w:val="Tabletext"/>
              <w:rPr>
                <w:b/>
                <w:sz w:val="20"/>
                <w:szCs w:val="22"/>
              </w:rPr>
            </w:pPr>
            <w:proofErr w:type="spellStart"/>
            <w:r w:rsidRPr="008809A7">
              <w:rPr>
                <w:sz w:val="20"/>
                <w:szCs w:val="22"/>
              </w:rPr>
              <w:t>МСЧ</w:t>
            </w:r>
            <w:proofErr w:type="spellEnd"/>
            <w:r w:rsidRPr="008809A7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br/>
              <w:t>(наземные службы)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2119" w:type="dxa"/>
          </w:tcPr>
          <w:p w:rsidR="00B82873" w:rsidRPr="008809A7" w:rsidRDefault="00B82873" w:rsidP="00AA75C1">
            <w:pPr>
              <w:pStyle w:val="Tabletext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Наземные планы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2119" w:type="dxa"/>
          </w:tcPr>
          <w:p w:rsidR="00B82873" w:rsidRPr="008809A7" w:rsidRDefault="00B82873" w:rsidP="00AA75C1">
            <w:pPr>
              <w:pStyle w:val="Tabletext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Предисловие к </w:t>
            </w:r>
            <w:proofErr w:type="spellStart"/>
            <w:r w:rsidRPr="008809A7">
              <w:rPr>
                <w:sz w:val="20"/>
                <w:szCs w:val="22"/>
              </w:rPr>
              <w:t>МСЧ</w:t>
            </w:r>
            <w:proofErr w:type="spellEnd"/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 выпусков (включенных в каждый ИФИК </w:t>
            </w:r>
            <w:proofErr w:type="spellStart"/>
            <w:r w:rsidRPr="008809A7">
              <w:rPr>
                <w:sz w:val="20"/>
                <w:szCs w:val="22"/>
              </w:rPr>
              <w:t>БР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</w:tr>
    </w:tbl>
    <w:p w:rsidR="00B82873" w:rsidRPr="00875E94" w:rsidRDefault="00F94071" w:rsidP="00B82873">
      <w:pPr>
        <w:pStyle w:val="Heading3"/>
      </w:pPr>
      <w:bookmarkStart w:id="22" w:name="_Toc427075591"/>
      <w:r w:rsidRPr="00875E94">
        <w:t>8</w:t>
      </w:r>
      <w:r w:rsidR="00B82873" w:rsidRPr="00875E94">
        <w:t>.1.2</w:t>
      </w:r>
      <w:r w:rsidR="00B82873" w:rsidRPr="00875E94">
        <w:tab/>
        <w:t>Служебные публикации</w:t>
      </w:r>
      <w:bookmarkEnd w:id="22"/>
    </w:p>
    <w:p w:rsidR="00B82873" w:rsidRPr="00875E94" w:rsidRDefault="00F94071" w:rsidP="00B82873">
      <w:pPr>
        <w:pStyle w:val="Heading4"/>
      </w:pPr>
      <w:r w:rsidRPr="00875E94">
        <w:t>8</w:t>
      </w:r>
      <w:r w:rsidR="00B82873" w:rsidRPr="00875E94">
        <w:t>.1.2.1</w:t>
      </w:r>
      <w:r w:rsidR="00B82873" w:rsidRPr="00875E94">
        <w:tab/>
        <w:t>Базовая информация и общие замечания</w:t>
      </w:r>
    </w:p>
    <w:p w:rsidR="00B82873" w:rsidRPr="00875E94" w:rsidRDefault="00B82873" w:rsidP="00B82873">
      <w:r w:rsidRPr="00875E94">
        <w:t>Бюро готовит и публикует различные служебные публикации, как это определено в Статье 20 Регламента радиосвязи (</w:t>
      </w:r>
      <w:proofErr w:type="spellStart"/>
      <w:r w:rsidRPr="00875E94">
        <w:t>РР</w:t>
      </w:r>
      <w:proofErr w:type="spellEnd"/>
      <w:r w:rsidRPr="00875E94">
        <w:t>).</w:t>
      </w:r>
    </w:p>
    <w:p w:rsidR="00B82873" w:rsidRPr="00875E94" w:rsidRDefault="00B82873" w:rsidP="00C82B54">
      <w:r w:rsidRPr="00875E94">
        <w:t>В связи с важностью эксплуатационной информации, содержащейся в публикациях, связанных с</w:t>
      </w:r>
      <w:r w:rsidR="00C82B54" w:rsidRPr="00875E94">
        <w:t> </w:t>
      </w:r>
      <w:r w:rsidRPr="00875E94">
        <w:t xml:space="preserve">морскими службами, особенно в отношении безопасности, требуется, чтобы администрации сообщали о всех необходимых поправках, как это указано в п. 20.16 </w:t>
      </w:r>
      <w:proofErr w:type="spellStart"/>
      <w:r w:rsidRPr="00875E94">
        <w:t>РР</w:t>
      </w:r>
      <w:proofErr w:type="spellEnd"/>
      <w:r w:rsidRPr="00875E94">
        <w:t xml:space="preserve">. Тем не менее следует отметить, что все еще действительны опасения, которые были высказаны </w:t>
      </w:r>
      <w:proofErr w:type="gramStart"/>
      <w:r w:rsidRPr="00875E94">
        <w:t>во время</w:t>
      </w:r>
      <w:proofErr w:type="gramEnd"/>
      <w:r w:rsidRPr="00875E94">
        <w:t xml:space="preserve"> </w:t>
      </w:r>
      <w:proofErr w:type="spellStart"/>
      <w:r w:rsidRPr="00875E94">
        <w:t>ВКР</w:t>
      </w:r>
      <w:proofErr w:type="spellEnd"/>
      <w:r w:rsidRPr="00875E94">
        <w:t>-12 по поводу того, что администрации не всегда предоставляют на регулярной основе обновленную информацию в </w:t>
      </w:r>
      <w:proofErr w:type="spellStart"/>
      <w:r w:rsidRPr="00875E94">
        <w:t>БР</w:t>
      </w:r>
      <w:proofErr w:type="spellEnd"/>
      <w:r w:rsidRPr="00875E94">
        <w:t>.</w:t>
      </w:r>
    </w:p>
    <w:p w:rsidR="00B82873" w:rsidRPr="00875E94" w:rsidRDefault="00B82873" w:rsidP="00C82B54">
      <w:r w:rsidRPr="00875E94">
        <w:t>Кроме того, данные, содержащиеся в публикациях, связанных с морскими службами, особенно в</w:t>
      </w:r>
      <w:r w:rsidR="00C82B54" w:rsidRPr="00875E94">
        <w:t> </w:t>
      </w:r>
      <w:r w:rsidRPr="00875E94">
        <w:rPr>
          <w:rFonts w:eastAsia="SimSun"/>
        </w:rPr>
        <w:t>Списке судовых станций и присвоений опознавателей морской подвижной службы (Список</w:t>
      </w:r>
      <w:r w:rsidRPr="00875E94">
        <w:t xml:space="preserve"> V), </w:t>
      </w:r>
      <w:r w:rsidRPr="00875E94">
        <w:lastRenderedPageBreak/>
        <w:t xml:space="preserve">используются также для других административных процедур (например, права на дополнительные </w:t>
      </w:r>
      <w:proofErr w:type="spellStart"/>
      <w:r w:rsidRPr="00875E94">
        <w:t>MID</w:t>
      </w:r>
      <w:proofErr w:type="spellEnd"/>
      <w:r w:rsidRPr="00875E94">
        <w:t>).</w:t>
      </w:r>
    </w:p>
    <w:p w:rsidR="00B82873" w:rsidRPr="00875E94" w:rsidRDefault="00F94071" w:rsidP="00B82873">
      <w:pPr>
        <w:pStyle w:val="Heading4"/>
      </w:pPr>
      <w:r w:rsidRPr="00875E94">
        <w:t>8</w:t>
      </w:r>
      <w:r w:rsidR="00B82873" w:rsidRPr="00875E94">
        <w:t>.1.2.2</w:t>
      </w:r>
      <w:r w:rsidR="00B82873" w:rsidRPr="00875E94">
        <w:tab/>
        <w:t xml:space="preserve">Список береговых станций и станций специальных служб (Список </w:t>
      </w:r>
      <w:proofErr w:type="spellStart"/>
      <w:r w:rsidR="00B82873" w:rsidRPr="00875E94">
        <w:t>IV</w:t>
      </w:r>
      <w:proofErr w:type="spellEnd"/>
      <w:r w:rsidR="00B82873" w:rsidRPr="00875E94">
        <w:t>)</w:t>
      </w:r>
    </w:p>
    <w:p w:rsidR="00B82873" w:rsidRPr="00875E94" w:rsidRDefault="00B82873" w:rsidP="00C82B54">
      <w:r w:rsidRPr="00875E94">
        <w:t xml:space="preserve">За этот отчетный период было подготовлено два издания Списка </w:t>
      </w:r>
      <w:proofErr w:type="spellStart"/>
      <w:r w:rsidRPr="00875E94">
        <w:t>IV</w:t>
      </w:r>
      <w:proofErr w:type="spellEnd"/>
      <w:r w:rsidRPr="00875E94">
        <w:t>. Этот Список состоит из</w:t>
      </w:r>
      <w:r w:rsidR="00C82B54" w:rsidRPr="00875E94">
        <w:t> </w:t>
      </w:r>
      <w:r w:rsidRPr="00875E94">
        <w:t xml:space="preserve">брошюры в бумажном формате, содержащей предисловие и справочные таблицы, и </w:t>
      </w:r>
      <w:proofErr w:type="spellStart"/>
      <w:r w:rsidRPr="00875E94">
        <w:t>CD-ROM</w:t>
      </w:r>
      <w:proofErr w:type="spellEnd"/>
      <w:r w:rsidRPr="00875E94">
        <w:t xml:space="preserve"> (в</w:t>
      </w:r>
      <w:r w:rsidR="00C82B54" w:rsidRPr="00875E94">
        <w:t> </w:t>
      </w:r>
      <w:r w:rsidRPr="00875E94">
        <w:t xml:space="preserve">формате </w:t>
      </w:r>
      <w:proofErr w:type="spellStart"/>
      <w:r w:rsidRPr="00875E94">
        <w:t>pdf</w:t>
      </w:r>
      <w:proofErr w:type="spellEnd"/>
      <w:r w:rsidRPr="00875E94">
        <w:t xml:space="preserve">), на котором представлена заявленная в </w:t>
      </w:r>
      <w:proofErr w:type="spellStart"/>
      <w:r w:rsidRPr="00875E94">
        <w:t>БР</w:t>
      </w:r>
      <w:proofErr w:type="spellEnd"/>
      <w:r w:rsidRPr="00875E94">
        <w:t xml:space="preserve"> информация по береговым станциям, контрольным станциям, портовым станциям, станциям </w:t>
      </w:r>
      <w:proofErr w:type="spellStart"/>
      <w:r w:rsidRPr="00875E94">
        <w:t>VTS</w:t>
      </w:r>
      <w:proofErr w:type="spellEnd"/>
      <w:r w:rsidRPr="00875E94">
        <w:t xml:space="preserve"> и т. д.</w:t>
      </w:r>
    </w:p>
    <w:p w:rsidR="00B82873" w:rsidRPr="00875E94" w:rsidRDefault="00B82873" w:rsidP="00B82873">
      <w:r w:rsidRPr="00875E94">
        <w:t>Информация, которая относится к этому Списку, также представлена в онлайновой информационной системе доступа и поиска морской подвижной службы МСЭ (</w:t>
      </w:r>
      <w:proofErr w:type="spellStart"/>
      <w:r w:rsidRPr="00875E94">
        <w:t>MARS</w:t>
      </w:r>
      <w:proofErr w:type="spellEnd"/>
      <w:r w:rsidRPr="00875E94">
        <w:t>).</w:t>
      </w:r>
    </w:p>
    <w:p w:rsidR="00B82873" w:rsidRPr="00875E94" w:rsidRDefault="00B82873" w:rsidP="00C82B54">
      <w:pPr>
        <w:rPr>
          <w:lang w:eastAsia="zh-CN"/>
        </w:rPr>
      </w:pPr>
      <w:r w:rsidRPr="00875E94">
        <w:rPr>
          <w:lang w:eastAsia="zh-CN"/>
        </w:rPr>
        <w:t xml:space="preserve">Была усовершенствована веб-страница </w:t>
      </w:r>
      <w:proofErr w:type="spellStart"/>
      <w:r w:rsidRPr="00875E94">
        <w:rPr>
          <w:lang w:eastAsia="zh-CN"/>
        </w:rPr>
        <w:t>MARS</w:t>
      </w:r>
      <w:proofErr w:type="spellEnd"/>
      <w:r w:rsidRPr="00875E94">
        <w:rPr>
          <w:lang w:eastAsia="zh-CN"/>
        </w:rPr>
        <w:t xml:space="preserve"> МСЭ, чтобы дать администрациям возможность загрузки файлов, содержащих данные по всем их береговым станциям, заявленным в МСЭ, а также поиска и выборки береговой(</w:t>
      </w:r>
      <w:proofErr w:type="spellStart"/>
      <w:r w:rsidRPr="00875E94">
        <w:rPr>
          <w:lang w:eastAsia="zh-CN"/>
        </w:rPr>
        <w:t>ых</w:t>
      </w:r>
      <w:proofErr w:type="spellEnd"/>
      <w:r w:rsidRPr="00875E94">
        <w:rPr>
          <w:lang w:eastAsia="zh-CN"/>
        </w:rPr>
        <w:t>) станции(й) на основании частот или полос частот.</w:t>
      </w:r>
    </w:p>
    <w:p w:rsidR="00B82873" w:rsidRPr="00875E94" w:rsidRDefault="00B82873" w:rsidP="00C82B54">
      <w:pPr>
        <w:rPr>
          <w:lang w:eastAsia="zh-CN"/>
        </w:rPr>
      </w:pPr>
      <w:r w:rsidRPr="00875E94">
        <w:rPr>
          <w:lang w:eastAsia="zh-CN"/>
        </w:rPr>
        <w:t xml:space="preserve">Была реализована новая функция загрузки подборки всех изменений, заявленных в МСЭ, с веб-страницы </w:t>
      </w:r>
      <w:proofErr w:type="spellStart"/>
      <w:r w:rsidRPr="00875E94">
        <w:rPr>
          <w:lang w:eastAsia="zh-CN"/>
        </w:rPr>
        <w:t>MARS</w:t>
      </w:r>
      <w:proofErr w:type="spellEnd"/>
      <w:r w:rsidRPr="00875E94">
        <w:rPr>
          <w:lang w:eastAsia="zh-CN"/>
        </w:rPr>
        <w:t xml:space="preserve"> МСЭ. Бюро продолжает предоставлять такие подборки один раз в шесть месяцев.</w:t>
      </w:r>
    </w:p>
    <w:p w:rsidR="00B82873" w:rsidRPr="00875E94" w:rsidRDefault="00F94071" w:rsidP="00B82873">
      <w:pPr>
        <w:pStyle w:val="Heading4"/>
      </w:pPr>
      <w:r w:rsidRPr="00875E94">
        <w:t>8</w:t>
      </w:r>
      <w:r w:rsidR="00B82873" w:rsidRPr="00875E94">
        <w:t>.1.2.3</w:t>
      </w:r>
      <w:r w:rsidR="00B82873" w:rsidRPr="00875E94">
        <w:tab/>
        <w:t>Список судовых станций и присвоений опознавателей морской подвижной службы (Список V)</w:t>
      </w:r>
    </w:p>
    <w:p w:rsidR="00B82873" w:rsidRPr="00875E94" w:rsidRDefault="00B82873" w:rsidP="00C82B54">
      <w:r w:rsidRPr="00875E94">
        <w:t xml:space="preserve">За этот отчетный период были подготовлены четыре издания Списка V. Этот Список состоит из брошюры в бумажном формате, содержащей предисловие и справочные таблицы, и </w:t>
      </w:r>
      <w:proofErr w:type="spellStart"/>
      <w:r w:rsidRPr="00875E94">
        <w:t>CD-ROM</w:t>
      </w:r>
      <w:proofErr w:type="spellEnd"/>
      <w:r w:rsidRPr="00875E94">
        <w:t xml:space="preserve"> (в</w:t>
      </w:r>
      <w:r w:rsidR="00C82B54" w:rsidRPr="00875E94">
        <w:t> </w:t>
      </w:r>
      <w:r w:rsidRPr="00875E94">
        <w:t xml:space="preserve">формате </w:t>
      </w:r>
      <w:proofErr w:type="spellStart"/>
      <w:r w:rsidRPr="00875E94">
        <w:t>pdf</w:t>
      </w:r>
      <w:proofErr w:type="spellEnd"/>
      <w:r w:rsidRPr="00875E94">
        <w:t xml:space="preserve">), на котором представлена заявленная в </w:t>
      </w:r>
      <w:proofErr w:type="spellStart"/>
      <w:r w:rsidRPr="00875E94">
        <w:t>БР</w:t>
      </w:r>
      <w:proofErr w:type="spellEnd"/>
      <w:r w:rsidRPr="00875E94">
        <w:t xml:space="preserve"> информация по судовым станциям, береговым станциям, имеющим присвоения </w:t>
      </w:r>
      <w:proofErr w:type="spellStart"/>
      <w:r w:rsidRPr="00875E94">
        <w:t>MMSI</w:t>
      </w:r>
      <w:proofErr w:type="spellEnd"/>
      <w:r w:rsidRPr="00875E94">
        <w:t>, воздушным судам, участвующим в операциях по</w:t>
      </w:r>
      <w:r w:rsidR="00C82B54" w:rsidRPr="00875E94">
        <w:t> </w:t>
      </w:r>
      <w:r w:rsidRPr="00875E94">
        <w:t>поиску и спасанию (</w:t>
      </w:r>
      <w:proofErr w:type="spellStart"/>
      <w:r w:rsidRPr="00875E94">
        <w:t>SAR</w:t>
      </w:r>
      <w:proofErr w:type="spellEnd"/>
      <w:r w:rsidRPr="00875E94">
        <w:t xml:space="preserve">) и имеющим присвоения </w:t>
      </w:r>
      <w:proofErr w:type="spellStart"/>
      <w:r w:rsidRPr="00875E94">
        <w:t>MMSI</w:t>
      </w:r>
      <w:proofErr w:type="spellEnd"/>
      <w:r w:rsidRPr="00875E94">
        <w:t>, и т. д.</w:t>
      </w:r>
    </w:p>
    <w:p w:rsidR="00B82873" w:rsidRPr="00875E94" w:rsidRDefault="00B82873" w:rsidP="00B82873">
      <w:r w:rsidRPr="00875E94">
        <w:t>Информация, которая относится к этому Списку, также представлена в онлайновой информационной системе доступа и поиска морской подвижной службы МСЭ (</w:t>
      </w:r>
      <w:proofErr w:type="spellStart"/>
      <w:r w:rsidRPr="00875E94">
        <w:t>MARS</w:t>
      </w:r>
      <w:proofErr w:type="spellEnd"/>
      <w:r w:rsidRPr="00875E94">
        <w:t>) и обновляется ежедневно.</w:t>
      </w:r>
    </w:p>
    <w:p w:rsidR="00B82873" w:rsidRPr="00875E94" w:rsidRDefault="00B82873" w:rsidP="00C82B54">
      <w:pPr>
        <w:rPr>
          <w:lang w:eastAsia="zh-CN"/>
        </w:rPr>
      </w:pPr>
      <w:r w:rsidRPr="00875E94">
        <w:rPr>
          <w:lang w:eastAsia="zh-CN"/>
        </w:rPr>
        <w:t>Ежеквартальная подборка всех изменений, заявленных в МСЭ, по-прежнему будет доступна для</w:t>
      </w:r>
      <w:r w:rsidR="00C82B54" w:rsidRPr="00875E94">
        <w:rPr>
          <w:lang w:eastAsia="zh-CN"/>
        </w:rPr>
        <w:t> </w:t>
      </w:r>
      <w:r w:rsidRPr="00875E94">
        <w:rPr>
          <w:lang w:eastAsia="zh-CN"/>
        </w:rPr>
        <w:t xml:space="preserve">скачивания с веб-страницы </w:t>
      </w:r>
      <w:proofErr w:type="spellStart"/>
      <w:r w:rsidRPr="00875E94">
        <w:rPr>
          <w:lang w:eastAsia="zh-CN"/>
        </w:rPr>
        <w:t>MARS</w:t>
      </w:r>
      <w:proofErr w:type="spellEnd"/>
      <w:r w:rsidRPr="00875E94">
        <w:rPr>
          <w:lang w:eastAsia="zh-CN"/>
        </w:rPr>
        <w:t xml:space="preserve"> МСЭ.</w:t>
      </w:r>
    </w:p>
    <w:p w:rsidR="00B82873" w:rsidRPr="00875E94" w:rsidRDefault="00F94071" w:rsidP="00B82873">
      <w:pPr>
        <w:pStyle w:val="Heading4"/>
      </w:pPr>
      <w:r w:rsidRPr="00875E94">
        <w:t>8</w:t>
      </w:r>
      <w:r w:rsidR="00B82873" w:rsidRPr="00875E94">
        <w:t>.1.2.4</w:t>
      </w:r>
      <w:r w:rsidR="00B82873" w:rsidRPr="00875E94">
        <w:tab/>
        <w:t>Список станций международн</w:t>
      </w:r>
      <w:r w:rsidR="00C82B54" w:rsidRPr="00875E94">
        <w:t xml:space="preserve">ого </w:t>
      </w:r>
      <w:proofErr w:type="spellStart"/>
      <w:r w:rsidR="00C82B54" w:rsidRPr="00875E94">
        <w:t>радиоконтроля</w:t>
      </w:r>
      <w:proofErr w:type="spellEnd"/>
      <w:r w:rsidR="00C82B54" w:rsidRPr="00875E94">
        <w:t xml:space="preserve"> (Список </w:t>
      </w:r>
      <w:proofErr w:type="spellStart"/>
      <w:r w:rsidR="00C82B54" w:rsidRPr="00875E94">
        <w:t>VIII</w:t>
      </w:r>
      <w:proofErr w:type="spellEnd"/>
      <w:r w:rsidR="00C82B54" w:rsidRPr="00875E94">
        <w:t>)</w:t>
      </w:r>
    </w:p>
    <w:p w:rsidR="00B82873" w:rsidRPr="00875E94" w:rsidRDefault="00B82873" w:rsidP="00C82B54">
      <w:r w:rsidRPr="00875E94">
        <w:rPr>
          <w:lang w:eastAsia="zh-CN"/>
        </w:rPr>
        <w:t xml:space="preserve">На собрании </w:t>
      </w:r>
      <w:proofErr w:type="spellStart"/>
      <w:r w:rsidRPr="00875E94">
        <w:rPr>
          <w:lang w:eastAsia="zh-CN"/>
        </w:rPr>
        <w:t>РГ</w:t>
      </w:r>
      <w:proofErr w:type="spellEnd"/>
      <w:r w:rsidRPr="00875E94">
        <w:rPr>
          <w:lang w:eastAsia="zh-CN"/>
        </w:rPr>
        <w:t xml:space="preserve"> </w:t>
      </w:r>
      <w:proofErr w:type="spellStart"/>
      <w:r w:rsidRPr="00875E94">
        <w:rPr>
          <w:lang w:eastAsia="zh-CN"/>
        </w:rPr>
        <w:t>1C</w:t>
      </w:r>
      <w:proofErr w:type="spellEnd"/>
      <w:r w:rsidRPr="00875E94">
        <w:rPr>
          <w:lang w:eastAsia="zh-CN"/>
        </w:rPr>
        <w:t xml:space="preserve"> в июне 2012 года было принято решение продолжить обновление Списка </w:t>
      </w:r>
      <w:proofErr w:type="spellStart"/>
      <w:r w:rsidRPr="00875E94">
        <w:rPr>
          <w:lang w:eastAsia="zh-CN"/>
        </w:rPr>
        <w:t>VIII</w:t>
      </w:r>
      <w:proofErr w:type="spellEnd"/>
      <w:r w:rsidRPr="00875E94">
        <w:rPr>
          <w:lang w:eastAsia="zh-CN"/>
        </w:rPr>
        <w:t xml:space="preserve"> в</w:t>
      </w:r>
      <w:r w:rsidR="00C82B54" w:rsidRPr="00875E94">
        <w:rPr>
          <w:lang w:eastAsia="zh-CN"/>
        </w:rPr>
        <w:t> </w:t>
      </w:r>
      <w:r w:rsidRPr="00875E94">
        <w:rPr>
          <w:lang w:eastAsia="zh-CN"/>
        </w:rPr>
        <w:t xml:space="preserve">новом формате. В результате </w:t>
      </w:r>
      <w:proofErr w:type="spellStart"/>
      <w:r w:rsidRPr="00875E94">
        <w:rPr>
          <w:lang w:eastAsia="zh-CN"/>
        </w:rPr>
        <w:t>БР</w:t>
      </w:r>
      <w:proofErr w:type="spellEnd"/>
      <w:r w:rsidRPr="00875E94">
        <w:rPr>
          <w:lang w:eastAsia="zh-CN"/>
        </w:rPr>
        <w:t xml:space="preserve"> подготовило Циркулярное письмо </w:t>
      </w:r>
      <w:proofErr w:type="spellStart"/>
      <w:r w:rsidRPr="00875E94">
        <w:rPr>
          <w:lang w:eastAsia="zh-CN"/>
        </w:rPr>
        <w:t>CR</w:t>
      </w:r>
      <w:proofErr w:type="spellEnd"/>
      <w:r w:rsidRPr="00875E94">
        <w:rPr>
          <w:lang w:eastAsia="zh-CN"/>
        </w:rPr>
        <w:t xml:space="preserve">/348, которое было выпущено 10 мая 2013 года, в связи с подготовкой издания данного списка в 2013 года. </w:t>
      </w:r>
      <w:r w:rsidRPr="00875E94">
        <w:t>Администрациям было предложено рассмотреть свои данные и представить соответствующие поправки</w:t>
      </w:r>
      <w:r w:rsidRPr="00875E94">
        <w:rPr>
          <w:lang w:eastAsia="zh-CN"/>
        </w:rPr>
        <w:t>. Этот Список (издание 2013 г.) был выпущен в декабре 2013 года.</w:t>
      </w:r>
    </w:p>
    <w:p w:rsidR="00B82873" w:rsidRPr="00875E94" w:rsidRDefault="00F94071" w:rsidP="00B82873">
      <w:pPr>
        <w:pStyle w:val="Heading4"/>
      </w:pPr>
      <w:r w:rsidRPr="00875E94">
        <w:t>8</w:t>
      </w:r>
      <w:r w:rsidR="00B82873" w:rsidRPr="00875E94">
        <w:t>.1.2.5</w:t>
      </w:r>
      <w:r w:rsidR="00B82873" w:rsidRPr="00875E94">
        <w:tab/>
        <w:t>Список выпущенных служебных публикаций</w:t>
      </w:r>
    </w:p>
    <w:p w:rsidR="00B82873" w:rsidRPr="00875E94" w:rsidRDefault="00B82873" w:rsidP="00F94071">
      <w:r w:rsidRPr="00875E94">
        <w:t xml:space="preserve">В представленной ниже Таблице </w:t>
      </w:r>
      <w:r w:rsidR="00F94071" w:rsidRPr="00875E94">
        <w:t>8</w:t>
      </w:r>
      <w:r w:rsidRPr="00875E94">
        <w:t>.1.2.5-1 приводится краткая информация о различных публикациях, подготовленных и выпущенных в период 2012−2015 годов:</w:t>
      </w:r>
    </w:p>
    <w:p w:rsidR="00B82873" w:rsidRPr="00875E94" w:rsidRDefault="00B82873" w:rsidP="00D55979">
      <w:pPr>
        <w:pStyle w:val="TableNo"/>
        <w:spacing w:before="240"/>
      </w:pPr>
      <w:r w:rsidRPr="00875E94">
        <w:t xml:space="preserve">ТАБЛИЦА </w:t>
      </w:r>
      <w:r w:rsidR="00F94071" w:rsidRPr="00875E94">
        <w:t>8</w:t>
      </w:r>
      <w:r w:rsidRPr="00875E94">
        <w:t>.1.2.5-1</w:t>
      </w:r>
    </w:p>
    <w:p w:rsidR="00B82873" w:rsidRPr="00875E94" w:rsidRDefault="00B82873" w:rsidP="00B82873">
      <w:pPr>
        <w:pStyle w:val="Tabletitle"/>
      </w:pPr>
      <w:r w:rsidRPr="00875E94">
        <w:t>Краткая информация о служебных публикациях, выпущенных в 2012–2015 годах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1559"/>
        <w:gridCol w:w="1418"/>
        <w:gridCol w:w="1559"/>
        <w:gridCol w:w="1418"/>
      </w:tblGrid>
      <w:tr w:rsidR="00B82873" w:rsidRPr="008809A7" w:rsidTr="00D55979">
        <w:trPr>
          <w:jc w:val="center"/>
        </w:trPr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2012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2013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2014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2015 г</w:t>
            </w:r>
            <w:r w:rsidR="008809A7">
              <w:rPr>
                <w:sz w:val="20"/>
                <w:szCs w:val="22"/>
                <w:lang w:val="ru-RU"/>
              </w:rPr>
              <w:t>.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3685" w:type="dxa"/>
          </w:tcPr>
          <w:p w:rsidR="00B82873" w:rsidRPr="008809A7" w:rsidRDefault="00B82873" w:rsidP="00D55979">
            <w:pPr>
              <w:pStyle w:val="Tabletext"/>
              <w:tabs>
                <w:tab w:val="clear" w:pos="3969"/>
              </w:tabs>
              <w:ind w:right="-108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Список </w:t>
            </w:r>
            <w:proofErr w:type="spellStart"/>
            <w:r w:rsidRPr="008809A7">
              <w:rPr>
                <w:sz w:val="20"/>
                <w:szCs w:val="22"/>
              </w:rPr>
              <w:t>IV</w:t>
            </w:r>
            <w:proofErr w:type="spellEnd"/>
            <w:r w:rsidRPr="008809A7">
              <w:rPr>
                <w:sz w:val="20"/>
                <w:szCs w:val="22"/>
              </w:rPr>
              <w:t xml:space="preserve"> (Список береговых станций и</w:t>
            </w:r>
            <w:r w:rsidR="007268E5" w:rsidRPr="008809A7">
              <w:rPr>
                <w:sz w:val="20"/>
                <w:szCs w:val="22"/>
              </w:rPr>
              <w:t> </w:t>
            </w:r>
            <w:r w:rsidRPr="008809A7">
              <w:rPr>
                <w:sz w:val="20"/>
                <w:szCs w:val="22"/>
              </w:rPr>
              <w:t>станций специальных служб)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–</w:t>
            </w: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2013 г.</w:t>
            </w:r>
            <w:r w:rsidR="00D55979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>(ноябрь)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–</w:t>
            </w: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2015 г.</w:t>
            </w:r>
            <w:r w:rsidR="00D55979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>(ноябрь)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3685" w:type="dxa"/>
          </w:tcPr>
          <w:p w:rsidR="00B82873" w:rsidRPr="008809A7" w:rsidRDefault="00B82873" w:rsidP="00D55979">
            <w:pPr>
              <w:pStyle w:val="Tabletext"/>
              <w:tabs>
                <w:tab w:val="clear" w:pos="3969"/>
              </w:tabs>
              <w:ind w:right="-108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Список V (</w:t>
            </w:r>
            <w:r w:rsidRPr="008809A7">
              <w:rPr>
                <w:rFonts w:eastAsia="SimSun"/>
                <w:sz w:val="20"/>
                <w:szCs w:val="22"/>
              </w:rPr>
              <w:t>Спис</w:t>
            </w:r>
            <w:r w:rsidRPr="008809A7">
              <w:rPr>
                <w:sz w:val="20"/>
                <w:szCs w:val="22"/>
              </w:rPr>
              <w:t>ок</w:t>
            </w:r>
            <w:r w:rsidRPr="008809A7">
              <w:rPr>
                <w:rFonts w:eastAsia="SimSun"/>
                <w:sz w:val="20"/>
                <w:szCs w:val="22"/>
              </w:rPr>
              <w:t xml:space="preserve"> судовых станций и присвоений опознавателей морской подвижной службы</w:t>
            </w:r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2012 г.</w:t>
            </w:r>
            <w:r w:rsidRPr="008809A7">
              <w:rPr>
                <w:sz w:val="20"/>
                <w:szCs w:val="22"/>
              </w:rPr>
              <w:br/>
              <w:t>(март)</w:t>
            </w: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2013 г.</w:t>
            </w:r>
            <w:r w:rsidRPr="008809A7">
              <w:rPr>
                <w:sz w:val="20"/>
                <w:szCs w:val="22"/>
              </w:rPr>
              <w:br/>
              <w:t>(март)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2014 г.</w:t>
            </w:r>
            <w:r w:rsidR="00D55979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>(март)</w:t>
            </w: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2015 г.</w:t>
            </w:r>
            <w:r w:rsidR="00D55979">
              <w:rPr>
                <w:sz w:val="20"/>
                <w:szCs w:val="22"/>
              </w:rPr>
              <w:t xml:space="preserve"> </w:t>
            </w:r>
            <w:r w:rsidRPr="008809A7">
              <w:rPr>
                <w:sz w:val="20"/>
                <w:szCs w:val="22"/>
              </w:rPr>
              <w:t>(март)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3685" w:type="dxa"/>
          </w:tcPr>
          <w:p w:rsidR="00B82873" w:rsidRPr="008809A7" w:rsidRDefault="00B82873" w:rsidP="00D55979">
            <w:pPr>
              <w:pStyle w:val="Tabletext"/>
              <w:tabs>
                <w:tab w:val="clear" w:pos="3969"/>
              </w:tabs>
              <w:ind w:right="-108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 xml:space="preserve">Список </w:t>
            </w:r>
            <w:proofErr w:type="spellStart"/>
            <w:r w:rsidRPr="008809A7">
              <w:rPr>
                <w:sz w:val="20"/>
                <w:szCs w:val="22"/>
              </w:rPr>
              <w:t>VIII</w:t>
            </w:r>
            <w:proofErr w:type="spellEnd"/>
            <w:r w:rsidRPr="008809A7">
              <w:rPr>
                <w:sz w:val="20"/>
                <w:szCs w:val="22"/>
              </w:rPr>
              <w:t xml:space="preserve"> (Список станций международного </w:t>
            </w:r>
            <w:proofErr w:type="spellStart"/>
            <w:r w:rsidRPr="008809A7">
              <w:rPr>
                <w:sz w:val="20"/>
                <w:szCs w:val="22"/>
              </w:rPr>
              <w:t>радиоконтроля</w:t>
            </w:r>
            <w:proofErr w:type="spellEnd"/>
            <w:r w:rsidRPr="008809A7">
              <w:rPr>
                <w:sz w:val="20"/>
                <w:szCs w:val="22"/>
              </w:rPr>
              <w:t>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–</w:t>
            </w: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2013 г.</w:t>
            </w:r>
            <w:r w:rsidRPr="008809A7">
              <w:rPr>
                <w:sz w:val="20"/>
                <w:szCs w:val="22"/>
              </w:rPr>
              <w:br/>
              <w:t>(декабрь)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–</w:t>
            </w: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–</w:t>
            </w:r>
          </w:p>
        </w:tc>
      </w:tr>
      <w:tr w:rsidR="00B82873" w:rsidRPr="008809A7" w:rsidTr="00D55979">
        <w:trPr>
          <w:cantSplit/>
          <w:jc w:val="center"/>
        </w:trPr>
        <w:tc>
          <w:tcPr>
            <w:tcW w:w="3685" w:type="dxa"/>
          </w:tcPr>
          <w:p w:rsidR="00B82873" w:rsidRPr="008809A7" w:rsidRDefault="00B82873" w:rsidP="00D55979">
            <w:pPr>
              <w:pStyle w:val="Tabletext"/>
              <w:tabs>
                <w:tab w:val="clear" w:pos="3969"/>
              </w:tabs>
              <w:ind w:right="-108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Руководство по морской службе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Издание 2013 г.</w:t>
            </w:r>
            <w:r w:rsidRPr="008809A7">
              <w:rPr>
                <w:sz w:val="20"/>
                <w:szCs w:val="22"/>
              </w:rPr>
              <w:br/>
              <w:t>(октябрь)</w:t>
            </w:r>
          </w:p>
        </w:tc>
        <w:tc>
          <w:tcPr>
            <w:tcW w:w="1559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:rsidR="00B82873" w:rsidRPr="008809A7" w:rsidRDefault="00B82873" w:rsidP="00D55979">
            <w:pPr>
              <w:pStyle w:val="Tabletext"/>
              <w:tabs>
                <w:tab w:val="clear" w:pos="1418"/>
              </w:tabs>
              <w:ind w:left="-108" w:right="-108"/>
              <w:jc w:val="center"/>
              <w:rPr>
                <w:sz w:val="20"/>
                <w:szCs w:val="22"/>
              </w:rPr>
            </w:pPr>
          </w:p>
        </w:tc>
      </w:tr>
    </w:tbl>
    <w:p w:rsidR="00B82873" w:rsidRPr="0078031A" w:rsidRDefault="00F94071" w:rsidP="0078031A">
      <w:pPr>
        <w:pStyle w:val="Heading3"/>
      </w:pPr>
      <w:bookmarkStart w:id="23" w:name="_Toc418163378"/>
      <w:bookmarkStart w:id="24" w:name="_Toc418232296"/>
      <w:bookmarkStart w:id="25" w:name="_Toc427075592"/>
      <w:r w:rsidRPr="00875E94">
        <w:lastRenderedPageBreak/>
        <w:t>8</w:t>
      </w:r>
      <w:r w:rsidR="00B82873" w:rsidRPr="00875E94">
        <w:t>.1.3</w:t>
      </w:r>
      <w:r w:rsidR="00B82873" w:rsidRPr="00875E94">
        <w:tab/>
      </w:r>
      <w:bookmarkEnd w:id="23"/>
      <w:bookmarkEnd w:id="24"/>
      <w:r w:rsidR="00C30B95" w:rsidRPr="00875E94">
        <w:t>Публикации и</w:t>
      </w:r>
      <w:r w:rsidR="00B82873" w:rsidRPr="00875E94">
        <w:t>сследовательски</w:t>
      </w:r>
      <w:r w:rsidR="00C30B95" w:rsidRPr="00875E94">
        <w:t>х</w:t>
      </w:r>
      <w:r w:rsidR="00B82873" w:rsidRPr="00875E94">
        <w:t xml:space="preserve"> комисси</w:t>
      </w:r>
      <w:r w:rsidR="00C30B95" w:rsidRPr="00875E94">
        <w:t>й</w:t>
      </w:r>
      <w:r w:rsidR="00B82873" w:rsidRPr="00875E94">
        <w:t xml:space="preserve"> и другие публикации</w:t>
      </w:r>
      <w:bookmarkEnd w:id="25"/>
    </w:p>
    <w:p w:rsidR="00B82873" w:rsidRPr="00875E94" w:rsidRDefault="00F94071" w:rsidP="0078031A">
      <w:pPr>
        <w:rPr>
          <w:lang w:eastAsia="zh-CN"/>
        </w:rPr>
      </w:pPr>
      <w:r w:rsidRPr="00875E94">
        <w:t xml:space="preserve">Со времени проведения </w:t>
      </w:r>
      <w:proofErr w:type="spellStart"/>
      <w:r w:rsidRPr="00875E94">
        <w:t>ВКР</w:t>
      </w:r>
      <w:proofErr w:type="spellEnd"/>
      <w:r w:rsidRPr="00875E94">
        <w:t xml:space="preserve">-12 </w:t>
      </w:r>
      <w:r w:rsidR="00B82873" w:rsidRPr="00875E94">
        <w:t>подготовка публикаций исследовательских комиссий МСЭ-R, а</w:t>
      </w:r>
      <w:r w:rsidR="00A877A0" w:rsidRPr="00875E94">
        <w:t> </w:t>
      </w:r>
      <w:r w:rsidR="00B82873" w:rsidRPr="00875E94">
        <w:t>также других публикаций осуществлялась по стандартной схеме в соответствии с Оперативным планом, а именно: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Рекомендации МСЭ-R – 355 рекомендаций были опубликованы (размещены) на веб-сайте МСЭ на английском языке (E). Все рекомендации, выпущенные с 2005 по 2013 год, доступны на шести языках МСЭ (A/C/E/F/R/S), а для рекомендаций, выпущенных начиная с 2014 года, перевод на оставшиеся 5 языков выполняется;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Отчеты МСЭ-R – 202 отчета опубликованы (размещены) на веб-сайте МСЭ (E);</w:t>
      </w:r>
    </w:p>
    <w:p w:rsidR="00B82873" w:rsidRPr="00875E94" w:rsidRDefault="00B82873" w:rsidP="0078031A">
      <w:pPr>
        <w:pStyle w:val="enumlev1"/>
      </w:pPr>
      <w:r w:rsidRPr="00875E94">
        <w:t>–</w:t>
      </w:r>
      <w:r w:rsidRPr="00875E94">
        <w:tab/>
        <w:t xml:space="preserve">Справочники МСЭ-R (опубликованы по умолчанию на </w:t>
      </w:r>
      <w:r w:rsidRPr="0078031A">
        <w:t>английском</w:t>
      </w:r>
      <w:r w:rsidRPr="00875E94">
        <w:t xml:space="preserve"> языке, если не</w:t>
      </w:r>
      <w:r w:rsidR="00C602AB" w:rsidRPr="00875E94">
        <w:t> </w:t>
      </w:r>
      <w:r w:rsidRPr="00875E94">
        <w:t>указано иное):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Изменение климата – издание 2012 года;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Справочник по методам прогнозирования распространения радиоволн для исследования помех и совместного использования частот – издание 2012 года;</w:t>
      </w:r>
    </w:p>
    <w:p w:rsidR="00F94071" w:rsidRPr="00875E94" w:rsidRDefault="00F94071" w:rsidP="00F763D1">
      <w:pPr>
        <w:pStyle w:val="enumlev2"/>
      </w:pPr>
      <w:r w:rsidRPr="00875E94">
        <w:t>–</w:t>
      </w:r>
      <w:r w:rsidRPr="00875E94">
        <w:tab/>
        <w:t xml:space="preserve">Управление использованием спектра на национальном уровне– издание 2015 года (первоначально </w:t>
      </w:r>
      <w:r w:rsidR="00F763D1" w:rsidRPr="00875E94">
        <w:t xml:space="preserve">– </w:t>
      </w:r>
      <w:r w:rsidRPr="00875E94">
        <w:t>на английском языке, на других языках – на этапе подготовки);</w:t>
      </w:r>
    </w:p>
    <w:p w:rsidR="00F94071" w:rsidRPr="00875E94" w:rsidRDefault="00F94071" w:rsidP="00F763D1">
      <w:pPr>
        <w:pStyle w:val="enumlev2"/>
      </w:pPr>
      <w:r w:rsidRPr="00875E94">
        <w:t>–</w:t>
      </w:r>
      <w:r w:rsidRPr="00875E94">
        <w:tab/>
        <w:t>Компьютерные технологии управления использованием радиочастотного спектра (</w:t>
      </w:r>
      <w:proofErr w:type="spellStart"/>
      <w:r w:rsidRPr="00875E94">
        <w:t>CAT</w:t>
      </w:r>
      <w:proofErr w:type="spellEnd"/>
      <w:r w:rsidRPr="00875E94">
        <w:t>) – издание 201</w:t>
      </w:r>
      <w:r w:rsidR="00F763D1" w:rsidRPr="00875E94">
        <w:t>5</w:t>
      </w:r>
      <w:r w:rsidRPr="00875E94">
        <w:t xml:space="preserve"> года</w:t>
      </w:r>
      <w:r w:rsidR="00F763D1" w:rsidRPr="00875E94">
        <w:t xml:space="preserve"> (первоначально – на английском языке, на других языках – на этапе подготовки)</w:t>
      </w:r>
      <w:r w:rsidRPr="00875E94">
        <w:t>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Контроль за использованием спектра (A/C/F/R/S);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Руководство для использования в морской подвижной и морской подвижной спутниковой службах;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 xml:space="preserve">Справочник по </w:t>
      </w:r>
      <w:proofErr w:type="spellStart"/>
      <w:r w:rsidRPr="00875E94">
        <w:t>ЦНТВ</w:t>
      </w:r>
      <w:proofErr w:type="spellEnd"/>
      <w:r w:rsidRPr="00875E94">
        <w:t xml:space="preserve"> (Справочник по цифровому наземному телевизионному вещанию в диапазонах </w:t>
      </w:r>
      <w:proofErr w:type="spellStart"/>
      <w:r w:rsidRPr="00875E94">
        <w:t>ОВЧ</w:t>
      </w:r>
      <w:proofErr w:type="spellEnd"/>
      <w:r w:rsidRPr="00875E94">
        <w:t>/УВЧ) – Пересмотр 1.02;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Справочник по радиоастрономии – издание 2013 года;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Радиометеорология;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Любительская служба и любительская спутниковая служба – издание 2014 года;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Распространение земной волны – издание 2014 года;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Любительская служба и любительская спутниковая служба (A/C/F/R/S);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Связь для космических исследований – издание 2014 года;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Радиометеорология (R);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Спутниковая передача и распространение данных о времени и частоте (A/C/F/R/S);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Распространение земной волны (A/S/F/R);</w:t>
      </w:r>
    </w:p>
    <w:p w:rsidR="00B82873" w:rsidRPr="00875E94" w:rsidRDefault="00B82873" w:rsidP="00B82873">
      <w:pPr>
        <w:pStyle w:val="enumlev1"/>
        <w:keepNext/>
        <w:keepLines/>
      </w:pPr>
      <w:r w:rsidRPr="00875E94">
        <w:t>–</w:t>
      </w:r>
      <w:r w:rsidRPr="00875E94">
        <w:tab/>
        <w:t xml:space="preserve">другие публикации (A/C/E/F/R/S): 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Сборник Резолюций МСЭ-R, 2012 год;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 xml:space="preserve">предварительные Заключительные акты </w:t>
      </w:r>
      <w:proofErr w:type="spellStart"/>
      <w:r w:rsidRPr="00875E94">
        <w:t>ВКР</w:t>
      </w:r>
      <w:proofErr w:type="spellEnd"/>
      <w:r w:rsidRPr="00875E94">
        <w:t>-12;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 xml:space="preserve">заключительные акты </w:t>
      </w:r>
      <w:proofErr w:type="spellStart"/>
      <w:r w:rsidRPr="00875E94">
        <w:t>ВКР</w:t>
      </w:r>
      <w:proofErr w:type="spellEnd"/>
      <w:r w:rsidRPr="00875E94">
        <w:t>-12;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– издание 2012 года;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1;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2;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3;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4;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5;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6;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  <w:t>Правила процедуры МСЭ-R 2012 года, обновление 7;</w:t>
      </w:r>
    </w:p>
    <w:p w:rsidR="00B82873" w:rsidRPr="00875E94" w:rsidRDefault="00B82873" w:rsidP="00B82873">
      <w:pPr>
        <w:pStyle w:val="enumlev2"/>
      </w:pPr>
      <w:r w:rsidRPr="00875E94">
        <w:lastRenderedPageBreak/>
        <w:t>–</w:t>
      </w:r>
      <w:r w:rsidRPr="00875E94">
        <w:tab/>
        <w:t>МСЭ-R – Радиосвязь: Верен идее соединить мир;</w:t>
      </w:r>
    </w:p>
    <w:p w:rsidR="00B82873" w:rsidRPr="00875E94" w:rsidRDefault="00B82873" w:rsidP="00B82873">
      <w:pPr>
        <w:pStyle w:val="enumlev2"/>
      </w:pPr>
      <w:r w:rsidRPr="00875E94">
        <w:t>–</w:t>
      </w:r>
      <w:r w:rsidRPr="00875E94">
        <w:tab/>
      </w:r>
      <w:proofErr w:type="spellStart"/>
      <w:r w:rsidRPr="00875E94">
        <w:t>CD-ROM</w:t>
      </w:r>
      <w:proofErr w:type="spellEnd"/>
      <w:r w:rsidRPr="00875E94">
        <w:t xml:space="preserve"> и </w:t>
      </w:r>
      <w:proofErr w:type="spellStart"/>
      <w:r w:rsidRPr="00875E94">
        <w:t>DVD-ROM</w:t>
      </w:r>
      <w:proofErr w:type="spellEnd"/>
      <w:r w:rsidRPr="00875E94">
        <w:t xml:space="preserve"> с рекомендациями и отчетами (семь изданий), соответствующими этому периоду (январь 2012 г. – март 2015 г.).</w:t>
      </w:r>
    </w:p>
    <w:p w:rsidR="00B82873" w:rsidRPr="00875E94" w:rsidRDefault="00F763D1" w:rsidP="00B82873">
      <w:pPr>
        <w:pStyle w:val="Heading3"/>
      </w:pPr>
      <w:bookmarkStart w:id="26" w:name="_Toc427075593"/>
      <w:r w:rsidRPr="00875E94">
        <w:t>8</w:t>
      </w:r>
      <w:r w:rsidR="00B82873" w:rsidRPr="00875E94">
        <w:t>.1.4</w:t>
      </w:r>
      <w:r w:rsidR="00B82873" w:rsidRPr="00875E94">
        <w:tab/>
        <w:t>Загрузка публикаций МСЭ-R</w:t>
      </w:r>
      <w:bookmarkEnd w:id="26"/>
    </w:p>
    <w:p w:rsidR="00B82873" w:rsidRPr="00875E94" w:rsidRDefault="00F763D1" w:rsidP="00B82873">
      <w:pPr>
        <w:pStyle w:val="Heading4"/>
      </w:pPr>
      <w:r w:rsidRPr="00875E94">
        <w:t>8</w:t>
      </w:r>
      <w:r w:rsidR="00B82873" w:rsidRPr="00875E94">
        <w:t>.1.4.1</w:t>
      </w:r>
      <w:r w:rsidR="00B82873" w:rsidRPr="00875E94">
        <w:tab/>
        <w:t>Регламент радиосвязи и Правила процедуры</w:t>
      </w:r>
    </w:p>
    <w:p w:rsidR="00B82873" w:rsidRPr="00875E94" w:rsidRDefault="00B82873" w:rsidP="000A0FDB">
      <w:r w:rsidRPr="00875E94">
        <w:t xml:space="preserve">Что касается этих </w:t>
      </w:r>
      <w:proofErr w:type="spellStart"/>
      <w:r w:rsidRPr="00875E94">
        <w:t>регламентарных</w:t>
      </w:r>
      <w:proofErr w:type="spellEnd"/>
      <w:r w:rsidRPr="00875E94">
        <w:t xml:space="preserve"> документов, в Таблице </w:t>
      </w:r>
      <w:r w:rsidR="000A0FDB" w:rsidRPr="00875E94">
        <w:t>8</w:t>
      </w:r>
      <w:r w:rsidRPr="00875E94">
        <w:t xml:space="preserve">.1.4.1-1 представлено сравнение количества продаж издания </w:t>
      </w:r>
      <w:proofErr w:type="spellStart"/>
      <w:r w:rsidRPr="00875E94">
        <w:t>РР</w:t>
      </w:r>
      <w:proofErr w:type="spellEnd"/>
      <w:r w:rsidRPr="00875E94">
        <w:t xml:space="preserve"> 2008 года (выпущенного в сентябре 2008 г.) и </w:t>
      </w:r>
      <w:proofErr w:type="spellStart"/>
      <w:r w:rsidRPr="00875E94">
        <w:t>РР</w:t>
      </w:r>
      <w:proofErr w:type="spellEnd"/>
      <w:r w:rsidRPr="00875E94">
        <w:t xml:space="preserve"> 2012 года (выпущенного в декабре 201</w:t>
      </w:r>
      <w:r w:rsidR="00F763D1" w:rsidRPr="00875E94">
        <w:t>2</w:t>
      </w:r>
      <w:r w:rsidRPr="00875E94">
        <w:t xml:space="preserve"> г.) на 31 </w:t>
      </w:r>
      <w:r w:rsidR="00F763D1" w:rsidRPr="00875E94">
        <w:t xml:space="preserve">декабря </w:t>
      </w:r>
      <w:r w:rsidRPr="00875E94">
        <w:t>2015 года.</w:t>
      </w:r>
      <w:r w:rsidR="00F763D1" w:rsidRPr="00875E94">
        <w:t xml:space="preserve"> Это сравнение демонстрирует, что политика бесплатной загрузки не повлияла на уровень продаж. Продажи </w:t>
      </w:r>
      <w:proofErr w:type="spellStart"/>
      <w:r w:rsidR="00F763D1" w:rsidRPr="00875E94">
        <w:t>РР</w:t>
      </w:r>
      <w:proofErr w:type="spellEnd"/>
      <w:r w:rsidR="00F763D1" w:rsidRPr="00875E94">
        <w:t xml:space="preserve"> 2012 года превысили продажи </w:t>
      </w:r>
      <w:proofErr w:type="spellStart"/>
      <w:r w:rsidR="00F763D1" w:rsidRPr="00875E94">
        <w:t>РР</w:t>
      </w:r>
      <w:proofErr w:type="spellEnd"/>
      <w:r w:rsidR="00F763D1" w:rsidRPr="00875E94">
        <w:t xml:space="preserve"> 2008 года более чем на 29%. Большое количество бесплатных загрузок (примерно на 37% больше, чем количество проданных экземпляров) свидетельствует о положительном воздействии этой политики</w:t>
      </w:r>
      <w:r w:rsidR="00F763D1" w:rsidRPr="00875E94">
        <w:rPr>
          <w:szCs w:val="24"/>
        </w:rPr>
        <w:t>. При этом загрузки производились из 182 стран, представляющих 94% Членов МСЭ</w:t>
      </w:r>
      <w:r w:rsidR="00F763D1" w:rsidRPr="00875E94">
        <w:rPr>
          <w:rFonts w:asciiTheme="majorBidi" w:hAnsiTheme="majorBidi" w:cstheme="majorBidi"/>
          <w:szCs w:val="24"/>
        </w:rPr>
        <w:t>.</w:t>
      </w:r>
    </w:p>
    <w:p w:rsidR="00B82873" w:rsidRPr="00875E94" w:rsidRDefault="00B82873" w:rsidP="0078031A">
      <w:pPr>
        <w:pStyle w:val="TableNo"/>
        <w:spacing w:before="480"/>
      </w:pPr>
      <w:r w:rsidRPr="00875E94">
        <w:t xml:space="preserve">ТАБЛИЦА </w:t>
      </w:r>
      <w:r w:rsidR="00F763D1" w:rsidRPr="00875E94">
        <w:t>8</w:t>
      </w:r>
      <w:r w:rsidRPr="00875E94">
        <w:t>.1.4.1-1</w:t>
      </w:r>
    </w:p>
    <w:p w:rsidR="00B82873" w:rsidRPr="00875E94" w:rsidRDefault="00B82873" w:rsidP="00B82873">
      <w:pPr>
        <w:pStyle w:val="Tabletitle"/>
      </w:pPr>
      <w:r w:rsidRPr="00875E94">
        <w:t>Сравнение количества поставок Регламента радиосвязи и Правил процедуры с 2008 года</w:t>
      </w:r>
    </w:p>
    <w:tbl>
      <w:tblPr>
        <w:tblW w:w="92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46"/>
        <w:gridCol w:w="1583"/>
        <w:gridCol w:w="2049"/>
      </w:tblGrid>
      <w:tr w:rsidR="00B82873" w:rsidRPr="008809A7" w:rsidTr="008809A7">
        <w:trPr>
          <w:trHeight w:val="525"/>
          <w:jc w:val="center"/>
        </w:trPr>
        <w:tc>
          <w:tcPr>
            <w:tcW w:w="564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B82873" w:rsidRPr="008809A7" w:rsidRDefault="00B82873" w:rsidP="00B82873">
            <w:pPr>
              <w:pStyle w:val="Tablehead"/>
              <w:rPr>
                <w:bCs/>
                <w:sz w:val="20"/>
                <w:szCs w:val="22"/>
                <w:lang w:val="ru-RU" w:eastAsia="zh-CN"/>
              </w:rPr>
            </w:pPr>
            <w:r w:rsidRPr="008809A7">
              <w:rPr>
                <w:bCs/>
                <w:sz w:val="20"/>
                <w:szCs w:val="22"/>
                <w:lang w:val="ru-RU" w:eastAsia="zh-CN"/>
              </w:rPr>
              <w:t>Продано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B82873" w:rsidRPr="008809A7" w:rsidRDefault="00B82873" w:rsidP="00B82873">
            <w:pPr>
              <w:pStyle w:val="Tablehead"/>
              <w:rPr>
                <w:bCs/>
                <w:sz w:val="20"/>
                <w:szCs w:val="22"/>
                <w:lang w:val="ru-RU" w:eastAsia="zh-CN"/>
              </w:rPr>
            </w:pPr>
            <w:r w:rsidRPr="008809A7">
              <w:rPr>
                <w:bCs/>
                <w:sz w:val="20"/>
                <w:szCs w:val="22"/>
                <w:lang w:val="ru-RU" w:eastAsia="zh-CN"/>
              </w:rPr>
              <w:t>Бесплатная загрузка</w:t>
            </w:r>
          </w:p>
        </w:tc>
      </w:tr>
      <w:tr w:rsidR="00B82873" w:rsidRPr="008809A7" w:rsidTr="008809A7">
        <w:trPr>
          <w:trHeight w:val="315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B82873" w:rsidRPr="008809A7" w:rsidRDefault="00B82873" w:rsidP="00B82873">
            <w:pPr>
              <w:pStyle w:val="Tabletext"/>
              <w:rPr>
                <w:i/>
                <w:i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i/>
                <w:iCs/>
                <w:sz w:val="20"/>
                <w:szCs w:val="22"/>
                <w:lang w:eastAsia="zh-CN"/>
              </w:rPr>
              <w:t>РР</w:t>
            </w:r>
            <w:proofErr w:type="spellEnd"/>
            <w:r w:rsidRPr="008809A7">
              <w:rPr>
                <w:i/>
                <w:iCs/>
                <w:sz w:val="20"/>
                <w:szCs w:val="22"/>
                <w:lang w:eastAsia="zh-CN"/>
              </w:rPr>
              <w:t xml:space="preserve"> 2008 года (51 месяц поставок)</w:t>
            </w:r>
          </w:p>
        </w:tc>
        <w:tc>
          <w:tcPr>
            <w:tcW w:w="1583" w:type="dxa"/>
            <w:shd w:val="clear" w:color="auto" w:fill="auto"/>
            <w:vAlign w:val="bottom"/>
            <w:hideMark/>
          </w:tcPr>
          <w:p w:rsidR="00B82873" w:rsidRPr="008809A7" w:rsidRDefault="00B82873" w:rsidP="00421069">
            <w:pPr>
              <w:pStyle w:val="Tabletext"/>
              <w:ind w:right="397"/>
              <w:jc w:val="right"/>
              <w:rPr>
                <w:sz w:val="20"/>
                <w:szCs w:val="22"/>
                <w:lang w:eastAsia="zh-CN"/>
              </w:rPr>
            </w:pPr>
            <w:r w:rsidRPr="008809A7">
              <w:rPr>
                <w:sz w:val="20"/>
                <w:szCs w:val="22"/>
                <w:lang w:eastAsia="zh-CN"/>
              </w:rPr>
              <w:t>15 178</w:t>
            </w:r>
          </w:p>
        </w:tc>
        <w:tc>
          <w:tcPr>
            <w:tcW w:w="2049" w:type="dxa"/>
            <w:shd w:val="clear" w:color="auto" w:fill="auto"/>
            <w:vAlign w:val="bottom"/>
            <w:hideMark/>
          </w:tcPr>
          <w:p w:rsidR="00B82873" w:rsidRPr="008809A7" w:rsidRDefault="00F763D1" w:rsidP="00421069">
            <w:pPr>
              <w:pStyle w:val="Tabletext"/>
              <w:ind w:right="567"/>
              <w:jc w:val="right"/>
              <w:rPr>
                <w:sz w:val="20"/>
                <w:szCs w:val="22"/>
                <w:lang w:eastAsia="zh-CN"/>
              </w:rPr>
            </w:pPr>
            <w:r w:rsidRPr="008809A7">
              <w:rPr>
                <w:sz w:val="20"/>
                <w:szCs w:val="22"/>
                <w:lang w:eastAsia="zh-CN"/>
              </w:rPr>
              <w:t>973</w:t>
            </w:r>
          </w:p>
        </w:tc>
      </w:tr>
      <w:tr w:rsidR="00B82873" w:rsidRPr="008809A7" w:rsidTr="008809A7">
        <w:trPr>
          <w:trHeight w:val="315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B82873" w:rsidRPr="008809A7" w:rsidRDefault="00B82873" w:rsidP="00F763D1">
            <w:pPr>
              <w:pStyle w:val="Tabletext"/>
              <w:rPr>
                <w:i/>
                <w:i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i/>
                <w:iCs/>
                <w:sz w:val="20"/>
                <w:szCs w:val="22"/>
                <w:lang w:eastAsia="zh-CN"/>
              </w:rPr>
              <w:t>РР</w:t>
            </w:r>
            <w:proofErr w:type="spellEnd"/>
            <w:r w:rsidRPr="008809A7">
              <w:rPr>
                <w:i/>
                <w:iCs/>
                <w:sz w:val="20"/>
                <w:szCs w:val="22"/>
                <w:lang w:eastAsia="zh-CN"/>
              </w:rPr>
              <w:t xml:space="preserve"> 2012 года (3</w:t>
            </w:r>
            <w:r w:rsidR="00F763D1" w:rsidRPr="008809A7">
              <w:rPr>
                <w:i/>
                <w:iCs/>
                <w:sz w:val="20"/>
                <w:szCs w:val="22"/>
                <w:lang w:eastAsia="zh-CN"/>
              </w:rPr>
              <w:t>6</w:t>
            </w:r>
            <w:r w:rsidRPr="008809A7">
              <w:rPr>
                <w:i/>
                <w:iCs/>
                <w:sz w:val="20"/>
                <w:szCs w:val="22"/>
                <w:lang w:eastAsia="zh-CN"/>
              </w:rPr>
              <w:t xml:space="preserve"> месяц</w:t>
            </w:r>
            <w:r w:rsidR="00F763D1" w:rsidRPr="008809A7">
              <w:rPr>
                <w:i/>
                <w:iCs/>
                <w:sz w:val="20"/>
                <w:szCs w:val="22"/>
                <w:lang w:eastAsia="zh-CN"/>
              </w:rPr>
              <w:t>ев</w:t>
            </w:r>
            <w:r w:rsidRPr="008809A7">
              <w:rPr>
                <w:i/>
                <w:iCs/>
                <w:sz w:val="20"/>
                <w:szCs w:val="22"/>
                <w:lang w:eastAsia="zh-CN"/>
              </w:rPr>
              <w:t xml:space="preserve"> поставок)</w:t>
            </w:r>
          </w:p>
        </w:tc>
        <w:tc>
          <w:tcPr>
            <w:tcW w:w="1583" w:type="dxa"/>
            <w:shd w:val="clear" w:color="auto" w:fill="auto"/>
            <w:vAlign w:val="bottom"/>
            <w:hideMark/>
          </w:tcPr>
          <w:p w:rsidR="00B82873" w:rsidRPr="008809A7" w:rsidRDefault="00B82873" w:rsidP="00421069">
            <w:pPr>
              <w:pStyle w:val="Tabletext"/>
              <w:ind w:right="397"/>
              <w:jc w:val="right"/>
              <w:rPr>
                <w:sz w:val="20"/>
                <w:szCs w:val="22"/>
                <w:lang w:eastAsia="zh-CN"/>
              </w:rPr>
            </w:pPr>
            <w:r w:rsidRPr="008809A7">
              <w:rPr>
                <w:sz w:val="20"/>
                <w:szCs w:val="22"/>
                <w:lang w:eastAsia="zh-CN"/>
              </w:rPr>
              <w:t>1</w:t>
            </w:r>
            <w:r w:rsidR="00F763D1" w:rsidRPr="008809A7">
              <w:rPr>
                <w:sz w:val="20"/>
                <w:szCs w:val="22"/>
                <w:lang w:eastAsia="zh-CN"/>
              </w:rPr>
              <w:t>9</w:t>
            </w:r>
            <w:r w:rsidRPr="008809A7">
              <w:rPr>
                <w:sz w:val="20"/>
                <w:szCs w:val="22"/>
                <w:lang w:eastAsia="zh-CN"/>
              </w:rPr>
              <w:t xml:space="preserve"> 5</w:t>
            </w:r>
            <w:r w:rsidR="00F763D1" w:rsidRPr="008809A7">
              <w:rPr>
                <w:sz w:val="20"/>
                <w:szCs w:val="22"/>
                <w:lang w:eastAsia="zh-CN"/>
              </w:rPr>
              <w:t>93</w:t>
            </w:r>
          </w:p>
        </w:tc>
        <w:tc>
          <w:tcPr>
            <w:tcW w:w="2049" w:type="dxa"/>
            <w:shd w:val="clear" w:color="auto" w:fill="auto"/>
            <w:vAlign w:val="bottom"/>
            <w:hideMark/>
          </w:tcPr>
          <w:p w:rsidR="00B82873" w:rsidRPr="008809A7" w:rsidRDefault="00F763D1" w:rsidP="00421069">
            <w:pPr>
              <w:pStyle w:val="Tabletext"/>
              <w:ind w:right="567"/>
              <w:jc w:val="right"/>
              <w:rPr>
                <w:sz w:val="20"/>
                <w:szCs w:val="22"/>
                <w:lang w:eastAsia="zh-CN"/>
              </w:rPr>
            </w:pPr>
            <w:r w:rsidRPr="008809A7">
              <w:rPr>
                <w:sz w:val="20"/>
                <w:szCs w:val="22"/>
                <w:lang w:eastAsia="zh-CN"/>
              </w:rPr>
              <w:t>26</w:t>
            </w:r>
            <w:r w:rsidR="00B82873" w:rsidRPr="008809A7">
              <w:rPr>
                <w:sz w:val="20"/>
                <w:szCs w:val="22"/>
                <w:lang w:eastAsia="zh-CN"/>
              </w:rPr>
              <w:t xml:space="preserve"> 7</w:t>
            </w:r>
            <w:r w:rsidRPr="008809A7">
              <w:rPr>
                <w:sz w:val="20"/>
                <w:szCs w:val="22"/>
                <w:lang w:eastAsia="zh-CN"/>
              </w:rPr>
              <w:t>99</w:t>
            </w:r>
          </w:p>
        </w:tc>
      </w:tr>
      <w:tr w:rsidR="00B82873" w:rsidRPr="008809A7" w:rsidTr="008809A7">
        <w:trPr>
          <w:trHeight w:val="315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B82873" w:rsidRPr="008809A7" w:rsidRDefault="00B82873" w:rsidP="00F763D1">
            <w:pPr>
              <w:pStyle w:val="Tabletext"/>
              <w:rPr>
                <w:i/>
                <w:iCs/>
                <w:sz w:val="20"/>
                <w:szCs w:val="22"/>
                <w:lang w:eastAsia="zh-CN"/>
              </w:rPr>
            </w:pPr>
            <w:r w:rsidRPr="008809A7">
              <w:rPr>
                <w:i/>
                <w:iCs/>
                <w:sz w:val="20"/>
                <w:szCs w:val="22"/>
                <w:lang w:eastAsia="zh-CN"/>
              </w:rPr>
              <w:t>Правила процедуры</w:t>
            </w:r>
            <w:r w:rsidR="00F763D1" w:rsidRPr="008809A7">
              <w:rPr>
                <w:i/>
                <w:iCs/>
                <w:sz w:val="20"/>
                <w:szCs w:val="22"/>
                <w:lang w:eastAsia="zh-CN"/>
              </w:rPr>
              <w:t xml:space="preserve"> 2012 года</w:t>
            </w:r>
            <w:r w:rsidRPr="008809A7">
              <w:rPr>
                <w:i/>
                <w:iCs/>
                <w:sz w:val="20"/>
                <w:szCs w:val="22"/>
                <w:lang w:eastAsia="zh-CN"/>
              </w:rPr>
              <w:t xml:space="preserve"> </w:t>
            </w:r>
            <w:r w:rsidRPr="008809A7">
              <w:rPr>
                <w:bCs/>
                <w:i/>
                <w:iCs/>
                <w:sz w:val="20"/>
                <w:szCs w:val="22"/>
                <w:lang w:eastAsia="zh-CN"/>
              </w:rPr>
              <w:t xml:space="preserve">(после решения Совета </w:t>
            </w:r>
            <w:r w:rsidRPr="008809A7">
              <w:rPr>
                <w:i/>
                <w:iCs/>
                <w:sz w:val="20"/>
                <w:szCs w:val="22"/>
                <w:lang w:eastAsia="zh-CN"/>
              </w:rPr>
              <w:t>2014 г.)</w:t>
            </w:r>
          </w:p>
        </w:tc>
        <w:tc>
          <w:tcPr>
            <w:tcW w:w="1583" w:type="dxa"/>
            <w:shd w:val="clear" w:color="auto" w:fill="auto"/>
            <w:vAlign w:val="bottom"/>
            <w:hideMark/>
          </w:tcPr>
          <w:p w:rsidR="00B82873" w:rsidRPr="008809A7" w:rsidRDefault="00F763D1" w:rsidP="00421069">
            <w:pPr>
              <w:pStyle w:val="Tabletext"/>
              <w:ind w:right="397"/>
              <w:jc w:val="right"/>
              <w:rPr>
                <w:sz w:val="20"/>
                <w:szCs w:val="22"/>
                <w:lang w:eastAsia="zh-CN"/>
              </w:rPr>
            </w:pPr>
            <w:r w:rsidRPr="008809A7">
              <w:rPr>
                <w:sz w:val="20"/>
                <w:szCs w:val="22"/>
                <w:lang w:eastAsia="zh-CN"/>
              </w:rPr>
              <w:t>2</w:t>
            </w:r>
            <w:r w:rsidR="00B82873" w:rsidRPr="008809A7">
              <w:rPr>
                <w:sz w:val="20"/>
                <w:szCs w:val="22"/>
                <w:lang w:eastAsia="zh-CN"/>
              </w:rPr>
              <w:t>5</w:t>
            </w:r>
          </w:p>
        </w:tc>
        <w:tc>
          <w:tcPr>
            <w:tcW w:w="2049" w:type="dxa"/>
            <w:shd w:val="clear" w:color="auto" w:fill="auto"/>
            <w:vAlign w:val="bottom"/>
            <w:hideMark/>
          </w:tcPr>
          <w:p w:rsidR="00B82873" w:rsidRPr="008809A7" w:rsidRDefault="00F763D1" w:rsidP="00421069">
            <w:pPr>
              <w:pStyle w:val="Tabletext"/>
              <w:ind w:right="567"/>
              <w:jc w:val="right"/>
              <w:rPr>
                <w:sz w:val="20"/>
                <w:szCs w:val="22"/>
                <w:lang w:eastAsia="zh-CN"/>
              </w:rPr>
            </w:pPr>
            <w:r w:rsidRPr="008809A7">
              <w:rPr>
                <w:sz w:val="20"/>
                <w:szCs w:val="22"/>
                <w:lang w:eastAsia="zh-CN"/>
              </w:rPr>
              <w:t>2 011</w:t>
            </w:r>
          </w:p>
        </w:tc>
      </w:tr>
    </w:tbl>
    <w:p w:rsidR="00B82873" w:rsidRPr="00875E94" w:rsidRDefault="00B82873" w:rsidP="0078031A">
      <w:pPr>
        <w:pStyle w:val="TableNo"/>
        <w:spacing w:before="480"/>
      </w:pPr>
      <w:r w:rsidRPr="00875E94">
        <w:t xml:space="preserve">ТАБЛИЦА </w:t>
      </w:r>
      <w:r w:rsidR="009431B6" w:rsidRPr="00875E94">
        <w:t>8</w:t>
      </w:r>
      <w:r w:rsidRPr="00875E94">
        <w:t>.1.4.2-1</w:t>
      </w:r>
    </w:p>
    <w:p w:rsidR="00B82873" w:rsidRPr="00875E94" w:rsidRDefault="00B82873" w:rsidP="00B82873">
      <w:pPr>
        <w:pStyle w:val="Tabletitle"/>
        <w:rPr>
          <w:rFonts w:asciiTheme="majorBidi" w:hAnsiTheme="majorBidi" w:cstheme="majorBidi"/>
          <w:szCs w:val="24"/>
          <w:lang w:eastAsia="zh-CN"/>
        </w:rPr>
      </w:pPr>
      <w:r w:rsidRPr="00875E94">
        <w:t xml:space="preserve">Распределение загрузок </w:t>
      </w:r>
      <w:r w:rsidR="008809A7" w:rsidRPr="00875E94">
        <w:t xml:space="preserve">Рекомендаций </w:t>
      </w:r>
      <w:r w:rsidRPr="00875E94">
        <w:t>МСЭ-R</w:t>
      </w:r>
    </w:p>
    <w:tbl>
      <w:tblPr>
        <w:tblW w:w="8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48"/>
        <w:gridCol w:w="1449"/>
        <w:gridCol w:w="1449"/>
        <w:gridCol w:w="1448"/>
        <w:gridCol w:w="1449"/>
        <w:gridCol w:w="1449"/>
      </w:tblGrid>
      <w:tr w:rsidR="00B82873" w:rsidRPr="008809A7" w:rsidTr="00B82873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СЕРИЯ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2013 г</w:t>
            </w:r>
            <w:r w:rsidR="008809A7" w:rsidRPr="008809A7">
              <w:rPr>
                <w:sz w:val="20"/>
                <w:szCs w:val="22"/>
                <w:lang w:val="ru-RU" w:eastAsia="zh-CN"/>
              </w:rPr>
              <w:t>.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2014 г</w:t>
            </w:r>
            <w:r w:rsidR="008809A7" w:rsidRPr="008809A7">
              <w:rPr>
                <w:sz w:val="20"/>
                <w:szCs w:val="22"/>
                <w:lang w:val="ru-RU" w:eastAsia="zh-CN"/>
              </w:rPr>
              <w:t>.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2015 г</w:t>
            </w:r>
            <w:r w:rsidR="008809A7" w:rsidRPr="008809A7">
              <w:rPr>
                <w:sz w:val="20"/>
                <w:szCs w:val="22"/>
                <w:lang w:val="ru-RU" w:eastAsia="zh-CN"/>
              </w:rPr>
              <w:t>.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Всего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%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P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1 474 978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1 355 667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997 851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3 828 496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35,7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BT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678 265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594 916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432 080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1 705 261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15,9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M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619 938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544 416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458 858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1 623 212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15,1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SM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384 600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336 767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309 149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1 030 516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9,6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BS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323 804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315 991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230 649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870 444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8,1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F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270 692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254 728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222 474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747 894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7,0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171 095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124 307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108 522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403 924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3,8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BO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39 365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25 336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29 521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94 222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0,9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SA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29 350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29 885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32 827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92 062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0,9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RS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28 490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22 725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32 220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83 435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0,8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V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29 038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25 437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19 552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74 027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0,7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TF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19 708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15 209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20 242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55 159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0,5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SF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19 738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15 383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20 007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55 128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0,5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BR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12 627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9 239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12 321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34 187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0,3</w:t>
            </w:r>
          </w:p>
        </w:tc>
      </w:tr>
      <w:tr w:rsidR="009431B6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RA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9 283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7 879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10 083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27 245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0,3</w:t>
            </w:r>
          </w:p>
        </w:tc>
      </w:tr>
      <w:tr w:rsidR="009431B6" w:rsidRPr="008809A7" w:rsidTr="00AA75C1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</w:tcPr>
          <w:p w:rsidR="009431B6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SNG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4 809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2 929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3 930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11 668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431B6" w:rsidRPr="008809A7" w:rsidRDefault="009431B6" w:rsidP="00AA75C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0,1</w:t>
            </w:r>
          </w:p>
        </w:tc>
      </w:tr>
      <w:tr w:rsidR="00B82873" w:rsidRPr="008809A7" w:rsidTr="00620CE5">
        <w:trPr>
          <w:trHeight w:val="315"/>
          <w:jc w:val="center"/>
        </w:trPr>
        <w:tc>
          <w:tcPr>
            <w:tcW w:w="8692" w:type="dxa"/>
            <w:gridSpan w:val="6"/>
            <w:shd w:val="clear" w:color="auto" w:fill="auto"/>
            <w:noWrap/>
            <w:vAlign w:val="bottom"/>
          </w:tcPr>
          <w:p w:rsidR="00B82873" w:rsidRPr="008809A7" w:rsidRDefault="00B82873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B82873" w:rsidRPr="008809A7" w:rsidTr="00AA75C1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ВСЕГО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4 11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5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 xml:space="preserve"> 7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80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3 68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0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 xml:space="preserve"> 8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14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82873" w:rsidRPr="008809A7" w:rsidRDefault="005F6FDC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 xml:space="preserve">2 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>9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40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 xml:space="preserve"> 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286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5F6FDC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10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 xml:space="preserve"> 7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36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 xml:space="preserve"> 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880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100,0</w:t>
            </w:r>
          </w:p>
        </w:tc>
      </w:tr>
      <w:tr w:rsidR="00F763D1" w:rsidRPr="008809A7" w:rsidTr="00AA75C1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</w:tcPr>
          <w:p w:rsidR="00F763D1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 xml:space="preserve">% </w:t>
            </w:r>
            <w:r w:rsidR="00EE6944" w:rsidRPr="008809A7">
              <w:rPr>
                <w:b/>
                <w:bCs/>
                <w:sz w:val="20"/>
                <w:szCs w:val="22"/>
                <w:lang w:eastAsia="zh-CN"/>
              </w:rPr>
              <w:t xml:space="preserve">за 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год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F763D1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38,3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F763D1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34,3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763D1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27,4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F763D1" w:rsidRPr="008809A7" w:rsidRDefault="009431B6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100,0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F763D1" w:rsidRPr="008809A7" w:rsidRDefault="00F763D1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</w:p>
        </w:tc>
      </w:tr>
    </w:tbl>
    <w:p w:rsidR="0078031A" w:rsidRPr="00875E94" w:rsidRDefault="0078031A" w:rsidP="0078031A">
      <w:pPr>
        <w:pStyle w:val="Heading4"/>
      </w:pPr>
      <w:r w:rsidRPr="00875E94">
        <w:lastRenderedPageBreak/>
        <w:t>8.1.4.2</w:t>
      </w:r>
      <w:r w:rsidRPr="00875E94">
        <w:tab/>
        <w:t>Рекомендации МСЭ-R</w:t>
      </w:r>
    </w:p>
    <w:p w:rsidR="0078031A" w:rsidRPr="00875E94" w:rsidRDefault="0078031A" w:rsidP="0078031A">
      <w:pPr>
        <w:rPr>
          <w:rFonts w:asciiTheme="majorBidi" w:hAnsiTheme="majorBidi" w:cstheme="majorBidi"/>
          <w:szCs w:val="24"/>
          <w:lang w:eastAsia="zh-CN"/>
        </w:rPr>
      </w:pPr>
      <w:r w:rsidRPr="00875E94">
        <w:rPr>
          <w:szCs w:val="24"/>
          <w:lang w:eastAsia="zh-CN"/>
        </w:rPr>
        <w:t xml:space="preserve">В результате </w:t>
      </w:r>
      <w:r w:rsidRPr="00875E94">
        <w:t>политики предоставления бесплатного доступа Рекомендации МСЭ-R распространяются по всему миру, становясь универсальными справочными документами и достигая всех адресатов независимо от их экономического положения. За 36 месяцев (с января 2013 г. по декабрь 2015 г.) было зарегистрировано более десяти миллионов загрузок Рекомендаций МСЭ-R с веб-сайта МСЭ.</w:t>
      </w:r>
      <w:r w:rsidRPr="00875E94">
        <w:rPr>
          <w:szCs w:val="24"/>
          <w:lang w:eastAsia="zh-CN"/>
        </w:rPr>
        <w:t xml:space="preserve"> В Таблице 8.1.4.2-1 приведено их распределение по годам и сериям. В настоящее время действующими являются 1155 Рекомендаций МСЭ-R, таким образом среднее количество загрузок одной Рекомендации составляет примерно 9300</w:t>
      </w:r>
      <w:r w:rsidRPr="00875E94">
        <w:rPr>
          <w:rFonts w:asciiTheme="majorBidi" w:hAnsiTheme="majorBidi" w:cstheme="majorBidi"/>
          <w:szCs w:val="24"/>
          <w:lang w:eastAsia="zh-CN"/>
        </w:rPr>
        <w:t xml:space="preserve">. </w:t>
      </w:r>
    </w:p>
    <w:p w:rsidR="00B82873" w:rsidRPr="00875E94" w:rsidRDefault="00EE6944" w:rsidP="00EE6944">
      <w:pPr>
        <w:pStyle w:val="Heading4"/>
      </w:pPr>
      <w:r w:rsidRPr="00875E94">
        <w:t>8</w:t>
      </w:r>
      <w:r w:rsidR="00B82873" w:rsidRPr="00875E94">
        <w:t>.1.4.3</w:t>
      </w:r>
      <w:r w:rsidR="00B82873" w:rsidRPr="00875E94">
        <w:tab/>
        <w:t>Отчеты МСЭ-R</w:t>
      </w:r>
    </w:p>
    <w:p w:rsidR="00B82873" w:rsidRPr="00875E94" w:rsidRDefault="00B82873" w:rsidP="002C7BCF">
      <w:pPr>
        <w:rPr>
          <w:lang w:eastAsia="zh-CN"/>
        </w:rPr>
      </w:pPr>
      <w:r w:rsidRPr="00875E94">
        <w:rPr>
          <w:lang w:eastAsia="zh-CN"/>
        </w:rPr>
        <w:t xml:space="preserve">Как и рекомендации МСЭ-R, отчеты МСЭ-R </w:t>
      </w:r>
      <w:r w:rsidRPr="00875E94">
        <w:t>распространяются по всему миру, становясь универсальными справочными документами и достигая всех адресатов независимо от их экономического положения</w:t>
      </w:r>
      <w:r w:rsidRPr="00875E94">
        <w:rPr>
          <w:lang w:eastAsia="zh-CN"/>
        </w:rPr>
        <w:t xml:space="preserve">. </w:t>
      </w:r>
      <w:r w:rsidRPr="00875E94">
        <w:t xml:space="preserve">За </w:t>
      </w:r>
      <w:r w:rsidR="00905824" w:rsidRPr="00875E94">
        <w:t>36</w:t>
      </w:r>
      <w:r w:rsidRPr="00875E94">
        <w:t xml:space="preserve"> месяцев (с января 2013 г. по </w:t>
      </w:r>
      <w:r w:rsidR="00905824" w:rsidRPr="00875E94">
        <w:t xml:space="preserve">декабрь </w:t>
      </w:r>
      <w:r w:rsidRPr="00875E94">
        <w:t xml:space="preserve">2015 г.) было зарегистрировано </w:t>
      </w:r>
      <w:r w:rsidR="000A0FDB" w:rsidRPr="00875E94">
        <w:t xml:space="preserve">более </w:t>
      </w:r>
      <w:r w:rsidR="00905824" w:rsidRPr="00875E94">
        <w:t>4,5</w:t>
      </w:r>
      <w:r w:rsidRPr="00875E94">
        <w:t xml:space="preserve"> миллиона загрузок </w:t>
      </w:r>
      <w:r w:rsidR="00905824" w:rsidRPr="00875E94">
        <w:t xml:space="preserve">Рекомендаций МСЭ-R </w:t>
      </w:r>
      <w:r w:rsidRPr="00875E94">
        <w:t xml:space="preserve">с веб-сайта МСЭ. </w:t>
      </w:r>
      <w:r w:rsidRPr="00875E94">
        <w:rPr>
          <w:szCs w:val="24"/>
          <w:lang w:eastAsia="zh-CN"/>
        </w:rPr>
        <w:t>В</w:t>
      </w:r>
      <w:r w:rsidR="002C7BCF" w:rsidRPr="00875E94">
        <w:rPr>
          <w:szCs w:val="24"/>
          <w:lang w:eastAsia="zh-CN"/>
        </w:rPr>
        <w:t> </w:t>
      </w:r>
      <w:r w:rsidRPr="00875E94">
        <w:rPr>
          <w:szCs w:val="24"/>
          <w:lang w:eastAsia="zh-CN"/>
        </w:rPr>
        <w:t>Таблице </w:t>
      </w:r>
      <w:r w:rsidR="00905824" w:rsidRPr="00875E94">
        <w:rPr>
          <w:szCs w:val="24"/>
          <w:lang w:eastAsia="zh-CN"/>
        </w:rPr>
        <w:t>8</w:t>
      </w:r>
      <w:r w:rsidRPr="00875E94">
        <w:rPr>
          <w:szCs w:val="24"/>
          <w:lang w:eastAsia="zh-CN"/>
        </w:rPr>
        <w:t>.1.4.3-1 приведено их распределение по годам и сериям. В настоящее время действующими являются 410 отчетов МСЭ-R, таким образом среднее количество загрузок одного отчета составляет примерно 8000</w:t>
      </w:r>
      <w:r w:rsidRPr="00875E94">
        <w:rPr>
          <w:lang w:eastAsia="zh-CN"/>
        </w:rPr>
        <w:t>.</w:t>
      </w:r>
    </w:p>
    <w:p w:rsidR="00B82873" w:rsidRPr="00875E94" w:rsidRDefault="00B82873" w:rsidP="005F372A">
      <w:pPr>
        <w:pStyle w:val="TableNo"/>
        <w:spacing w:before="240"/>
      </w:pPr>
      <w:r w:rsidRPr="00875E94">
        <w:t xml:space="preserve">ТАБЛИЦА </w:t>
      </w:r>
      <w:r w:rsidR="000A0FDB" w:rsidRPr="00875E94">
        <w:t>8</w:t>
      </w:r>
      <w:r w:rsidRPr="00875E94">
        <w:t>.1.4.3-1</w:t>
      </w:r>
    </w:p>
    <w:p w:rsidR="00B82873" w:rsidRPr="00875E94" w:rsidRDefault="00B82873" w:rsidP="00B82873">
      <w:pPr>
        <w:pStyle w:val="Tabletitle"/>
        <w:rPr>
          <w:rFonts w:asciiTheme="majorBidi" w:hAnsiTheme="majorBidi" w:cstheme="majorBidi"/>
          <w:szCs w:val="24"/>
          <w:lang w:eastAsia="zh-CN"/>
        </w:rPr>
      </w:pPr>
      <w:r w:rsidRPr="00875E94">
        <w:t xml:space="preserve">Распределение загрузок </w:t>
      </w:r>
      <w:r w:rsidR="008809A7" w:rsidRPr="00875E94">
        <w:t xml:space="preserve">Отчетов </w:t>
      </w:r>
      <w:r w:rsidRPr="00875E94">
        <w:t>МСЭ-R</w:t>
      </w:r>
    </w:p>
    <w:tbl>
      <w:tblPr>
        <w:tblW w:w="8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48"/>
        <w:gridCol w:w="1448"/>
        <w:gridCol w:w="1449"/>
        <w:gridCol w:w="1449"/>
        <w:gridCol w:w="1449"/>
        <w:gridCol w:w="1449"/>
      </w:tblGrid>
      <w:tr w:rsidR="00B82873" w:rsidRPr="008809A7" w:rsidTr="00B82873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СЕРИЯ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2013 г</w:t>
            </w:r>
            <w:r w:rsidR="008809A7">
              <w:rPr>
                <w:sz w:val="20"/>
                <w:szCs w:val="22"/>
                <w:lang w:val="ru-RU" w:eastAsia="zh-CN"/>
              </w:rPr>
              <w:t>.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2014 г</w:t>
            </w:r>
            <w:r w:rsidR="008809A7">
              <w:rPr>
                <w:sz w:val="20"/>
                <w:szCs w:val="22"/>
                <w:lang w:val="ru-RU" w:eastAsia="zh-CN"/>
              </w:rPr>
              <w:t>.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2015 г</w:t>
            </w:r>
            <w:r w:rsidR="008809A7">
              <w:rPr>
                <w:sz w:val="20"/>
                <w:szCs w:val="22"/>
                <w:lang w:val="ru-RU" w:eastAsia="zh-CN"/>
              </w:rPr>
              <w:t>.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Всего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B82873">
            <w:pPr>
              <w:pStyle w:val="Tablehead"/>
              <w:rPr>
                <w:sz w:val="20"/>
                <w:szCs w:val="22"/>
                <w:lang w:val="ru-RU" w:eastAsia="zh-CN"/>
              </w:rPr>
            </w:pPr>
            <w:r w:rsidRPr="008809A7">
              <w:rPr>
                <w:sz w:val="20"/>
                <w:szCs w:val="22"/>
                <w:lang w:val="ru-RU" w:eastAsia="zh-CN"/>
              </w:rPr>
              <w:t>%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395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515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745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636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547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33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BT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363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675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342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768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330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089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036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22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3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SM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224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747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293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320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838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18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BS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106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156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835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166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429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9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2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BO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78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104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128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055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311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6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7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P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57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79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93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230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5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27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009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38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95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2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F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17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971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030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31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778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70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779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5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RS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12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049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12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22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47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067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1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RA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8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8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791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23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908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5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SA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690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23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5</w:t>
            </w:r>
          </w:p>
        </w:tc>
      </w:tr>
      <w:tr w:rsidR="00905824" w:rsidRPr="008809A7" w:rsidTr="00AA75C1">
        <w:trPr>
          <w:trHeight w:val="300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SF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695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</w:t>
            </w:r>
            <w:r w:rsidR="005F6FDC"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 </w:t>
            </w: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718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905824" w:rsidRPr="008809A7" w:rsidTr="00AA75C1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proofErr w:type="spellStart"/>
            <w:r w:rsidRPr="008809A7">
              <w:rPr>
                <w:b/>
                <w:bCs/>
                <w:sz w:val="20"/>
                <w:szCs w:val="22"/>
                <w:lang w:eastAsia="zh-CN"/>
              </w:rPr>
              <w:t>BR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ind w:right="227"/>
              <w:jc w:val="right"/>
              <w:rPr>
                <w:rFonts w:asciiTheme="majorBidi" w:hAnsiTheme="majorBidi" w:cstheme="majorBidi"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905824" w:rsidRPr="008809A7" w:rsidRDefault="00905824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</w:pP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  <w:r w:rsidR="005F6FDC"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,</w:t>
            </w:r>
            <w:r w:rsidRPr="008809A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2"/>
              </w:rPr>
              <w:t>0</w:t>
            </w:r>
          </w:p>
        </w:tc>
      </w:tr>
      <w:tr w:rsidR="00B82873" w:rsidRPr="008809A7" w:rsidTr="002C7BCF">
        <w:trPr>
          <w:trHeight w:val="315"/>
          <w:jc w:val="center"/>
        </w:trPr>
        <w:tc>
          <w:tcPr>
            <w:tcW w:w="8692" w:type="dxa"/>
            <w:gridSpan w:val="6"/>
            <w:shd w:val="clear" w:color="auto" w:fill="auto"/>
            <w:noWrap/>
            <w:vAlign w:val="bottom"/>
          </w:tcPr>
          <w:p w:rsidR="00B82873" w:rsidRPr="008809A7" w:rsidRDefault="00B82873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B82873" w:rsidRPr="008809A7" w:rsidTr="00AA75C1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  <w:hideMark/>
          </w:tcPr>
          <w:p w:rsidR="00B82873" w:rsidRPr="008809A7" w:rsidRDefault="00B82873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ВСЕГО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1 29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6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 xml:space="preserve"> 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7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9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1 57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0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 xml:space="preserve"> </w:t>
            </w:r>
            <w:r w:rsidR="005F6FDC" w:rsidRPr="008809A7">
              <w:rPr>
                <w:b/>
                <w:bCs/>
                <w:sz w:val="20"/>
                <w:szCs w:val="22"/>
                <w:lang w:eastAsia="zh-CN"/>
              </w:rPr>
              <w:t>374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5F6FDC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1 788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 xml:space="preserve"> 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477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5F6FDC" w:rsidP="0092632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4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 xml:space="preserve"> 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65</w:t>
            </w:r>
            <w:r w:rsidR="00B82873" w:rsidRPr="008809A7">
              <w:rPr>
                <w:b/>
                <w:bCs/>
                <w:sz w:val="20"/>
                <w:szCs w:val="22"/>
                <w:lang w:eastAsia="zh-CN"/>
              </w:rPr>
              <w:t>5 6</w:t>
            </w:r>
            <w:r w:rsidRPr="008809A7">
              <w:rPr>
                <w:b/>
                <w:bCs/>
                <w:sz w:val="20"/>
                <w:szCs w:val="22"/>
                <w:lang w:eastAsia="zh-CN"/>
              </w:rPr>
              <w:t>47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B82873" w:rsidRPr="008809A7" w:rsidRDefault="00B82873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100,0</w:t>
            </w:r>
          </w:p>
        </w:tc>
      </w:tr>
      <w:tr w:rsidR="00905824" w:rsidRPr="008809A7" w:rsidTr="00AA75C1">
        <w:trPr>
          <w:trHeight w:val="315"/>
          <w:jc w:val="center"/>
        </w:trPr>
        <w:tc>
          <w:tcPr>
            <w:tcW w:w="1448" w:type="dxa"/>
            <w:shd w:val="clear" w:color="auto" w:fill="auto"/>
            <w:noWrap/>
          </w:tcPr>
          <w:p w:rsidR="00905824" w:rsidRPr="008809A7" w:rsidRDefault="00905824" w:rsidP="00AA75C1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% за год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905824" w:rsidRPr="008809A7" w:rsidRDefault="005F6FDC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27,9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05824" w:rsidRPr="008809A7" w:rsidRDefault="005F6FDC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33,7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05824" w:rsidRPr="008809A7" w:rsidRDefault="005F6FDC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38,4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05824" w:rsidRPr="008809A7" w:rsidRDefault="005F6FDC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  <w:r w:rsidRPr="008809A7">
              <w:rPr>
                <w:b/>
                <w:bCs/>
                <w:sz w:val="20"/>
                <w:szCs w:val="22"/>
                <w:lang w:eastAsia="zh-CN"/>
              </w:rPr>
              <w:t>100,0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905824" w:rsidRPr="008809A7" w:rsidRDefault="00905824" w:rsidP="00926323">
            <w:pPr>
              <w:pStyle w:val="Tabletext"/>
              <w:jc w:val="center"/>
              <w:rPr>
                <w:b/>
                <w:bCs/>
                <w:sz w:val="20"/>
                <w:szCs w:val="22"/>
                <w:lang w:eastAsia="zh-CN"/>
              </w:rPr>
            </w:pPr>
          </w:p>
        </w:tc>
      </w:tr>
    </w:tbl>
    <w:p w:rsidR="00B82873" w:rsidRPr="00875E94" w:rsidRDefault="005F6FDC" w:rsidP="00B82873">
      <w:pPr>
        <w:pStyle w:val="Heading4"/>
      </w:pPr>
      <w:r w:rsidRPr="00875E94">
        <w:t>8</w:t>
      </w:r>
      <w:r w:rsidR="00B82873" w:rsidRPr="00875E94">
        <w:t>.1.4.4</w:t>
      </w:r>
      <w:r w:rsidR="00B82873" w:rsidRPr="00875E94">
        <w:tab/>
        <w:t>Справочники по управлению использованием радиочастотного спектра</w:t>
      </w:r>
    </w:p>
    <w:p w:rsidR="00B82873" w:rsidRPr="00875E94" w:rsidRDefault="00B82873" w:rsidP="005F6FDC">
      <w:r w:rsidRPr="00875E94">
        <w:t>Со времени принятия Советом 2013 года Решения продолжился рост количества загрузок, что отражено в Таблице </w:t>
      </w:r>
      <w:r w:rsidR="005F6FDC" w:rsidRPr="00875E94">
        <w:t>8</w:t>
      </w:r>
      <w:r w:rsidRPr="00875E94">
        <w:t>.1.4.4-1.</w:t>
      </w:r>
    </w:p>
    <w:p w:rsidR="00B82873" w:rsidRPr="00875E94" w:rsidRDefault="00B82873" w:rsidP="005F372A">
      <w:pPr>
        <w:pStyle w:val="TableNo"/>
        <w:spacing w:before="240"/>
      </w:pPr>
      <w:r w:rsidRPr="00875E94">
        <w:lastRenderedPageBreak/>
        <w:t xml:space="preserve">ТАБЛИЦА </w:t>
      </w:r>
      <w:r w:rsidR="005F6FDC" w:rsidRPr="00875E94">
        <w:t>8</w:t>
      </w:r>
      <w:r w:rsidRPr="00875E94">
        <w:t>.1.4.4-1</w:t>
      </w:r>
    </w:p>
    <w:p w:rsidR="00B82873" w:rsidRPr="00875E94" w:rsidRDefault="00B82873" w:rsidP="00B82873">
      <w:pPr>
        <w:pStyle w:val="Tabletitle"/>
        <w:rPr>
          <w:bCs/>
        </w:rPr>
      </w:pPr>
      <w:r w:rsidRPr="00875E94">
        <w:rPr>
          <w:bCs/>
        </w:rPr>
        <w:t xml:space="preserve">Распределение загрузок </w:t>
      </w:r>
      <w:r w:rsidRPr="00875E94">
        <w:t>справочников МСЭ-R по управлению использованием спектра и контролю за использованием спектра</w:t>
      </w:r>
    </w:p>
    <w:tbl>
      <w:tblPr>
        <w:tblW w:w="96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1926"/>
        <w:gridCol w:w="1842"/>
        <w:gridCol w:w="1335"/>
      </w:tblGrid>
      <w:tr w:rsidR="005F6FDC" w:rsidRPr="008809A7" w:rsidTr="005F372A">
        <w:trPr>
          <w:trHeight w:val="915"/>
          <w:jc w:val="center"/>
        </w:trPr>
        <w:tc>
          <w:tcPr>
            <w:tcW w:w="4596" w:type="dxa"/>
            <w:vAlign w:val="center"/>
            <w:hideMark/>
          </w:tcPr>
          <w:p w:rsidR="005F6FDC" w:rsidRPr="008809A7" w:rsidRDefault="005F6FDC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Справочник</w:t>
            </w:r>
          </w:p>
        </w:tc>
        <w:tc>
          <w:tcPr>
            <w:tcW w:w="1926" w:type="dxa"/>
            <w:vAlign w:val="center"/>
            <w:hideMark/>
          </w:tcPr>
          <w:p w:rsidR="005F6FDC" w:rsidRPr="008809A7" w:rsidRDefault="005F6FDC" w:rsidP="002C7BCF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 xml:space="preserve">Продано 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br/>
            </w:r>
            <w:r w:rsidRPr="008809A7">
              <w:rPr>
                <w:sz w:val="20"/>
                <w:szCs w:val="22"/>
                <w:lang w:val="ru-RU"/>
              </w:rPr>
              <w:t>с 2005 г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Pr="008809A7">
              <w:rPr>
                <w:sz w:val="20"/>
                <w:szCs w:val="22"/>
                <w:lang w:val="ru-RU"/>
              </w:rPr>
              <w:t xml:space="preserve"> по </w:t>
            </w:r>
            <w:proofErr w:type="spellStart"/>
            <w:r w:rsidRPr="008809A7">
              <w:rPr>
                <w:sz w:val="20"/>
                <w:szCs w:val="22"/>
                <w:lang w:val="ru-RU"/>
              </w:rPr>
              <w:t>II</w:t>
            </w:r>
            <w:proofErr w:type="spellEnd"/>
            <w:r w:rsidRPr="008809A7">
              <w:rPr>
                <w:sz w:val="20"/>
                <w:szCs w:val="22"/>
                <w:lang w:val="ru-RU"/>
              </w:rPr>
              <w:t> кв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="002C7BCF" w:rsidRPr="008809A7">
              <w:rPr>
                <w:rFonts w:asciiTheme="minorHAnsi" w:hAnsiTheme="minorHAnsi"/>
                <w:sz w:val="20"/>
                <w:szCs w:val="22"/>
                <w:lang w:val="ru-RU"/>
              </w:rPr>
              <w:t> </w:t>
            </w:r>
            <w:r w:rsidRPr="008809A7">
              <w:rPr>
                <w:sz w:val="20"/>
                <w:szCs w:val="22"/>
                <w:lang w:val="ru-RU"/>
              </w:rPr>
              <w:t>2013 г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Pr="008809A7">
              <w:rPr>
                <w:rStyle w:val="Artref"/>
                <w:sz w:val="20"/>
                <w:szCs w:val="22"/>
                <w:lang w:val="ru-RU"/>
              </w:rPr>
              <w:t xml:space="preserve"> </w:t>
            </w:r>
            <w:r w:rsidRPr="008809A7">
              <w:rPr>
                <w:rStyle w:val="FootnoteReference"/>
                <w:rFonts w:asciiTheme="majorBidi" w:hAnsiTheme="majorBidi" w:cstheme="majorBidi"/>
                <w:b w:val="0"/>
                <w:bCs/>
              </w:rPr>
              <w:footnoteReference w:id="2"/>
            </w:r>
          </w:p>
        </w:tc>
        <w:tc>
          <w:tcPr>
            <w:tcW w:w="1842" w:type="dxa"/>
            <w:vAlign w:val="center"/>
            <w:hideMark/>
          </w:tcPr>
          <w:p w:rsidR="005F6FDC" w:rsidRPr="008809A7" w:rsidRDefault="005F6FDC" w:rsidP="002C7BCF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 xml:space="preserve">Продано 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br/>
            </w:r>
            <w:r w:rsidRPr="008809A7">
              <w:rPr>
                <w:sz w:val="20"/>
                <w:szCs w:val="22"/>
                <w:lang w:val="ru-RU"/>
              </w:rPr>
              <w:t xml:space="preserve">с </w:t>
            </w:r>
            <w:proofErr w:type="spellStart"/>
            <w:r w:rsidRPr="008809A7">
              <w:rPr>
                <w:sz w:val="20"/>
                <w:szCs w:val="22"/>
                <w:lang w:val="ru-RU"/>
              </w:rPr>
              <w:t>III</w:t>
            </w:r>
            <w:proofErr w:type="spellEnd"/>
            <w:r w:rsidRPr="008809A7">
              <w:rPr>
                <w:sz w:val="20"/>
                <w:szCs w:val="22"/>
                <w:lang w:val="ru-RU"/>
              </w:rPr>
              <w:t> кв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Pr="008809A7">
              <w:rPr>
                <w:sz w:val="20"/>
                <w:szCs w:val="22"/>
                <w:lang w:val="ru-RU"/>
              </w:rPr>
              <w:t xml:space="preserve"> 2013 г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Pr="008809A7">
              <w:rPr>
                <w:sz w:val="20"/>
                <w:szCs w:val="22"/>
                <w:lang w:val="ru-RU"/>
              </w:rPr>
              <w:t xml:space="preserve"> по</w:t>
            </w:r>
            <w:r w:rsidR="002C7BCF" w:rsidRPr="008809A7">
              <w:rPr>
                <w:rFonts w:asciiTheme="minorHAnsi" w:hAnsiTheme="minorHAnsi"/>
                <w:sz w:val="20"/>
                <w:szCs w:val="22"/>
                <w:lang w:val="ru-RU"/>
              </w:rPr>
              <w:t> </w:t>
            </w:r>
            <w:proofErr w:type="spellStart"/>
            <w:r w:rsidRPr="008809A7">
              <w:rPr>
                <w:rFonts w:asciiTheme="majorBidi" w:hAnsiTheme="majorBidi" w:cstheme="majorBidi"/>
                <w:sz w:val="20"/>
                <w:szCs w:val="22"/>
                <w:lang w:val="ru-RU"/>
              </w:rPr>
              <w:t>IV</w:t>
            </w:r>
            <w:proofErr w:type="spellEnd"/>
            <w:r w:rsidRPr="008809A7">
              <w:rPr>
                <w:rFonts w:asciiTheme="majorBidi" w:hAnsiTheme="majorBidi" w:cstheme="majorBidi"/>
                <w:sz w:val="20"/>
                <w:szCs w:val="22"/>
                <w:lang w:val="ru-RU"/>
              </w:rPr>
              <w:t> </w:t>
            </w:r>
            <w:r w:rsidRPr="008809A7">
              <w:rPr>
                <w:sz w:val="20"/>
                <w:szCs w:val="22"/>
                <w:lang w:val="ru-RU"/>
              </w:rPr>
              <w:t>кв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Pr="008809A7">
              <w:rPr>
                <w:sz w:val="20"/>
                <w:szCs w:val="22"/>
                <w:lang w:val="ru-RU"/>
              </w:rPr>
              <w:t xml:space="preserve"> 2015 г</w:t>
            </w:r>
            <w:r w:rsidRPr="008809A7">
              <w:rPr>
                <w:rFonts w:asciiTheme="minorHAnsi" w:hAnsiTheme="minorHAnsi"/>
                <w:sz w:val="20"/>
                <w:szCs w:val="22"/>
                <w:lang w:val="ru-RU"/>
              </w:rPr>
              <w:t>.</w:t>
            </w:r>
            <w:r w:rsidRPr="008809A7">
              <w:rPr>
                <w:rStyle w:val="FootnoteReference"/>
                <w:rFonts w:asciiTheme="majorBidi" w:hAnsiTheme="majorBidi" w:cstheme="majorBidi"/>
                <w:b w:val="0"/>
                <w:bCs/>
              </w:rPr>
              <w:footnoteReference w:id="3"/>
            </w:r>
          </w:p>
        </w:tc>
        <w:tc>
          <w:tcPr>
            <w:tcW w:w="1335" w:type="dxa"/>
            <w:vAlign w:val="center"/>
            <w:hideMark/>
          </w:tcPr>
          <w:p w:rsidR="005F6FDC" w:rsidRPr="008809A7" w:rsidRDefault="005F6FDC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8809A7">
              <w:rPr>
                <w:sz w:val="20"/>
                <w:szCs w:val="22"/>
                <w:lang w:val="ru-RU"/>
              </w:rPr>
              <w:t>Количество загрузок</w:t>
            </w:r>
          </w:p>
        </w:tc>
      </w:tr>
      <w:tr w:rsidR="005F6FDC" w:rsidRPr="008809A7" w:rsidTr="005F372A">
        <w:trPr>
          <w:trHeight w:val="510"/>
          <w:jc w:val="center"/>
        </w:trPr>
        <w:tc>
          <w:tcPr>
            <w:tcW w:w="4596" w:type="dxa"/>
            <w:hideMark/>
          </w:tcPr>
          <w:p w:rsidR="005F6FDC" w:rsidRPr="008809A7" w:rsidRDefault="005F6FDC" w:rsidP="005F6FDC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Управление использованием спектра на национальном уровне (издания 2005 и 2015 гг.)</w:t>
            </w:r>
          </w:p>
        </w:tc>
        <w:tc>
          <w:tcPr>
            <w:tcW w:w="1926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488</w:t>
            </w:r>
          </w:p>
        </w:tc>
        <w:tc>
          <w:tcPr>
            <w:tcW w:w="1842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55</w:t>
            </w:r>
          </w:p>
        </w:tc>
        <w:tc>
          <w:tcPr>
            <w:tcW w:w="1335" w:type="dxa"/>
            <w:vAlign w:val="bottom"/>
            <w:hideMark/>
          </w:tcPr>
          <w:p w:rsidR="005F6FDC" w:rsidRPr="008809A7" w:rsidRDefault="000A0FDB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</w:t>
            </w:r>
            <w:r w:rsidR="005F6FDC" w:rsidRPr="008809A7">
              <w:rPr>
                <w:sz w:val="20"/>
                <w:szCs w:val="22"/>
              </w:rPr>
              <w:t xml:space="preserve"> 0</w:t>
            </w:r>
            <w:r w:rsidRPr="008809A7">
              <w:rPr>
                <w:sz w:val="20"/>
                <w:szCs w:val="22"/>
              </w:rPr>
              <w:t>09</w:t>
            </w:r>
          </w:p>
        </w:tc>
      </w:tr>
      <w:tr w:rsidR="005F6FDC" w:rsidRPr="008809A7" w:rsidTr="005F372A">
        <w:trPr>
          <w:trHeight w:val="675"/>
          <w:jc w:val="center"/>
        </w:trPr>
        <w:tc>
          <w:tcPr>
            <w:tcW w:w="4596" w:type="dxa"/>
            <w:hideMark/>
          </w:tcPr>
          <w:p w:rsidR="005F6FDC" w:rsidRPr="008809A7" w:rsidRDefault="005F6FDC" w:rsidP="00B82873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Компьютерные технологии управления использованием радиочастотного спектра (</w:t>
            </w:r>
            <w:proofErr w:type="spellStart"/>
            <w:r w:rsidRPr="008809A7">
              <w:rPr>
                <w:sz w:val="20"/>
                <w:szCs w:val="22"/>
              </w:rPr>
              <w:t>CAT</w:t>
            </w:r>
            <w:proofErr w:type="spellEnd"/>
            <w:r w:rsidRPr="008809A7">
              <w:rPr>
                <w:sz w:val="20"/>
                <w:szCs w:val="22"/>
              </w:rPr>
              <w:t>) (издания 2005 и 2015 гг.)</w:t>
            </w:r>
          </w:p>
        </w:tc>
        <w:tc>
          <w:tcPr>
            <w:tcW w:w="1926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257</w:t>
            </w:r>
          </w:p>
        </w:tc>
        <w:tc>
          <w:tcPr>
            <w:tcW w:w="1842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18</w:t>
            </w:r>
          </w:p>
        </w:tc>
        <w:tc>
          <w:tcPr>
            <w:tcW w:w="1335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1 130</w:t>
            </w:r>
          </w:p>
        </w:tc>
      </w:tr>
      <w:tr w:rsidR="005F6FDC" w:rsidRPr="008809A7" w:rsidTr="005F372A">
        <w:trPr>
          <w:trHeight w:val="255"/>
          <w:jc w:val="center"/>
        </w:trPr>
        <w:tc>
          <w:tcPr>
            <w:tcW w:w="4596" w:type="dxa"/>
            <w:hideMark/>
          </w:tcPr>
          <w:p w:rsidR="005F6FDC" w:rsidRPr="008809A7" w:rsidRDefault="005F6FDC" w:rsidP="005F6FDC">
            <w:pPr>
              <w:pStyle w:val="Tabletex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Контроль за использованием спектра, издание 2011 г.</w:t>
            </w:r>
          </w:p>
        </w:tc>
        <w:tc>
          <w:tcPr>
            <w:tcW w:w="1926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139</w:t>
            </w:r>
          </w:p>
        </w:tc>
        <w:tc>
          <w:tcPr>
            <w:tcW w:w="1842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106</w:t>
            </w:r>
          </w:p>
        </w:tc>
        <w:tc>
          <w:tcPr>
            <w:tcW w:w="1335" w:type="dxa"/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sz w:val="20"/>
                <w:szCs w:val="22"/>
              </w:rPr>
            </w:pPr>
            <w:r w:rsidRPr="008809A7">
              <w:rPr>
                <w:sz w:val="20"/>
                <w:szCs w:val="22"/>
              </w:rPr>
              <w:t>5 108</w:t>
            </w:r>
          </w:p>
        </w:tc>
      </w:tr>
      <w:tr w:rsidR="005F6FDC" w:rsidRPr="008809A7" w:rsidTr="005F372A">
        <w:trPr>
          <w:trHeight w:val="53"/>
          <w:jc w:val="center"/>
        </w:trPr>
        <w:tc>
          <w:tcPr>
            <w:tcW w:w="4596" w:type="dxa"/>
            <w:tcBorders>
              <w:bottom w:val="single" w:sz="2" w:space="0" w:color="auto"/>
            </w:tcBorders>
            <w:hideMark/>
          </w:tcPr>
          <w:p w:rsidR="005F6FDC" w:rsidRPr="008809A7" w:rsidRDefault="005F6FDC" w:rsidP="00B82873">
            <w:pPr>
              <w:pStyle w:val="Tabletext"/>
              <w:rPr>
                <w:b/>
                <w:bCs/>
                <w:sz w:val="20"/>
                <w:szCs w:val="22"/>
              </w:rPr>
            </w:pPr>
            <w:r w:rsidRPr="008809A7">
              <w:rPr>
                <w:b/>
                <w:bCs/>
                <w:sz w:val="20"/>
                <w:szCs w:val="22"/>
              </w:rPr>
              <w:t>Всего</w:t>
            </w:r>
          </w:p>
        </w:tc>
        <w:tc>
          <w:tcPr>
            <w:tcW w:w="1926" w:type="dxa"/>
            <w:tcBorders>
              <w:bottom w:val="single" w:sz="2" w:space="0" w:color="auto"/>
            </w:tcBorders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b/>
                <w:bCs/>
                <w:sz w:val="20"/>
                <w:szCs w:val="22"/>
              </w:rPr>
            </w:pPr>
            <w:r w:rsidRPr="008809A7">
              <w:rPr>
                <w:b/>
                <w:bCs/>
                <w:sz w:val="20"/>
                <w:szCs w:val="22"/>
              </w:rPr>
              <w:t>884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b/>
                <w:bCs/>
                <w:sz w:val="20"/>
                <w:szCs w:val="22"/>
              </w:rPr>
            </w:pPr>
            <w:r w:rsidRPr="008809A7">
              <w:rPr>
                <w:b/>
                <w:bCs/>
                <w:sz w:val="20"/>
                <w:szCs w:val="22"/>
              </w:rPr>
              <w:t>179</w:t>
            </w:r>
          </w:p>
        </w:tc>
        <w:tc>
          <w:tcPr>
            <w:tcW w:w="1335" w:type="dxa"/>
            <w:tcBorders>
              <w:bottom w:val="single" w:sz="2" w:space="0" w:color="auto"/>
            </w:tcBorders>
            <w:vAlign w:val="bottom"/>
            <w:hideMark/>
          </w:tcPr>
          <w:p w:rsidR="005F6FDC" w:rsidRPr="008809A7" w:rsidRDefault="005F6FDC" w:rsidP="00AA75C1">
            <w:pPr>
              <w:pStyle w:val="Tabletext"/>
              <w:ind w:right="567"/>
              <w:jc w:val="right"/>
              <w:rPr>
                <w:b/>
                <w:bCs/>
                <w:sz w:val="20"/>
                <w:szCs w:val="22"/>
              </w:rPr>
            </w:pPr>
            <w:r w:rsidRPr="008809A7">
              <w:rPr>
                <w:b/>
                <w:bCs/>
                <w:sz w:val="20"/>
                <w:szCs w:val="22"/>
              </w:rPr>
              <w:t>8 247</w:t>
            </w:r>
          </w:p>
        </w:tc>
      </w:tr>
    </w:tbl>
    <w:p w:rsidR="00B82873" w:rsidRPr="00875E94" w:rsidRDefault="00B82873" w:rsidP="0078031A">
      <w:r w:rsidRPr="00875E94">
        <w:t>Эти данные показывают весьма положительное воздействие этого решения на распространение справочников МСЭ-R:</w:t>
      </w:r>
    </w:p>
    <w:p w:rsidR="00B82873" w:rsidRPr="00875E94" w:rsidRDefault="00B82873" w:rsidP="00BE13C6">
      <w:pPr>
        <w:pStyle w:val="enumlev1"/>
      </w:pPr>
      <w:r w:rsidRPr="00875E94">
        <w:t>–</w:t>
      </w:r>
      <w:r w:rsidRPr="00875E94">
        <w:tab/>
        <w:t xml:space="preserve">в течение двух </w:t>
      </w:r>
      <w:r w:rsidR="00BE13C6" w:rsidRPr="00875E94">
        <w:t xml:space="preserve">с половиной </w:t>
      </w:r>
      <w:r w:rsidRPr="00875E94">
        <w:t xml:space="preserve">лет </w:t>
      </w:r>
      <w:r w:rsidR="00BE13C6" w:rsidRPr="00875E94">
        <w:t xml:space="preserve">(с июня 2013 г. по декабрь 2015 г.) </w:t>
      </w:r>
      <w:r w:rsidRPr="00875E94">
        <w:t xml:space="preserve">количество загрузок </w:t>
      </w:r>
      <w:r w:rsidR="00BE13C6" w:rsidRPr="00875E94">
        <w:t xml:space="preserve">почти в десять раз </w:t>
      </w:r>
      <w:r w:rsidRPr="00875E94">
        <w:t xml:space="preserve">превысило количество справочников, проданных за </w:t>
      </w:r>
      <w:r w:rsidR="00BE13C6" w:rsidRPr="00875E94">
        <w:t xml:space="preserve">предыдущие </w:t>
      </w:r>
      <w:r w:rsidRPr="00875E94">
        <w:t xml:space="preserve">восемь </w:t>
      </w:r>
      <w:r w:rsidR="00BE13C6" w:rsidRPr="00875E94">
        <w:t xml:space="preserve">с половиной </w:t>
      </w:r>
      <w:r w:rsidRPr="00875E94">
        <w:t>лет;</w:t>
      </w:r>
    </w:p>
    <w:p w:rsidR="00B82873" w:rsidRPr="00875E94" w:rsidRDefault="00B82873" w:rsidP="00BE13C6">
      <w:pPr>
        <w:pStyle w:val="enumlev1"/>
      </w:pPr>
      <w:r w:rsidRPr="00875E94">
        <w:t>–</w:t>
      </w:r>
      <w:r w:rsidRPr="00875E94">
        <w:tab/>
        <w:t xml:space="preserve">с момента принятия решения о политике бесплатного доступа на долю загрузок приходится </w:t>
      </w:r>
      <w:r w:rsidR="00BE13C6" w:rsidRPr="00875E94">
        <w:t xml:space="preserve">почти </w:t>
      </w:r>
      <w:r w:rsidRPr="00875E94">
        <w:t>9</w:t>
      </w:r>
      <w:r w:rsidR="00BE13C6" w:rsidRPr="00875E94">
        <w:t>8</w:t>
      </w:r>
      <w:r w:rsidRPr="00875E94">
        <w:t>% от общего количества доставок;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эти загрузки производятся во всех 193 Государствах-Членах.</w:t>
      </w:r>
    </w:p>
    <w:p w:rsidR="00B82873" w:rsidRPr="00875E94" w:rsidRDefault="00BE13C6" w:rsidP="00BE13C6">
      <w:pPr>
        <w:pStyle w:val="Heading3"/>
      </w:pPr>
      <w:bookmarkStart w:id="27" w:name="_Toc427075594"/>
      <w:r w:rsidRPr="00875E94">
        <w:t>8</w:t>
      </w:r>
      <w:r w:rsidR="00B82873" w:rsidRPr="00875E94">
        <w:t>.1.5</w:t>
      </w:r>
      <w:r w:rsidR="00B82873" w:rsidRPr="00875E94">
        <w:tab/>
        <w:t xml:space="preserve">Инструменты </w:t>
      </w:r>
      <w:r w:rsidRPr="00875E94">
        <w:t xml:space="preserve">навигации и </w:t>
      </w:r>
      <w:r w:rsidR="00B82873" w:rsidRPr="00875E94">
        <w:t>анализа для электронных публикаций МСЭ-R</w:t>
      </w:r>
      <w:bookmarkEnd w:id="27"/>
    </w:p>
    <w:p w:rsidR="00B82873" w:rsidRPr="00875E94" w:rsidRDefault="00BE13C6" w:rsidP="00B82873">
      <w:pPr>
        <w:pStyle w:val="Heading4"/>
      </w:pPr>
      <w:r w:rsidRPr="00875E94">
        <w:t>8</w:t>
      </w:r>
      <w:r w:rsidR="00B82873" w:rsidRPr="00875E94">
        <w:t>.1.5.1</w:t>
      </w:r>
      <w:r w:rsidR="00B82873" w:rsidRPr="00875E94">
        <w:tab/>
        <w:t>Инструменты Регламента радиосвязи</w:t>
      </w:r>
    </w:p>
    <w:p w:rsidR="00B82873" w:rsidRPr="00875E94" w:rsidRDefault="00B82873" w:rsidP="0078031A">
      <w:r w:rsidRPr="00875E94">
        <w:t>Бюро разрабатывает инструменты программного обеспечения для упрощения использования и</w:t>
      </w:r>
      <w:r w:rsidR="00D84B84" w:rsidRPr="00875E94">
        <w:t> </w:t>
      </w:r>
      <w:r w:rsidR="00566D36" w:rsidRPr="00875E94">
        <w:t>анализа</w:t>
      </w:r>
      <w:r w:rsidRPr="00875E94">
        <w:t xml:space="preserve"> Регламента радиосвязи:</w:t>
      </w:r>
    </w:p>
    <w:p w:rsidR="00566D36" w:rsidRPr="00875E94" w:rsidRDefault="00566D36" w:rsidP="00D84B84">
      <w:pPr>
        <w:pStyle w:val="enumlev1"/>
      </w:pPr>
      <w:r w:rsidRPr="00875E94">
        <w:t>a)</w:t>
      </w:r>
      <w:r w:rsidRPr="00875E94">
        <w:tab/>
        <w:t xml:space="preserve">тестовая версия </w:t>
      </w:r>
      <w:r w:rsidRPr="00875E94">
        <w:rPr>
          <w:b/>
          <w:bCs/>
        </w:rPr>
        <w:t>инструмента для навигации в Регламенте радиосвязи</w:t>
      </w:r>
      <w:r w:rsidRPr="00875E94">
        <w:t xml:space="preserve">, который </w:t>
      </w:r>
      <w:r w:rsidR="000A0FDB" w:rsidRPr="00875E94">
        <w:t xml:space="preserve">был </w:t>
      </w:r>
      <w:r w:rsidRPr="00875E94">
        <w:t>бесплатно предоставл</w:t>
      </w:r>
      <w:r w:rsidR="000A0FDB" w:rsidRPr="00875E94">
        <w:t xml:space="preserve">ен </w:t>
      </w:r>
      <w:r w:rsidRPr="00875E94">
        <w:t>(</w:t>
      </w:r>
      <w:hyperlink r:id="rId27" w:history="1">
        <w:r w:rsidRPr="00875E94">
          <w:rPr>
            <w:rStyle w:val="Hyperlink"/>
          </w:rPr>
          <w:t>http://www.itu.int/pub/R-REG-RRX</w:t>
        </w:r>
      </w:hyperlink>
      <w:r w:rsidRPr="00875E94">
        <w:t xml:space="preserve">) перед </w:t>
      </w:r>
      <w:proofErr w:type="spellStart"/>
      <w:r w:rsidRPr="00875E94">
        <w:t>ВКР</w:t>
      </w:r>
      <w:proofErr w:type="spellEnd"/>
      <w:r w:rsidRPr="00875E94">
        <w:t>-15. В</w:t>
      </w:r>
      <w:r w:rsidR="00D84B84" w:rsidRPr="00875E94">
        <w:t> </w:t>
      </w:r>
      <w:r w:rsidRPr="00875E94">
        <w:t>соответствии с полученными отзывами в него были внесены надлежащие усовершенствования. Ожидается, что возможность подписки на этот инструмент и его загрузк</w:t>
      </w:r>
      <w:r w:rsidR="000A0FDB" w:rsidRPr="00875E94">
        <w:t>и</w:t>
      </w:r>
      <w:r w:rsidRPr="00875E94">
        <w:t xml:space="preserve"> буд</w:t>
      </w:r>
      <w:r w:rsidR="000A0FDB" w:rsidRPr="00875E94">
        <w:t>е</w:t>
      </w:r>
      <w:r w:rsidRPr="00875E94">
        <w:t xml:space="preserve">т </w:t>
      </w:r>
      <w:r w:rsidR="000A0FDB" w:rsidRPr="00875E94">
        <w:t xml:space="preserve">предоставлена </w:t>
      </w:r>
      <w:r w:rsidRPr="00875E94">
        <w:t xml:space="preserve">в первом квартале 2016 года. </w:t>
      </w:r>
    </w:p>
    <w:p w:rsidR="00566D36" w:rsidRPr="00875E94" w:rsidRDefault="00566D36" w:rsidP="00D84B84">
      <w:pPr>
        <w:pStyle w:val="enumlev1"/>
      </w:pPr>
      <w:r w:rsidRPr="00875E94">
        <w:t>b)</w:t>
      </w:r>
      <w:r w:rsidRPr="00875E94">
        <w:tab/>
      </w:r>
      <w:r w:rsidR="00B82873" w:rsidRPr="00875E94">
        <w:t xml:space="preserve">инструмент программного обеспечения для проведения подробного </w:t>
      </w:r>
      <w:r w:rsidR="00B82873" w:rsidRPr="00875E94">
        <w:rPr>
          <w:b/>
          <w:bCs/>
        </w:rPr>
        <w:t>поиска и анализа в</w:t>
      </w:r>
      <w:r w:rsidR="00D84B84" w:rsidRPr="00875E94">
        <w:rPr>
          <w:b/>
          <w:bCs/>
        </w:rPr>
        <w:t> </w:t>
      </w:r>
      <w:r w:rsidR="00B82873" w:rsidRPr="00875E94">
        <w:rPr>
          <w:b/>
          <w:bCs/>
        </w:rPr>
        <w:t>Таблице распределения частот</w:t>
      </w:r>
      <w:r w:rsidR="00B82873" w:rsidRPr="00875E94">
        <w:t xml:space="preserve"> Статьи 5 Регламента радиосвязи с возможностью фильтрации и переформатирования по диапазону частот, службе, категории службы, примечаниям, странам и т. д.</w:t>
      </w:r>
      <w:r w:rsidRPr="00875E94">
        <w:t xml:space="preserve"> </w:t>
      </w:r>
    </w:p>
    <w:p w:rsidR="00B82873" w:rsidRPr="00875E94" w:rsidRDefault="00566D36" w:rsidP="00566D36">
      <w:pPr>
        <w:pStyle w:val="enumlev1"/>
      </w:pPr>
      <w:r w:rsidRPr="00875E94">
        <w:tab/>
        <w:t xml:space="preserve">Разработка этого </w:t>
      </w:r>
      <w:r w:rsidR="00B82873" w:rsidRPr="00875E94">
        <w:t>инструмент</w:t>
      </w:r>
      <w:r w:rsidRPr="00875E94">
        <w:t>а</w:t>
      </w:r>
      <w:r w:rsidR="00B82873" w:rsidRPr="00875E94">
        <w:t xml:space="preserve"> близится к завершению. Ожидается, что</w:t>
      </w:r>
      <w:r w:rsidRPr="00875E94">
        <w:t xml:space="preserve"> на него можно будет подписаться в третьем квартале 2016 года, после того как будут внесены изменения, обусловленные решениями </w:t>
      </w:r>
      <w:proofErr w:type="spellStart"/>
      <w:r w:rsidRPr="00875E94">
        <w:t>ВКР</w:t>
      </w:r>
      <w:proofErr w:type="spellEnd"/>
      <w:r w:rsidRPr="00875E94">
        <w:t>-15</w:t>
      </w:r>
      <w:r w:rsidR="00B82873" w:rsidRPr="00875E94">
        <w:t xml:space="preserve">. </w:t>
      </w:r>
    </w:p>
    <w:p w:rsidR="00B82873" w:rsidRPr="00875E94" w:rsidRDefault="00566D36" w:rsidP="00566D36">
      <w:pPr>
        <w:pStyle w:val="Heading4"/>
      </w:pPr>
      <w:r w:rsidRPr="00875E94">
        <w:t>8</w:t>
      </w:r>
      <w:r w:rsidR="00B82873" w:rsidRPr="00875E94">
        <w:t>.1.5.2</w:t>
      </w:r>
      <w:r w:rsidR="00B82873" w:rsidRPr="00875E94">
        <w:tab/>
        <w:t xml:space="preserve">Инструмент осуществления поиска по базе данных </w:t>
      </w:r>
      <w:r w:rsidRPr="00875E94">
        <w:t>документов</w:t>
      </w:r>
      <w:r w:rsidR="00B82873" w:rsidRPr="00875E94">
        <w:t xml:space="preserve"> МСЭ-R</w:t>
      </w:r>
    </w:p>
    <w:p w:rsidR="00B82873" w:rsidRPr="00875E94" w:rsidRDefault="00B82873" w:rsidP="00B82873">
      <w:r w:rsidRPr="00875E94">
        <w:t xml:space="preserve">На своем 19-м собрании </w:t>
      </w:r>
      <w:proofErr w:type="spellStart"/>
      <w:r w:rsidRPr="00875E94">
        <w:t>КГР</w:t>
      </w:r>
      <w:proofErr w:type="spellEnd"/>
      <w:r w:rsidRPr="00875E94">
        <w:t xml:space="preserve"> предложила Директору </w:t>
      </w:r>
      <w:proofErr w:type="spellStart"/>
      <w:r w:rsidRPr="00875E94">
        <w:t>БР</w:t>
      </w:r>
      <w:proofErr w:type="spellEnd"/>
      <w:r w:rsidRPr="00875E94">
        <w:t xml:space="preserve"> разработать, в пределах существующих бюджетных ограничений, базу данных, которая позволяла бы осуществлять поиск </w:t>
      </w:r>
      <w:r w:rsidR="00E36BB4" w:rsidRPr="00875E94">
        <w:t xml:space="preserve">Рекомендаций </w:t>
      </w:r>
      <w:r w:rsidRPr="00875E94">
        <w:t>МСЭ-R и использовать фильтры по категориям, таким как служба(ы) радиосвязи и применимая полоса частот.</w:t>
      </w:r>
    </w:p>
    <w:p w:rsidR="00B82873" w:rsidRPr="00875E94" w:rsidRDefault="00B82873" w:rsidP="00B82873">
      <w:r w:rsidRPr="00875E94">
        <w:lastRenderedPageBreak/>
        <w:t>В апреле 2014 года, учитывая значимость скорейшего внедрения, а также целесообразность расширения этой функции поиска для включения таких документов МСЭ-R, как вопросы, отчеты, справочники и резолюции, Министерство внутренних дел и связи (</w:t>
      </w:r>
      <w:proofErr w:type="spellStart"/>
      <w:r w:rsidRPr="00875E94">
        <w:t>MIC</w:t>
      </w:r>
      <w:proofErr w:type="spellEnd"/>
      <w:r w:rsidRPr="00875E94">
        <w:t xml:space="preserve">) Японии любезно внесло добровольный взнос в размере </w:t>
      </w:r>
      <w:r w:rsidRPr="00875E94">
        <w:rPr>
          <w:lang w:eastAsia="ja-JP"/>
        </w:rPr>
        <w:t xml:space="preserve">290 000 долл. США на поддержку и ускорение разработки этой поисковой базы данных, за которую несет ответственность </w:t>
      </w:r>
      <w:proofErr w:type="spellStart"/>
      <w:r w:rsidRPr="00875E94">
        <w:rPr>
          <w:lang w:eastAsia="ja-JP"/>
        </w:rPr>
        <w:t>БР</w:t>
      </w:r>
      <w:proofErr w:type="spellEnd"/>
      <w:r w:rsidRPr="00875E94">
        <w:rPr>
          <w:lang w:eastAsia="ja-JP"/>
        </w:rPr>
        <w:t xml:space="preserve">, а также на то, чтобы сделать ее доступной для членов МСЭ, включая развивающиеся </w:t>
      </w:r>
      <w:r w:rsidRPr="00875E94">
        <w:t>страны.</w:t>
      </w:r>
    </w:p>
    <w:p w:rsidR="00B82873" w:rsidRPr="00875E94" w:rsidRDefault="00B82873" w:rsidP="00B82873">
      <w:r w:rsidRPr="00875E94">
        <w:t xml:space="preserve">С тех пор при поддержке экспертов из администрации Японии и Департамента </w:t>
      </w:r>
      <w:proofErr w:type="spellStart"/>
      <w:r w:rsidRPr="00875E94">
        <w:t>IS</w:t>
      </w:r>
      <w:proofErr w:type="spellEnd"/>
      <w:r w:rsidRPr="00875E94">
        <w:t xml:space="preserve"> МСЭ был достигнут прогресс в разработке средства поиска в базе данных по документам МСЭ-R одновременно с осуществляемым переходом МСЭ на новую платформу </w:t>
      </w:r>
      <w:proofErr w:type="spellStart"/>
      <w:r w:rsidRPr="00875E94">
        <w:t>Sharepoint</w:t>
      </w:r>
      <w:proofErr w:type="spellEnd"/>
      <w:r w:rsidRPr="00875E94">
        <w:t>.</w:t>
      </w:r>
    </w:p>
    <w:p w:rsidR="00B82873" w:rsidRPr="00875E94" w:rsidRDefault="00B82873" w:rsidP="00D84B84">
      <w:r w:rsidRPr="00875E94">
        <w:t>Работы велись по следующим направлениям: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анализ всех документов МСЭ-R и извлечение поисковых элементов;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 xml:space="preserve">использование новой платформы МСЭ </w:t>
      </w:r>
      <w:proofErr w:type="spellStart"/>
      <w:r w:rsidRPr="00875E94">
        <w:t>Sharepoint</w:t>
      </w:r>
      <w:proofErr w:type="spellEnd"/>
      <w:r w:rsidRPr="00875E94">
        <w:t>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реализация функции синхронизации для сопровождения документов МСЭ-R и их поисковых элементов;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 xml:space="preserve">документальное оформление рабочих процедур с определением функций и обязанностей </w:t>
      </w:r>
      <w:proofErr w:type="spellStart"/>
      <w:r w:rsidRPr="00875E94">
        <w:t>БР</w:t>
      </w:r>
      <w:proofErr w:type="spellEnd"/>
      <w:r w:rsidRPr="00875E94">
        <w:t xml:space="preserve"> МСЭ и ИК/</w:t>
      </w:r>
      <w:proofErr w:type="spellStart"/>
      <w:r w:rsidRPr="00875E94">
        <w:t>РГ</w:t>
      </w:r>
      <w:proofErr w:type="spellEnd"/>
      <w:r w:rsidRPr="00875E94">
        <w:t xml:space="preserve"> МСЭ-R по сопровождению базы данных;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разработка поискового приложения, доступного с мобильных терминалов.</w:t>
      </w:r>
    </w:p>
    <w:p w:rsidR="00E36BB4" w:rsidRPr="00875E94" w:rsidRDefault="00E36BB4" w:rsidP="005F372A">
      <w:r w:rsidRPr="00875E94">
        <w:t xml:space="preserve">В сотрудничестве с Департаментом </w:t>
      </w:r>
      <w:proofErr w:type="spellStart"/>
      <w:r w:rsidRPr="00875E94">
        <w:t>IS</w:t>
      </w:r>
      <w:proofErr w:type="spellEnd"/>
      <w:r w:rsidRPr="00875E94">
        <w:t xml:space="preserve"> МСЭ в октябре 2015 года ведены в эксплуатацию инструменты осуществления поиска по Рекомендациям МСЭ-R и Вопросам МСЭ-R, в ноябре 2015 года стала доступна демонстрационная версия инструмента осуществления поиска по Отчетам МСЭ-R, и</w:t>
      </w:r>
      <w:r w:rsidR="00D84B84" w:rsidRPr="00875E94">
        <w:t> </w:t>
      </w:r>
      <w:r w:rsidRPr="00875E94">
        <w:t xml:space="preserve">ожидается, что во </w:t>
      </w:r>
      <w:proofErr w:type="spellStart"/>
      <w:r w:rsidRPr="00875E94">
        <w:t>II</w:t>
      </w:r>
      <w:proofErr w:type="spellEnd"/>
      <w:r w:rsidRPr="00875E94">
        <w:t xml:space="preserve"> квартале 2016 года </w:t>
      </w:r>
      <w:r w:rsidR="00174843" w:rsidRPr="00875E94">
        <w:t xml:space="preserve">будут предоставлены </w:t>
      </w:r>
      <w:r w:rsidRPr="00875E94">
        <w:t>инструменты осуществления поиска по Резолюциям и Справочникам МСЭ-R.</w:t>
      </w:r>
    </w:p>
    <w:p w:rsidR="00E36BB4" w:rsidRPr="00875E94" w:rsidRDefault="00E36BB4" w:rsidP="00D84B84">
      <w:r w:rsidRPr="00875E94">
        <w:t xml:space="preserve">В настоящее время основной акцент в этой работе делается на создании рабочих процедур, определяющих роли и сферы ответственности </w:t>
      </w:r>
      <w:proofErr w:type="spellStart"/>
      <w:r w:rsidRPr="00875E94">
        <w:t>БР</w:t>
      </w:r>
      <w:proofErr w:type="spellEnd"/>
      <w:r w:rsidRPr="00875E94">
        <w:t xml:space="preserve"> МСЭ и ИК/</w:t>
      </w:r>
      <w:proofErr w:type="spellStart"/>
      <w:r w:rsidRPr="00875E94">
        <w:t>РГ</w:t>
      </w:r>
      <w:proofErr w:type="spellEnd"/>
      <w:r w:rsidRPr="00875E94">
        <w:t xml:space="preserve"> МСЭ-R по поддержанию и ведению этой базы данных. После проверки всех функциональных возможностей базы данных и механизма ее</w:t>
      </w:r>
      <w:r w:rsidR="00D84B84" w:rsidRPr="00875E94">
        <w:t> </w:t>
      </w:r>
      <w:r w:rsidRPr="00875E94">
        <w:t>обновления также будет рассмотрен вопрос о разработке поискового приложения, доступного для</w:t>
      </w:r>
      <w:r w:rsidR="00D84B84" w:rsidRPr="00875E94">
        <w:t> </w:t>
      </w:r>
      <w:r w:rsidRPr="00875E94">
        <w:t xml:space="preserve">мобильных терминалов. </w:t>
      </w:r>
    </w:p>
    <w:p w:rsidR="00E36BB4" w:rsidRPr="00875E94" w:rsidRDefault="007926CE" w:rsidP="007926CE">
      <w:r w:rsidRPr="00875E94">
        <w:t xml:space="preserve">База данных размещена по адресу: </w:t>
      </w:r>
      <w:hyperlink r:id="rId28" w:history="1">
        <w:r w:rsidR="00E36BB4" w:rsidRPr="00875E94">
          <w:rPr>
            <w:rStyle w:val="Hyperlink"/>
            <w:szCs w:val="24"/>
          </w:rPr>
          <w:t>https://extranet.itu.int/brdocsearch/</w:t>
        </w:r>
      </w:hyperlink>
      <w:r w:rsidR="00E36BB4" w:rsidRPr="00875E94">
        <w:t>.</w:t>
      </w:r>
    </w:p>
    <w:p w:rsidR="00E36BB4" w:rsidRPr="00875E94" w:rsidRDefault="007926CE" w:rsidP="007926CE">
      <w:r w:rsidRPr="00875E94">
        <w:t>Предполагаемый срок завершения проекта в целом – конец 2016 года</w:t>
      </w:r>
      <w:r w:rsidR="00E36BB4" w:rsidRPr="00875E94">
        <w:t>.</w:t>
      </w:r>
    </w:p>
    <w:p w:rsidR="00B82873" w:rsidRPr="00875E94" w:rsidRDefault="007926CE" w:rsidP="00B82873">
      <w:pPr>
        <w:pStyle w:val="Heading2"/>
      </w:pPr>
      <w:bookmarkStart w:id="28" w:name="_Toc427075595"/>
      <w:r w:rsidRPr="00875E94">
        <w:t>8</w:t>
      </w:r>
      <w:r w:rsidR="00B82873" w:rsidRPr="00875E94">
        <w:t>.2</w:t>
      </w:r>
      <w:r w:rsidR="00B82873" w:rsidRPr="00875E94">
        <w:tab/>
        <w:t>Семинары и семинары-практикумы</w:t>
      </w:r>
      <w:bookmarkEnd w:id="28"/>
    </w:p>
    <w:p w:rsidR="00B82873" w:rsidRPr="00875E94" w:rsidRDefault="005E134D" w:rsidP="008349AD">
      <w:pPr>
        <w:pStyle w:val="Heading3"/>
      </w:pPr>
      <w:bookmarkStart w:id="29" w:name="_Toc427075596"/>
      <w:r w:rsidRPr="00875E94">
        <w:t>8</w:t>
      </w:r>
      <w:r w:rsidR="00B82873" w:rsidRPr="00875E94">
        <w:t>.2.1</w:t>
      </w:r>
      <w:r w:rsidR="00B82873" w:rsidRPr="00875E94">
        <w:tab/>
        <w:t>Всемирны</w:t>
      </w:r>
      <w:r w:rsidR="008349AD" w:rsidRPr="00875E94">
        <w:t>е</w:t>
      </w:r>
      <w:r w:rsidR="00B82873" w:rsidRPr="00875E94">
        <w:t xml:space="preserve"> семинар</w:t>
      </w:r>
      <w:r w:rsidR="008349AD" w:rsidRPr="00875E94">
        <w:t>ы</w:t>
      </w:r>
      <w:r w:rsidR="00B82873" w:rsidRPr="00875E94">
        <w:t xml:space="preserve"> по радиосвязи (</w:t>
      </w:r>
      <w:proofErr w:type="spellStart"/>
      <w:r w:rsidR="00B82873" w:rsidRPr="00875E94">
        <w:t>ВСР</w:t>
      </w:r>
      <w:proofErr w:type="spellEnd"/>
      <w:r w:rsidR="00B82873" w:rsidRPr="00875E94">
        <w:t>)</w:t>
      </w:r>
      <w:bookmarkEnd w:id="29"/>
    </w:p>
    <w:p w:rsidR="00B82873" w:rsidRPr="00875E94" w:rsidRDefault="00B82873" w:rsidP="008349AD">
      <w:pPr>
        <w:rPr>
          <w:rFonts w:asciiTheme="majorBidi" w:hAnsiTheme="majorBidi" w:cstheme="majorBidi"/>
        </w:rPr>
      </w:pPr>
      <w:r w:rsidRPr="00875E94">
        <w:t xml:space="preserve">Начиная с </w:t>
      </w:r>
      <w:proofErr w:type="spellStart"/>
      <w:r w:rsidRPr="00875E94">
        <w:t>В</w:t>
      </w:r>
      <w:r w:rsidR="008349AD" w:rsidRPr="00875E94">
        <w:t>К</w:t>
      </w:r>
      <w:r w:rsidRPr="00875E94">
        <w:t>Р</w:t>
      </w:r>
      <w:proofErr w:type="spellEnd"/>
      <w:r w:rsidRPr="00875E94">
        <w:t>-12 проходящие раз в два года всемирные семинары по радиосвязи (</w:t>
      </w:r>
      <w:proofErr w:type="spellStart"/>
      <w:r w:rsidRPr="00875E94">
        <w:t>ВСР</w:t>
      </w:r>
      <w:proofErr w:type="spellEnd"/>
      <w:r w:rsidRPr="00875E94">
        <w:t>) проводились в Женеве</w:t>
      </w:r>
      <w:r w:rsidRPr="00875E94">
        <w:rPr>
          <w:rFonts w:asciiTheme="majorBidi" w:hAnsiTheme="majorBidi" w:cstheme="majorBidi"/>
        </w:rPr>
        <w:t>:</w:t>
      </w:r>
    </w:p>
    <w:p w:rsidR="00B82873" w:rsidRPr="00875E94" w:rsidRDefault="00B82873" w:rsidP="00B82873">
      <w:pPr>
        <w:pStyle w:val="enumlev1"/>
      </w:pPr>
      <w:r w:rsidRPr="00875E94">
        <w:rPr>
          <w:b/>
          <w:bCs/>
          <w:iCs/>
        </w:rPr>
        <w:t>–</w:t>
      </w:r>
      <w:r w:rsidRPr="00875E94">
        <w:rPr>
          <w:b/>
          <w:bCs/>
          <w:iCs/>
        </w:rPr>
        <w:tab/>
      </w:r>
      <w:proofErr w:type="spellStart"/>
      <w:r w:rsidRPr="00875E94">
        <w:rPr>
          <w:b/>
          <w:bCs/>
          <w:iCs/>
        </w:rPr>
        <w:t>ВСР</w:t>
      </w:r>
      <w:proofErr w:type="spellEnd"/>
      <w:r w:rsidRPr="00875E94">
        <w:rPr>
          <w:b/>
          <w:bCs/>
          <w:iCs/>
        </w:rPr>
        <w:t>-12</w:t>
      </w:r>
      <w:r w:rsidRPr="00875E94">
        <w:t xml:space="preserve"> – с 3 по 7 декабря 2012 года, присутствовали 394 участника из 96 стран;</w:t>
      </w:r>
    </w:p>
    <w:p w:rsidR="00B82873" w:rsidRPr="00875E94" w:rsidRDefault="00B82873" w:rsidP="00B82873">
      <w:pPr>
        <w:pStyle w:val="enumlev1"/>
      </w:pPr>
      <w:r w:rsidRPr="00875E94">
        <w:rPr>
          <w:b/>
          <w:bCs/>
          <w:iCs/>
        </w:rPr>
        <w:t>–</w:t>
      </w:r>
      <w:r w:rsidRPr="00875E94">
        <w:rPr>
          <w:b/>
          <w:bCs/>
          <w:iCs/>
        </w:rPr>
        <w:tab/>
      </w:r>
      <w:proofErr w:type="spellStart"/>
      <w:r w:rsidRPr="00875E94">
        <w:rPr>
          <w:b/>
          <w:bCs/>
          <w:iCs/>
        </w:rPr>
        <w:t>ВСР</w:t>
      </w:r>
      <w:proofErr w:type="spellEnd"/>
      <w:r w:rsidRPr="00875E94">
        <w:rPr>
          <w:b/>
          <w:bCs/>
          <w:iCs/>
        </w:rPr>
        <w:t>-14</w:t>
      </w:r>
      <w:r w:rsidRPr="00875E94">
        <w:t xml:space="preserve"> – с 8 по 12 декабря 2014 года, присутствовали 357 участников из 104 стран.</w:t>
      </w:r>
    </w:p>
    <w:p w:rsidR="00B82873" w:rsidRPr="00875E94" w:rsidRDefault="00B82873" w:rsidP="00AA75C1">
      <w:pPr>
        <w:rPr>
          <w:rFonts w:asciiTheme="majorBidi" w:hAnsiTheme="majorBidi" w:cstheme="majorBidi"/>
        </w:rPr>
      </w:pPr>
      <w:r w:rsidRPr="00875E94">
        <w:t>В ходе обоих мероприятий доклады и обсуждения проводились на шести официальных языках МСЭ с синхронным переводом. Параллельно проводились трехдневные семинары-практикумы для</w:t>
      </w:r>
      <w:r w:rsidR="0078031A">
        <w:t> </w:t>
      </w:r>
      <w:r w:rsidRPr="00875E94">
        <w:t>космических и наземных служб. Группы были сформированы с учетом языковых требований и</w:t>
      </w:r>
      <w:r w:rsidR="0078031A">
        <w:t> </w:t>
      </w:r>
      <w:r w:rsidRPr="00875E94">
        <w:t xml:space="preserve">имеющихся в распоряжении технических средств. </w:t>
      </w:r>
      <w:proofErr w:type="spellStart"/>
      <w:r w:rsidRPr="00875E94">
        <w:t>ВСР</w:t>
      </w:r>
      <w:proofErr w:type="spellEnd"/>
      <w:r w:rsidRPr="00875E94">
        <w:t xml:space="preserve">-12 и </w:t>
      </w:r>
      <w:proofErr w:type="spellStart"/>
      <w:r w:rsidRPr="00875E94">
        <w:t>ВСР</w:t>
      </w:r>
      <w:proofErr w:type="spellEnd"/>
      <w:r w:rsidRPr="00875E94">
        <w:t>-14 проводились на полностью безбумажной основе. Материалы размещены на веб-сайте МСЭ по адресу</w:t>
      </w:r>
      <w:r w:rsidRPr="00875E94">
        <w:rPr>
          <w:rFonts w:asciiTheme="majorBidi" w:hAnsiTheme="majorBidi" w:cstheme="majorBidi"/>
        </w:rPr>
        <w:t xml:space="preserve">: </w:t>
      </w:r>
      <w:hyperlink r:id="rId29" w:history="1">
        <w:r w:rsidR="00AA75C1" w:rsidRPr="00EC1EC3">
          <w:rPr>
            <w:rStyle w:val="Hyperlink"/>
            <w:rFonts w:asciiTheme="majorBidi" w:hAnsiTheme="majorBidi" w:cstheme="majorBidi"/>
            <w:szCs w:val="24"/>
          </w:rPr>
          <w:t>http://www.itu.int/ITU</w:t>
        </w:r>
        <w:r w:rsidR="00AA75C1" w:rsidRPr="00EC1EC3">
          <w:rPr>
            <w:rStyle w:val="Hyperlink"/>
            <w:rFonts w:asciiTheme="majorBidi" w:hAnsiTheme="majorBidi" w:cstheme="majorBidi"/>
            <w:szCs w:val="24"/>
          </w:rPr>
          <w:noBreakHyphen/>
          <w:t>R/go/seminars</w:t>
        </w:r>
      </w:hyperlink>
      <w:r w:rsidRPr="00875E94">
        <w:rPr>
          <w:rFonts w:asciiTheme="majorBidi" w:hAnsiTheme="majorBidi" w:cstheme="majorBidi"/>
        </w:rPr>
        <w:t xml:space="preserve">. </w:t>
      </w:r>
    </w:p>
    <w:p w:rsidR="00B82873" w:rsidRPr="00875E94" w:rsidRDefault="00B82873" w:rsidP="00156791">
      <w:proofErr w:type="spellStart"/>
      <w:r w:rsidRPr="00875E94">
        <w:t>БР</w:t>
      </w:r>
      <w:proofErr w:type="spellEnd"/>
      <w:r w:rsidRPr="00875E94">
        <w:t xml:space="preserve"> предоставило полные стипендии для </w:t>
      </w:r>
      <w:proofErr w:type="spellStart"/>
      <w:r w:rsidRPr="00875E94">
        <w:t>ВСР</w:t>
      </w:r>
      <w:proofErr w:type="spellEnd"/>
      <w:r w:rsidRPr="00875E94">
        <w:t xml:space="preserve"> (только одну для администрации </w:t>
      </w:r>
      <w:r w:rsidR="00156791" w:rsidRPr="00875E94">
        <w:t xml:space="preserve">страны, отвечающей установленным </w:t>
      </w:r>
      <w:r w:rsidRPr="00875E94">
        <w:t>критериям). Было предоставлено 6</w:t>
      </w:r>
      <w:r w:rsidR="00A21A1D" w:rsidRPr="00875E94">
        <w:t>4</w:t>
      </w:r>
      <w:r w:rsidRPr="00875E94">
        <w:t xml:space="preserve"> полных стипенди</w:t>
      </w:r>
      <w:r w:rsidR="00A21A1D" w:rsidRPr="00875E94">
        <w:t>и</w:t>
      </w:r>
      <w:r w:rsidRPr="00875E94">
        <w:t>.</w:t>
      </w:r>
    </w:p>
    <w:p w:rsidR="00B82873" w:rsidRPr="00875E94" w:rsidRDefault="005E134D" w:rsidP="00B82873">
      <w:pPr>
        <w:pStyle w:val="Heading3"/>
      </w:pPr>
      <w:bookmarkStart w:id="30" w:name="_Toc427075597"/>
      <w:r w:rsidRPr="00875E94">
        <w:t>8</w:t>
      </w:r>
      <w:r w:rsidR="00B82873" w:rsidRPr="00875E94">
        <w:t>.2.2</w:t>
      </w:r>
      <w:r w:rsidR="00B82873" w:rsidRPr="00875E94">
        <w:tab/>
        <w:t>Региональные семинары по радиосвязи (</w:t>
      </w:r>
      <w:proofErr w:type="spellStart"/>
      <w:r w:rsidR="00B82873" w:rsidRPr="00875E94">
        <w:t>РСР</w:t>
      </w:r>
      <w:proofErr w:type="spellEnd"/>
      <w:r w:rsidR="00B82873" w:rsidRPr="00875E94">
        <w:t>)</w:t>
      </w:r>
      <w:bookmarkEnd w:id="30"/>
    </w:p>
    <w:p w:rsidR="00B82873" w:rsidRPr="00875E94" w:rsidRDefault="00B82873" w:rsidP="00B82873">
      <w:r w:rsidRPr="00875E94">
        <w:t>В качестве дополнения к проходящим раз в два года всемирным семинарам по радиосвязи (</w:t>
      </w:r>
      <w:proofErr w:type="spellStart"/>
      <w:r w:rsidRPr="00875E94">
        <w:t>ВСР</w:t>
      </w:r>
      <w:proofErr w:type="spellEnd"/>
      <w:r w:rsidRPr="00875E94">
        <w:t xml:space="preserve">) </w:t>
      </w:r>
      <w:proofErr w:type="spellStart"/>
      <w:r w:rsidRPr="00875E94">
        <w:t>БР</w:t>
      </w:r>
      <w:proofErr w:type="spellEnd"/>
      <w:r w:rsidRPr="00875E94">
        <w:t xml:space="preserve"> реализовало стратегию охвата на региональном уровне путем организации годичного цикла региональных семинаров по радиосвязи (</w:t>
      </w:r>
      <w:proofErr w:type="spellStart"/>
      <w:r w:rsidRPr="00875E94">
        <w:t>РСР</w:t>
      </w:r>
      <w:proofErr w:type="spellEnd"/>
      <w:r w:rsidRPr="00875E94">
        <w:t xml:space="preserve">), которые проводятся в различных регионах мира, </w:t>
      </w:r>
      <w:r w:rsidRPr="00875E94">
        <w:lastRenderedPageBreak/>
        <w:t xml:space="preserve">содействуя созданию человеческого потенциала в отношении использования радиочастотного спектра и спутниковых орбит, в частности применения положений Регламента радиосвязи МСЭ. </w:t>
      </w:r>
    </w:p>
    <w:p w:rsidR="00B82873" w:rsidRPr="00875E94" w:rsidRDefault="00B82873" w:rsidP="00D84B84">
      <w:proofErr w:type="spellStart"/>
      <w:r w:rsidRPr="00875E94">
        <w:t>Р</w:t>
      </w:r>
      <w:r w:rsidR="00A21A1D" w:rsidRPr="00875E94">
        <w:t>СР</w:t>
      </w:r>
      <w:proofErr w:type="spellEnd"/>
      <w:r w:rsidR="00A21A1D" w:rsidRPr="00875E94">
        <w:t xml:space="preserve"> </w:t>
      </w:r>
      <w:r w:rsidRPr="00875E94">
        <w:t>включают два дня теоретической подготовки и двухдневные семинары-практикумы по</w:t>
      </w:r>
      <w:r w:rsidR="00D84B84" w:rsidRPr="00875E94">
        <w:t> </w:t>
      </w:r>
      <w:r w:rsidRPr="00875E94">
        <w:t>наземным и космическим службам, которые могут проводиться как параллельно, так и</w:t>
      </w:r>
      <w:r w:rsidR="00D84B84" w:rsidRPr="00875E94">
        <w:t> </w:t>
      </w:r>
      <w:r w:rsidRPr="00875E94">
        <w:t xml:space="preserve">последовательно в зависимости от конкретных потребностей каждого региона. </w:t>
      </w:r>
      <w:proofErr w:type="spellStart"/>
      <w:r w:rsidRPr="00875E94">
        <w:t>РСР</w:t>
      </w:r>
      <w:proofErr w:type="spellEnd"/>
      <w:r w:rsidRPr="00875E94">
        <w:t xml:space="preserve"> дополняются проведением однодневного форума, посвященного связанной со спектром теме, представляющей наибольший интерес для региона.</w:t>
      </w:r>
    </w:p>
    <w:p w:rsidR="00B82873" w:rsidRPr="00875E94" w:rsidRDefault="00B82873" w:rsidP="00156791">
      <w:r w:rsidRPr="00875E94">
        <w:t xml:space="preserve">В Таблице </w:t>
      </w:r>
      <w:r w:rsidR="00A21A1D" w:rsidRPr="00875E94">
        <w:t>8</w:t>
      </w:r>
      <w:r w:rsidRPr="00875E94">
        <w:t xml:space="preserve">.2.2-1 приводится краткая информация о десяти </w:t>
      </w:r>
      <w:proofErr w:type="spellStart"/>
      <w:r w:rsidRPr="00875E94">
        <w:t>РСР</w:t>
      </w:r>
      <w:proofErr w:type="spellEnd"/>
      <w:r w:rsidRPr="00875E94">
        <w:t xml:space="preserve">, которые проводились после </w:t>
      </w:r>
      <w:proofErr w:type="spellStart"/>
      <w:r w:rsidRPr="00875E94">
        <w:t>ВКР</w:t>
      </w:r>
      <w:proofErr w:type="spellEnd"/>
      <w:r w:rsidRPr="00875E94">
        <w:noBreakHyphen/>
        <w:t>12. Как правило, организацией этих семинаров занимается правительство, регуляторный орган или орган по управлению использованием спектра совместно с соответствующей региональной организацией и региональным/зональным отделением МСЭ.</w:t>
      </w:r>
      <w:r w:rsidR="00A21A1D" w:rsidRPr="00875E94">
        <w:t xml:space="preserve"> </w:t>
      </w:r>
      <w:proofErr w:type="spellStart"/>
      <w:r w:rsidR="00A21A1D" w:rsidRPr="00875E94">
        <w:t>РСР</w:t>
      </w:r>
      <w:proofErr w:type="spellEnd"/>
      <w:r w:rsidR="00A21A1D" w:rsidRPr="00875E94">
        <w:t xml:space="preserve"> проводились на полностью безбумажной основе. Материалы размещены на веб-сайте МСЭ по адресу</w:t>
      </w:r>
      <w:r w:rsidR="00A21A1D" w:rsidRPr="00875E94">
        <w:rPr>
          <w:rFonts w:asciiTheme="majorBidi" w:hAnsiTheme="majorBidi" w:cstheme="majorBidi"/>
        </w:rPr>
        <w:t xml:space="preserve">: </w:t>
      </w:r>
      <w:hyperlink r:id="rId30" w:history="1">
        <w:r w:rsidR="00AA75C1" w:rsidRPr="00EC1EC3">
          <w:rPr>
            <w:rStyle w:val="Hyperlink"/>
            <w:rFonts w:asciiTheme="majorBidi" w:hAnsiTheme="majorBidi" w:cstheme="majorBidi"/>
            <w:szCs w:val="24"/>
          </w:rPr>
          <w:t>http://www.itu.int/ITU</w:t>
        </w:r>
        <w:r w:rsidR="00AA75C1" w:rsidRPr="00EC1EC3">
          <w:rPr>
            <w:rStyle w:val="Hyperlink"/>
            <w:rFonts w:asciiTheme="majorBidi" w:hAnsiTheme="majorBidi" w:cstheme="majorBidi"/>
            <w:szCs w:val="24"/>
          </w:rPr>
          <w:noBreakHyphen/>
          <w:t>R/go/seminars</w:t>
        </w:r>
      </w:hyperlink>
      <w:r w:rsidR="00A21A1D" w:rsidRPr="00875E94">
        <w:rPr>
          <w:rFonts w:asciiTheme="majorBidi" w:hAnsiTheme="majorBidi" w:cstheme="majorBidi"/>
        </w:rPr>
        <w:t xml:space="preserve">. </w:t>
      </w:r>
      <w:proofErr w:type="spellStart"/>
      <w:r w:rsidR="00A21A1D" w:rsidRPr="00875E94">
        <w:t>БР</w:t>
      </w:r>
      <w:proofErr w:type="spellEnd"/>
      <w:r w:rsidR="00A21A1D" w:rsidRPr="00875E94">
        <w:t xml:space="preserve"> предоставило частичные стипендии для </w:t>
      </w:r>
      <w:proofErr w:type="spellStart"/>
      <w:r w:rsidR="00A21A1D" w:rsidRPr="00875E94">
        <w:t>РСР</w:t>
      </w:r>
      <w:proofErr w:type="spellEnd"/>
      <w:r w:rsidR="00A21A1D" w:rsidRPr="00875E94">
        <w:t xml:space="preserve"> (только одну для администрации </w:t>
      </w:r>
      <w:r w:rsidR="00156791" w:rsidRPr="00875E94">
        <w:t>страны, отвечающей установленным критериям</w:t>
      </w:r>
      <w:r w:rsidR="00AA75C1">
        <w:t>). Было предоставлено более 80 </w:t>
      </w:r>
      <w:r w:rsidR="00A21A1D" w:rsidRPr="00875E94">
        <w:t>частичных стипенди</w:t>
      </w:r>
      <w:r w:rsidR="00602EB7" w:rsidRPr="00875E94">
        <w:t>й</w:t>
      </w:r>
      <w:r w:rsidR="00A21A1D" w:rsidRPr="00875E94">
        <w:t>.</w:t>
      </w:r>
    </w:p>
    <w:p w:rsidR="00B82873" w:rsidRPr="00875E94" w:rsidRDefault="00B82873" w:rsidP="00D84B84">
      <w:r w:rsidRPr="00875E94">
        <w:t xml:space="preserve">Анализ участия в </w:t>
      </w:r>
      <w:proofErr w:type="spellStart"/>
      <w:r w:rsidRPr="00875E94">
        <w:t>ВСР</w:t>
      </w:r>
      <w:proofErr w:type="spellEnd"/>
      <w:r w:rsidRPr="00875E94">
        <w:t xml:space="preserve"> и </w:t>
      </w:r>
      <w:proofErr w:type="spellStart"/>
      <w:r w:rsidRPr="00875E94">
        <w:t>РСР</w:t>
      </w:r>
      <w:proofErr w:type="spellEnd"/>
      <w:r w:rsidRPr="00875E94">
        <w:t xml:space="preserve"> показывает, что эти два типа семинаров дополняют друг друга: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</w:r>
      <w:r w:rsidRPr="00875E94">
        <w:rPr>
          <w:b/>
          <w:bCs/>
        </w:rPr>
        <w:t xml:space="preserve">два </w:t>
      </w:r>
      <w:proofErr w:type="spellStart"/>
      <w:r w:rsidRPr="00875E94">
        <w:rPr>
          <w:b/>
          <w:bCs/>
        </w:rPr>
        <w:t>ВСР</w:t>
      </w:r>
      <w:proofErr w:type="spellEnd"/>
      <w:r w:rsidRPr="00875E94">
        <w:t xml:space="preserve"> – 751 участник из 121 страны (в том числе 49 не принимавших участие в </w:t>
      </w:r>
      <w:proofErr w:type="spellStart"/>
      <w:r w:rsidRPr="00875E94">
        <w:t>РСР</w:t>
      </w:r>
      <w:proofErr w:type="spellEnd"/>
      <w:r w:rsidRPr="00875E94">
        <w:t>);</w:t>
      </w:r>
    </w:p>
    <w:p w:rsidR="00B82873" w:rsidRPr="00875E94" w:rsidRDefault="00B82873" w:rsidP="00D84B84">
      <w:pPr>
        <w:pStyle w:val="enumlev1"/>
      </w:pPr>
      <w:r w:rsidRPr="00875E94">
        <w:t>–</w:t>
      </w:r>
      <w:r w:rsidRPr="00875E94">
        <w:tab/>
      </w:r>
      <w:r w:rsidRPr="00875E94">
        <w:rPr>
          <w:b/>
          <w:bCs/>
        </w:rPr>
        <w:t xml:space="preserve">десять </w:t>
      </w:r>
      <w:proofErr w:type="spellStart"/>
      <w:r w:rsidRPr="00875E94">
        <w:rPr>
          <w:b/>
          <w:bCs/>
        </w:rPr>
        <w:t>РСР</w:t>
      </w:r>
      <w:proofErr w:type="spellEnd"/>
      <w:r w:rsidRPr="00875E94">
        <w:t xml:space="preserve"> – 824 участника из 115 стран (в том числе 42 не принимавших участие в</w:t>
      </w:r>
      <w:r w:rsidR="00D84B84" w:rsidRPr="00875E94">
        <w:t> </w:t>
      </w:r>
      <w:proofErr w:type="spellStart"/>
      <w:r w:rsidRPr="00875E94">
        <w:t>ВСР</w:t>
      </w:r>
      <w:proofErr w:type="spellEnd"/>
      <w:r w:rsidRPr="00875E94">
        <w:t>);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</w:r>
      <w:r w:rsidRPr="00875E94">
        <w:rPr>
          <w:b/>
          <w:bCs/>
        </w:rPr>
        <w:t>всего</w:t>
      </w:r>
      <w:r w:rsidRPr="00875E94">
        <w:t xml:space="preserve"> – 12 семинаров, 1575 участников из 165 стран.</w:t>
      </w:r>
    </w:p>
    <w:p w:rsidR="00B82873" w:rsidRPr="00AA75C1" w:rsidRDefault="00B82873" w:rsidP="00AA75C1"/>
    <w:p w:rsidR="00B82873" w:rsidRPr="00AA75C1" w:rsidRDefault="00B82873" w:rsidP="00AA75C1">
      <w:pPr>
        <w:sectPr w:rsidR="00B82873" w:rsidRPr="00AA75C1" w:rsidSect="005F372A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B82873" w:rsidRPr="00875E94" w:rsidRDefault="00B82873" w:rsidP="005F372A">
      <w:pPr>
        <w:pStyle w:val="TableNo"/>
        <w:spacing w:before="0"/>
      </w:pPr>
      <w:r w:rsidRPr="00875E94">
        <w:lastRenderedPageBreak/>
        <w:t xml:space="preserve">ТАБЛИЦА </w:t>
      </w:r>
      <w:r w:rsidR="00995A7E" w:rsidRPr="00875E94">
        <w:t>8</w:t>
      </w:r>
      <w:r w:rsidRPr="00875E94">
        <w:t>.2.2-1</w:t>
      </w:r>
    </w:p>
    <w:p w:rsidR="00B82873" w:rsidRPr="00875E94" w:rsidRDefault="00B82873" w:rsidP="00B82873">
      <w:pPr>
        <w:pStyle w:val="Tabletitle"/>
      </w:pPr>
      <w:r w:rsidRPr="00875E94">
        <w:t>Региональные семинары по радиосвязи МСЭ (2013–2015 г</w:t>
      </w:r>
      <w:r w:rsidRPr="002B0C94">
        <w:t>г.</w:t>
      </w:r>
      <w:r w:rsidRPr="00875E94">
        <w:t>)</w:t>
      </w:r>
    </w:p>
    <w:tbl>
      <w:tblPr>
        <w:tblW w:w="145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88"/>
        <w:gridCol w:w="1560"/>
        <w:gridCol w:w="1981"/>
        <w:gridCol w:w="1986"/>
        <w:gridCol w:w="2128"/>
        <w:gridCol w:w="850"/>
        <w:gridCol w:w="1840"/>
      </w:tblGrid>
      <w:tr w:rsidR="00B82873" w:rsidRPr="005F372A" w:rsidTr="005F372A">
        <w:trPr>
          <w:cantSplit/>
          <w:tblHeader/>
          <w:jc w:val="center"/>
        </w:trPr>
        <w:tc>
          <w:tcPr>
            <w:tcW w:w="2265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Дата проведения</w:t>
            </w:r>
          </w:p>
        </w:tc>
        <w:tc>
          <w:tcPr>
            <w:tcW w:w="1988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proofErr w:type="spellStart"/>
            <w:r w:rsidRPr="005F372A">
              <w:rPr>
                <w:sz w:val="20"/>
                <w:szCs w:val="22"/>
                <w:lang w:val="ru-RU"/>
              </w:rPr>
              <w:t>РСР</w:t>
            </w:r>
            <w:proofErr w:type="spellEnd"/>
          </w:p>
        </w:tc>
        <w:tc>
          <w:tcPr>
            <w:tcW w:w="1560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Место проведения</w:t>
            </w:r>
          </w:p>
        </w:tc>
        <w:tc>
          <w:tcPr>
            <w:tcW w:w="1981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Принимающая сторона</w:t>
            </w:r>
          </w:p>
        </w:tc>
        <w:tc>
          <w:tcPr>
            <w:tcW w:w="1986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Координация</w:t>
            </w:r>
          </w:p>
        </w:tc>
        <w:tc>
          <w:tcPr>
            <w:tcW w:w="2128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Темы форума</w:t>
            </w:r>
          </w:p>
        </w:tc>
        <w:tc>
          <w:tcPr>
            <w:tcW w:w="850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Языки</w:t>
            </w:r>
          </w:p>
        </w:tc>
        <w:tc>
          <w:tcPr>
            <w:tcW w:w="1840" w:type="dxa"/>
            <w:vAlign w:val="center"/>
          </w:tcPr>
          <w:p w:rsidR="00B82873" w:rsidRPr="005F372A" w:rsidRDefault="00B82873" w:rsidP="00B82873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Участники/</w:t>
            </w:r>
            <w:r w:rsidRPr="005F372A">
              <w:rPr>
                <w:sz w:val="20"/>
                <w:szCs w:val="22"/>
                <w:lang w:val="ru-RU"/>
              </w:rPr>
              <w:br/>
              <w:t>администрации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8–12 июля 2013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sz w:val="20"/>
                <w:szCs w:val="22"/>
              </w:rPr>
              <w:t>-13 – Северная и Южная Америка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Асунcьон</w:t>
            </w:r>
            <w:proofErr w:type="spellEnd"/>
            <w:r w:rsidRPr="005F372A">
              <w:rPr>
                <w:sz w:val="20"/>
                <w:szCs w:val="22"/>
              </w:rPr>
              <w:t>, Парагвай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Национальный совет по связи (</w:t>
            </w:r>
            <w:proofErr w:type="spellStart"/>
            <w:r w:rsidRPr="005F372A">
              <w:rPr>
                <w:sz w:val="20"/>
                <w:szCs w:val="22"/>
              </w:rPr>
              <w:t>CONATEL</w:t>
            </w:r>
            <w:proofErr w:type="spellEnd"/>
            <w:r w:rsidRPr="005F372A">
              <w:rPr>
                <w:sz w:val="20"/>
                <w:szCs w:val="22"/>
              </w:rPr>
              <w:t>) Парагвая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Северной и Южной Америки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Цифровой дивиденд в Латинской Америке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S, 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121/9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16–20 сентября 2013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-13 – Африка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Яунде, Камерун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Министерство почт и электросвязи (</w:t>
            </w:r>
            <w:proofErr w:type="spellStart"/>
            <w:r w:rsidRPr="005F372A">
              <w:rPr>
                <w:sz w:val="20"/>
                <w:szCs w:val="22"/>
              </w:rPr>
              <w:t>MINPOSTEL</w:t>
            </w:r>
            <w:proofErr w:type="spellEnd"/>
            <w:r w:rsidRPr="005F372A">
              <w:rPr>
                <w:sz w:val="20"/>
                <w:szCs w:val="22"/>
              </w:rPr>
              <w:t>) Камеруна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АСЭ</w:t>
            </w:r>
            <w:proofErr w:type="spellEnd"/>
            <w:r w:rsidRPr="005F372A">
              <w:rPr>
                <w:sz w:val="20"/>
                <w:szCs w:val="22"/>
              </w:rPr>
              <w:t>, 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Африки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Диапазон УВЧ в Африканском регионе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F, 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135/33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28 октября – </w:t>
            </w:r>
            <w:r w:rsidR="00926323" w:rsidRPr="005F372A">
              <w:rPr>
                <w:sz w:val="20"/>
                <w:szCs w:val="22"/>
              </w:rPr>
              <w:br/>
            </w:r>
            <w:r w:rsidRPr="005F372A">
              <w:rPr>
                <w:sz w:val="20"/>
                <w:szCs w:val="22"/>
              </w:rPr>
              <w:t>1 ноября 2013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-13 – Азиатско-Тихоокеанский регион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Нади, Фиджи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Министерство связи Фиджи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PITA</w:t>
            </w:r>
            <w:proofErr w:type="spellEnd"/>
            <w:r w:rsidRPr="005F372A">
              <w:rPr>
                <w:sz w:val="20"/>
                <w:szCs w:val="22"/>
              </w:rPr>
              <w:t>, 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Азиатско-Тихоокеанского региона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Диапазон C в Азиатско-Тихоокеанском регионе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53/18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9–13 декабря 2013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-13 – арабские государства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Тунис, Тунис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Национальное агентство по частотам (</w:t>
            </w:r>
            <w:proofErr w:type="spellStart"/>
            <w:r w:rsidRPr="005F372A">
              <w:rPr>
                <w:sz w:val="20"/>
                <w:szCs w:val="22"/>
              </w:rPr>
              <w:t>ANF</w:t>
            </w:r>
            <w:proofErr w:type="spellEnd"/>
            <w:r w:rsidRPr="005F372A">
              <w:rPr>
                <w:sz w:val="20"/>
                <w:szCs w:val="22"/>
              </w:rPr>
              <w:t>) Туниса</w:t>
            </w:r>
          </w:p>
        </w:tc>
        <w:tc>
          <w:tcPr>
            <w:tcW w:w="1986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ASMG</w:t>
            </w:r>
            <w:proofErr w:type="spellEnd"/>
            <w:r w:rsidRPr="005F372A">
              <w:rPr>
                <w:sz w:val="20"/>
                <w:szCs w:val="22"/>
              </w:rPr>
              <w:t>, Региональное отделение МСЭ для арабских государств</w:t>
            </w:r>
          </w:p>
        </w:tc>
        <w:tc>
          <w:tcPr>
            <w:tcW w:w="2128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Когнитивное радио и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белые пространства телевидения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A, 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49/12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26–30 мая 2014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-14 – Азия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Ханой, Вьетнам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Министерство информации и связи (</w:t>
            </w:r>
            <w:proofErr w:type="spellStart"/>
            <w:r w:rsidRPr="005F372A">
              <w:rPr>
                <w:sz w:val="20"/>
                <w:szCs w:val="22"/>
              </w:rPr>
              <w:t>MIC</w:t>
            </w:r>
            <w:proofErr w:type="spellEnd"/>
            <w:r w:rsidRPr="005F372A">
              <w:rPr>
                <w:sz w:val="20"/>
                <w:szCs w:val="22"/>
              </w:rPr>
              <w:t>) Вьетнама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АТСЭ</w:t>
            </w:r>
            <w:proofErr w:type="spellEnd"/>
            <w:r w:rsidRPr="005F372A">
              <w:rPr>
                <w:sz w:val="20"/>
                <w:szCs w:val="22"/>
              </w:rPr>
              <w:t>, 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Азиатско-Тихоокеанского региона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Новые вопросы управления использованием спектра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94/15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14–18 июля 2014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-14 – Северная и Южная Америка</w:t>
            </w:r>
          </w:p>
        </w:tc>
        <w:tc>
          <w:tcPr>
            <w:tcW w:w="1560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Остров Тобаго, Тринидад и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Тобаго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Управление электросвязи Тринидада и Тобаго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КСЭ</w:t>
            </w:r>
            <w:proofErr w:type="spellEnd"/>
            <w:r w:rsidRPr="005F372A">
              <w:rPr>
                <w:sz w:val="20"/>
                <w:szCs w:val="22"/>
              </w:rPr>
              <w:t>, 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Северной и Южной Америки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Повестка дня </w:t>
            </w:r>
            <w:proofErr w:type="spellStart"/>
            <w:r w:rsidRPr="005F372A">
              <w:rPr>
                <w:sz w:val="20"/>
                <w:szCs w:val="22"/>
              </w:rPr>
              <w:t>ВКР</w:t>
            </w:r>
            <w:proofErr w:type="spellEnd"/>
            <w:r w:rsidRPr="005F372A">
              <w:rPr>
                <w:sz w:val="20"/>
                <w:szCs w:val="22"/>
              </w:rPr>
              <w:noBreakHyphen/>
              <w:t xml:space="preserve">15: региональные вопросы </w:t>
            </w:r>
          </w:p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Регистрация диапазона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C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46/19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lastRenderedPageBreak/>
              <w:t>2–6 марта 2015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-15 – Восточная Европа и СНГ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Бишкек, </w:t>
            </w:r>
            <w:proofErr w:type="spellStart"/>
            <w:r w:rsidRPr="005F372A">
              <w:rPr>
                <w:sz w:val="20"/>
                <w:szCs w:val="22"/>
              </w:rPr>
              <w:t>Кыргызская</w:t>
            </w:r>
            <w:proofErr w:type="spellEnd"/>
            <w:r w:rsidRPr="005F372A">
              <w:rPr>
                <w:sz w:val="20"/>
                <w:szCs w:val="22"/>
              </w:rPr>
              <w:t xml:space="preserve"> Республика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Государственное агентство связи </w:t>
            </w:r>
            <w:proofErr w:type="spellStart"/>
            <w:r w:rsidRPr="005F372A">
              <w:rPr>
                <w:sz w:val="20"/>
                <w:szCs w:val="22"/>
              </w:rPr>
              <w:t>Кыргызской</w:t>
            </w:r>
            <w:proofErr w:type="spellEnd"/>
            <w:r w:rsidRPr="005F372A">
              <w:rPr>
                <w:sz w:val="20"/>
                <w:szCs w:val="22"/>
              </w:rPr>
              <w:t xml:space="preserve"> Республики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РСС</w:t>
            </w:r>
            <w:proofErr w:type="spellEnd"/>
            <w:r w:rsidRPr="005F372A">
              <w:rPr>
                <w:sz w:val="20"/>
                <w:szCs w:val="22"/>
              </w:rPr>
              <w:t>, Региональные отделения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Восточной Европы и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СНГ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Региональная подготовка к </w:t>
            </w:r>
            <w:proofErr w:type="spellStart"/>
            <w:r w:rsidRPr="005F372A">
              <w:rPr>
                <w:sz w:val="20"/>
                <w:szCs w:val="22"/>
              </w:rPr>
              <w:t>ВКР</w:t>
            </w:r>
            <w:proofErr w:type="spellEnd"/>
            <w:r w:rsidRPr="005F372A">
              <w:rPr>
                <w:sz w:val="20"/>
                <w:szCs w:val="22"/>
              </w:rPr>
              <w:noBreakHyphen/>
              <w:t>15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R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56/8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26323">
            <w:pPr>
              <w:pStyle w:val="Tabletext"/>
              <w:keepNext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20–24 апреля 2015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-15 – Африка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Ниамей, Нигер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iCs/>
                <w:sz w:val="20"/>
                <w:szCs w:val="22"/>
              </w:rPr>
              <w:t>Регуляторный орган электросвязи и почт</w:t>
            </w:r>
            <w:r w:rsidRPr="005F372A">
              <w:rPr>
                <w:sz w:val="20"/>
                <w:szCs w:val="22"/>
              </w:rPr>
              <w:t xml:space="preserve"> (</w:t>
            </w:r>
            <w:proofErr w:type="spellStart"/>
            <w:r w:rsidRPr="005F372A">
              <w:rPr>
                <w:sz w:val="20"/>
                <w:szCs w:val="22"/>
              </w:rPr>
              <w:t>ARTP</w:t>
            </w:r>
            <w:proofErr w:type="spellEnd"/>
            <w:r w:rsidRPr="005F372A">
              <w:rPr>
                <w:sz w:val="20"/>
                <w:szCs w:val="22"/>
              </w:rPr>
              <w:t>) Нигера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АСЭ</w:t>
            </w:r>
            <w:proofErr w:type="spellEnd"/>
            <w:r w:rsidRPr="005F372A">
              <w:rPr>
                <w:sz w:val="20"/>
                <w:szCs w:val="22"/>
              </w:rPr>
              <w:t>, 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Африки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Новые принципы использования спектра и контроля за его использованием: подготовка Региона к будущему управлению использованием спектра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F, 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100/36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25–30 мая 2015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iCs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iCs/>
                <w:sz w:val="20"/>
                <w:szCs w:val="22"/>
              </w:rPr>
              <w:t>-15 – Азиатско-Тихоокеанский регион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Манила, Филиппины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Управление информационно-коммуникационных технологий, Департамент науки и техники (</w:t>
            </w:r>
            <w:proofErr w:type="spellStart"/>
            <w:r w:rsidRPr="005F372A">
              <w:rPr>
                <w:sz w:val="20"/>
                <w:szCs w:val="22"/>
              </w:rPr>
              <w:t>ICTO</w:t>
            </w:r>
            <w:r w:rsidRPr="005F372A">
              <w:rPr>
                <w:sz w:val="20"/>
                <w:szCs w:val="22"/>
              </w:rPr>
              <w:noBreakHyphen/>
              <w:t>DOST</w:t>
            </w:r>
            <w:proofErr w:type="spellEnd"/>
            <w:r w:rsidRPr="005F372A">
              <w:rPr>
                <w:sz w:val="20"/>
                <w:szCs w:val="22"/>
              </w:rPr>
              <w:t xml:space="preserve">) Филиппин 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АТСЭ</w:t>
            </w:r>
            <w:proofErr w:type="spellEnd"/>
            <w:r w:rsidRPr="005F372A">
              <w:rPr>
                <w:sz w:val="20"/>
                <w:szCs w:val="22"/>
              </w:rPr>
              <w:t>, Департамент связи, правительство Австралии, Региональное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Азиатско-Тихоокеанского региона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Планируемые космические службы: текущее положение и задачи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E</w:t>
            </w:r>
          </w:p>
        </w:tc>
        <w:tc>
          <w:tcPr>
            <w:tcW w:w="184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70/20</w:t>
            </w:r>
          </w:p>
        </w:tc>
      </w:tr>
      <w:tr w:rsidR="00B82873" w:rsidRPr="005F372A" w:rsidTr="005F372A">
        <w:trPr>
          <w:cantSplit/>
          <w:jc w:val="center"/>
        </w:trPr>
        <w:tc>
          <w:tcPr>
            <w:tcW w:w="2265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27–31 июля 2015 г.</w:t>
            </w:r>
          </w:p>
        </w:tc>
        <w:tc>
          <w:tcPr>
            <w:tcW w:w="1988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b/>
                <w:sz w:val="20"/>
                <w:szCs w:val="22"/>
              </w:rPr>
            </w:pPr>
            <w:proofErr w:type="spellStart"/>
            <w:r w:rsidRPr="005F372A">
              <w:rPr>
                <w:b/>
                <w:sz w:val="20"/>
                <w:szCs w:val="22"/>
              </w:rPr>
              <w:t>РСР</w:t>
            </w:r>
            <w:proofErr w:type="spellEnd"/>
            <w:r w:rsidRPr="005F372A">
              <w:rPr>
                <w:b/>
                <w:sz w:val="20"/>
                <w:szCs w:val="22"/>
              </w:rPr>
              <w:t>-15 – Северная и Южная Америка</w:t>
            </w:r>
          </w:p>
        </w:tc>
        <w:tc>
          <w:tcPr>
            <w:tcW w:w="1560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  <w:lang w:eastAsia="zh-CN"/>
              </w:rPr>
              <w:t>Сан-Сальвадор, Сальвадор</w:t>
            </w:r>
          </w:p>
        </w:tc>
        <w:tc>
          <w:tcPr>
            <w:tcW w:w="1981" w:type="dxa"/>
          </w:tcPr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Главное управление энергетики и электросвязи (</w:t>
            </w:r>
            <w:proofErr w:type="spellStart"/>
            <w:r w:rsidRPr="005F372A">
              <w:rPr>
                <w:sz w:val="20"/>
                <w:szCs w:val="22"/>
              </w:rPr>
              <w:t>SIGET</w:t>
            </w:r>
            <w:proofErr w:type="spellEnd"/>
            <w:r w:rsidRPr="005F372A">
              <w:rPr>
                <w:sz w:val="20"/>
                <w:szCs w:val="22"/>
              </w:rPr>
              <w:t xml:space="preserve">) </w:t>
            </w:r>
            <w:r w:rsidRPr="005F372A">
              <w:rPr>
                <w:sz w:val="20"/>
                <w:szCs w:val="22"/>
                <w:lang w:eastAsia="zh-CN"/>
              </w:rPr>
              <w:t>Сальвадора</w:t>
            </w:r>
          </w:p>
        </w:tc>
        <w:tc>
          <w:tcPr>
            <w:tcW w:w="1986" w:type="dxa"/>
          </w:tcPr>
          <w:p w:rsidR="00B82873" w:rsidRPr="005F372A" w:rsidRDefault="00B82873" w:rsidP="00926323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COMTELCA</w:t>
            </w:r>
            <w:proofErr w:type="spellEnd"/>
            <w:r w:rsidRPr="005F372A">
              <w:rPr>
                <w:sz w:val="20"/>
                <w:szCs w:val="22"/>
              </w:rPr>
              <w:t>, зональное отделение МСЭ для</w:t>
            </w:r>
            <w:r w:rsidR="00926323" w:rsidRPr="005F372A">
              <w:rPr>
                <w:sz w:val="20"/>
                <w:szCs w:val="22"/>
              </w:rPr>
              <w:t> </w:t>
            </w:r>
            <w:r w:rsidRPr="005F372A">
              <w:rPr>
                <w:sz w:val="20"/>
                <w:szCs w:val="22"/>
              </w:rPr>
              <w:t>Центральной Америки</w:t>
            </w:r>
          </w:p>
        </w:tc>
        <w:tc>
          <w:tcPr>
            <w:tcW w:w="2128" w:type="dxa"/>
          </w:tcPr>
          <w:p w:rsidR="00B82873" w:rsidRPr="005F372A" w:rsidRDefault="00B82873" w:rsidP="00995A7E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5F372A">
              <w:rPr>
                <w:sz w:val="20"/>
                <w:szCs w:val="22"/>
              </w:rPr>
              <w:t>ВКР</w:t>
            </w:r>
            <w:proofErr w:type="spellEnd"/>
            <w:r w:rsidRPr="005F372A">
              <w:rPr>
                <w:sz w:val="20"/>
                <w:szCs w:val="22"/>
              </w:rPr>
              <w:t>-15: задачи и возможности Региона</w:t>
            </w:r>
          </w:p>
          <w:p w:rsidR="00B82873" w:rsidRPr="005F372A" w:rsidRDefault="00B82873" w:rsidP="00995A7E">
            <w:pPr>
              <w:pStyle w:val="Tabletex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Регистрация диапазона C </w:t>
            </w:r>
          </w:p>
          <w:p w:rsidR="00B82873" w:rsidRPr="005F372A" w:rsidRDefault="00B82873" w:rsidP="00995A7E">
            <w:pPr>
              <w:pStyle w:val="Tabletext"/>
              <w:rPr>
                <w:rFonts w:asciiTheme="majorBidi" w:hAnsiTheme="majorBidi" w:cstheme="majorBidi"/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 xml:space="preserve">Регулирование использования </w:t>
            </w:r>
            <w:proofErr w:type="spellStart"/>
            <w:r w:rsidRPr="005F372A">
              <w:rPr>
                <w:sz w:val="20"/>
                <w:szCs w:val="22"/>
              </w:rPr>
              <w:t>нелицензируемых</w:t>
            </w:r>
            <w:proofErr w:type="spellEnd"/>
            <w:r w:rsidRPr="005F372A">
              <w:rPr>
                <w:sz w:val="20"/>
                <w:szCs w:val="22"/>
              </w:rPr>
              <w:t xml:space="preserve"> устройств</w:t>
            </w:r>
          </w:p>
        </w:tc>
        <w:tc>
          <w:tcPr>
            <w:tcW w:w="850" w:type="dxa"/>
          </w:tcPr>
          <w:p w:rsidR="00B82873" w:rsidRPr="005F372A" w:rsidRDefault="00B82873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S</w:t>
            </w:r>
          </w:p>
        </w:tc>
        <w:tc>
          <w:tcPr>
            <w:tcW w:w="1840" w:type="dxa"/>
          </w:tcPr>
          <w:p w:rsidR="00B82873" w:rsidRPr="005F372A" w:rsidRDefault="00602EB7" w:rsidP="00926323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70/16</w:t>
            </w:r>
          </w:p>
        </w:tc>
      </w:tr>
    </w:tbl>
    <w:p w:rsidR="00B82873" w:rsidRPr="00875E94" w:rsidRDefault="00B82873" w:rsidP="00B82873"/>
    <w:p w:rsidR="00B82873" w:rsidRPr="00875E94" w:rsidRDefault="00B82873" w:rsidP="00B82873">
      <w:pPr>
        <w:sectPr w:rsidR="00B82873" w:rsidRPr="00875E94" w:rsidSect="005F372A">
          <w:footerReference w:type="default" r:id="rId36"/>
          <w:pgSz w:w="16840" w:h="11907" w:orient="landscape" w:code="9"/>
          <w:pgMar w:top="1418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156791" w:rsidRPr="00875E94" w:rsidRDefault="00156791" w:rsidP="00156791">
      <w:pPr>
        <w:pStyle w:val="Heading3"/>
      </w:pPr>
      <w:bookmarkStart w:id="31" w:name="_Toc427075598"/>
      <w:r w:rsidRPr="00875E94">
        <w:lastRenderedPageBreak/>
        <w:t>8.2.3</w:t>
      </w:r>
      <w:r w:rsidRPr="00875E94">
        <w:tab/>
        <w:t xml:space="preserve">Цикл </w:t>
      </w:r>
      <w:proofErr w:type="spellStart"/>
      <w:r w:rsidRPr="00875E94">
        <w:t>ВСР</w:t>
      </w:r>
      <w:proofErr w:type="spellEnd"/>
      <w:r w:rsidRPr="00875E94">
        <w:t xml:space="preserve"> и </w:t>
      </w:r>
      <w:proofErr w:type="spellStart"/>
      <w:r w:rsidRPr="00875E94">
        <w:t>РСР</w:t>
      </w:r>
      <w:proofErr w:type="spellEnd"/>
      <w:r w:rsidRPr="00875E94">
        <w:t>, планируемых на 2016−2019 годы</w:t>
      </w:r>
    </w:p>
    <w:p w:rsidR="00156791" w:rsidRPr="00875E94" w:rsidRDefault="00156791" w:rsidP="00156791">
      <w:r w:rsidRPr="00875E94">
        <w:t xml:space="preserve">Планирование </w:t>
      </w:r>
      <w:proofErr w:type="spellStart"/>
      <w:r w:rsidRPr="00875E94">
        <w:t>ВСР</w:t>
      </w:r>
      <w:proofErr w:type="spellEnd"/>
      <w:r w:rsidRPr="00875E94">
        <w:t xml:space="preserve"> и </w:t>
      </w:r>
      <w:proofErr w:type="spellStart"/>
      <w:r w:rsidRPr="00875E94">
        <w:t>РСР</w:t>
      </w:r>
      <w:proofErr w:type="spellEnd"/>
      <w:r w:rsidRPr="00875E94">
        <w:t xml:space="preserve"> на период 2016–2016 годов будет осуществляться на основе следующих принципов: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r w:rsidR="00156791" w:rsidRPr="00875E94">
        <w:t xml:space="preserve">в течение квартала, следующего до и после </w:t>
      </w:r>
      <w:proofErr w:type="spellStart"/>
      <w:r w:rsidR="00156791" w:rsidRPr="00875E94">
        <w:t>ВКР</w:t>
      </w:r>
      <w:proofErr w:type="spellEnd"/>
      <w:r w:rsidR="00156791" w:rsidRPr="00875E94">
        <w:t>, не планируется проведение семинаров, с</w:t>
      </w:r>
      <w:r w:rsidRPr="00875E94">
        <w:t> </w:t>
      </w:r>
      <w:r w:rsidR="00156791" w:rsidRPr="00875E94">
        <w:t xml:space="preserve">тем чтобы дать возможность внесения уточнений в </w:t>
      </w:r>
      <w:proofErr w:type="spellStart"/>
      <w:r w:rsidR="00156791" w:rsidRPr="00875E94">
        <w:t>РР</w:t>
      </w:r>
      <w:proofErr w:type="spellEnd"/>
      <w:r w:rsidR="00156791" w:rsidRPr="00875E94">
        <w:t xml:space="preserve"> и необходимых изменений в</w:t>
      </w:r>
      <w:r w:rsidRPr="00875E94">
        <w:t> </w:t>
      </w:r>
      <w:r w:rsidR="00156791" w:rsidRPr="00875E94">
        <w:t>программные инструменты;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r w:rsidR="00156791" w:rsidRPr="00875E94">
        <w:t xml:space="preserve">два </w:t>
      </w:r>
      <w:proofErr w:type="spellStart"/>
      <w:r w:rsidR="00156791" w:rsidRPr="00875E94">
        <w:t>ВСР</w:t>
      </w:r>
      <w:proofErr w:type="spellEnd"/>
      <w:r w:rsidR="00156791" w:rsidRPr="00875E94">
        <w:t xml:space="preserve"> в цикле (один раз в два года);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r w:rsidR="00156791" w:rsidRPr="00875E94">
        <w:t xml:space="preserve">первый </w:t>
      </w:r>
      <w:proofErr w:type="spellStart"/>
      <w:r w:rsidR="00156791" w:rsidRPr="00875E94">
        <w:t>ВСР</w:t>
      </w:r>
      <w:proofErr w:type="spellEnd"/>
      <w:r w:rsidR="00156791" w:rsidRPr="00875E94">
        <w:t xml:space="preserve"> после </w:t>
      </w:r>
      <w:proofErr w:type="spellStart"/>
      <w:r w:rsidR="00156791" w:rsidRPr="00875E94">
        <w:t>ВКР</w:t>
      </w:r>
      <w:proofErr w:type="spellEnd"/>
      <w:r w:rsidR="00156791" w:rsidRPr="00875E94">
        <w:t xml:space="preserve"> будет включать специальную сессию, посвященную подробному разъяснению изменений, внесенных в </w:t>
      </w:r>
      <w:proofErr w:type="spellStart"/>
      <w:r w:rsidR="00156791" w:rsidRPr="00875E94">
        <w:t>РР</w:t>
      </w:r>
      <w:proofErr w:type="spellEnd"/>
      <w:r w:rsidR="00156791" w:rsidRPr="00875E94">
        <w:t xml:space="preserve"> на </w:t>
      </w:r>
      <w:proofErr w:type="spellStart"/>
      <w:r w:rsidR="00156791" w:rsidRPr="00875E94">
        <w:t>ВКР</w:t>
      </w:r>
      <w:proofErr w:type="spellEnd"/>
      <w:r w:rsidR="00156791" w:rsidRPr="00875E94">
        <w:t>;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r w:rsidR="00156791" w:rsidRPr="00875E94">
        <w:t xml:space="preserve">проведение двух </w:t>
      </w:r>
      <w:proofErr w:type="spellStart"/>
      <w:r w:rsidR="00156791" w:rsidRPr="00875E94">
        <w:t>РСР</w:t>
      </w:r>
      <w:proofErr w:type="spellEnd"/>
      <w:r w:rsidR="00156791" w:rsidRPr="00875E94">
        <w:t xml:space="preserve"> для Африки не будет планироваться в те же годы, что и </w:t>
      </w:r>
      <w:proofErr w:type="spellStart"/>
      <w:r w:rsidR="00156791" w:rsidRPr="00875E94">
        <w:t>ВСР</w:t>
      </w:r>
      <w:proofErr w:type="spellEnd"/>
      <w:r w:rsidR="00156791" w:rsidRPr="00875E94">
        <w:t>, с</w:t>
      </w:r>
      <w:r w:rsidRPr="00875E94">
        <w:t> </w:t>
      </w:r>
      <w:r w:rsidR="00156791" w:rsidRPr="00875E94">
        <w:t xml:space="preserve">учетом того, что количество участников </w:t>
      </w:r>
      <w:proofErr w:type="spellStart"/>
      <w:r w:rsidR="00156791" w:rsidRPr="00875E94">
        <w:t>РСР</w:t>
      </w:r>
      <w:proofErr w:type="spellEnd"/>
      <w:r w:rsidR="00156791" w:rsidRPr="00875E94">
        <w:t xml:space="preserve"> для Африки почти вдвое превосходит количество участников других </w:t>
      </w:r>
      <w:proofErr w:type="spellStart"/>
      <w:r w:rsidR="00156791" w:rsidRPr="00875E94">
        <w:t>РСР</w:t>
      </w:r>
      <w:proofErr w:type="spellEnd"/>
      <w:r w:rsidR="00156791" w:rsidRPr="00875E94">
        <w:t>, и чтобы обеспечить равномерное распределение бюджета стипендий (страны Африки составляют более 50% стран, отвечающих установленным критериям);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proofErr w:type="spellStart"/>
      <w:r w:rsidR="00156791" w:rsidRPr="00875E94">
        <w:t>РСР</w:t>
      </w:r>
      <w:proofErr w:type="spellEnd"/>
      <w:r w:rsidR="00156791" w:rsidRPr="00875E94">
        <w:t xml:space="preserve"> будут планироваться к проведению каждый квартал, что обеспечить посещение каждого региона в течение года;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proofErr w:type="spellStart"/>
      <w:r w:rsidR="00156791" w:rsidRPr="00875E94">
        <w:t>РСР</w:t>
      </w:r>
      <w:proofErr w:type="spellEnd"/>
      <w:r w:rsidR="00156791" w:rsidRPr="00875E94">
        <w:t xml:space="preserve"> будут проводиться на преобладающем языке региона, что способствует снижению затрат на устный перевод и </w:t>
      </w:r>
      <w:r w:rsidR="00D10E9F" w:rsidRPr="00875E94">
        <w:t xml:space="preserve">упрощает </w:t>
      </w:r>
      <w:r w:rsidR="00156791" w:rsidRPr="00875E94">
        <w:t>обмен информацией во время мероприятия;</w:t>
      </w:r>
    </w:p>
    <w:p w:rsidR="00156791" w:rsidRPr="00875E94" w:rsidRDefault="00926323" w:rsidP="00926323">
      <w:pPr>
        <w:pStyle w:val="enumlev1"/>
      </w:pPr>
      <w:r w:rsidRPr="00875E94">
        <w:t>–</w:t>
      </w:r>
      <w:r w:rsidRPr="00875E94">
        <w:tab/>
      </w:r>
      <w:r w:rsidR="00156791" w:rsidRPr="00875E94">
        <w:t xml:space="preserve">программы </w:t>
      </w:r>
      <w:proofErr w:type="spellStart"/>
      <w:r w:rsidR="00156791" w:rsidRPr="00875E94">
        <w:t>РСР</w:t>
      </w:r>
      <w:proofErr w:type="spellEnd"/>
      <w:r w:rsidR="00156791" w:rsidRPr="00875E94">
        <w:t xml:space="preserve"> будут адаптироваться к конкретным </w:t>
      </w:r>
      <w:r w:rsidR="007457E2" w:rsidRPr="00875E94">
        <w:t>потребностям соответствующего региона;</w:t>
      </w:r>
    </w:p>
    <w:p w:rsidR="007457E2" w:rsidRPr="00875E94" w:rsidRDefault="00926323" w:rsidP="00926323">
      <w:pPr>
        <w:pStyle w:val="enumlev1"/>
      </w:pPr>
      <w:r w:rsidRPr="00875E94">
        <w:t>–</w:t>
      </w:r>
      <w:r w:rsidRPr="00875E94">
        <w:tab/>
      </w:r>
      <w:r w:rsidR="007457E2" w:rsidRPr="00875E94">
        <w:t xml:space="preserve">последний день каждого </w:t>
      </w:r>
      <w:proofErr w:type="spellStart"/>
      <w:r w:rsidR="007457E2" w:rsidRPr="00875E94">
        <w:t>РСР</w:t>
      </w:r>
      <w:proofErr w:type="spellEnd"/>
      <w:r w:rsidR="007457E2" w:rsidRPr="00875E94">
        <w:t xml:space="preserve"> будет посвящен сессии в формате форума, на которую можно было бы приглашать докладчиков из других регионов для расширения рамок дискуссий (в этот день, возможно, потребуется обеспечить устный перевод с английского языка и в обратном направлении). </w:t>
      </w:r>
    </w:p>
    <w:p w:rsidR="00156791" w:rsidRPr="00875E94" w:rsidRDefault="007457E2" w:rsidP="007457E2">
      <w:proofErr w:type="spellStart"/>
      <w:r w:rsidRPr="00875E94">
        <w:t>ВСР</w:t>
      </w:r>
      <w:proofErr w:type="spellEnd"/>
      <w:r w:rsidRPr="00875E94">
        <w:t xml:space="preserve">-16 запланирован на период 12–16 декабря 2016 года. Два </w:t>
      </w:r>
      <w:proofErr w:type="spellStart"/>
      <w:r w:rsidRPr="00875E94">
        <w:t>РСР</w:t>
      </w:r>
      <w:proofErr w:type="spellEnd"/>
      <w:r w:rsidRPr="00875E94">
        <w:t xml:space="preserve"> запланированы на второй семестр 2016 года: один для островных государств Тихого океана и один для стран Карибского бассейна.</w:t>
      </w:r>
    </w:p>
    <w:p w:rsidR="00B82873" w:rsidRPr="00875E94" w:rsidRDefault="00602EB7" w:rsidP="00B82873">
      <w:pPr>
        <w:pStyle w:val="Heading3"/>
      </w:pPr>
      <w:r w:rsidRPr="00875E94">
        <w:t>8</w:t>
      </w:r>
      <w:r w:rsidR="005F372A">
        <w:t>.2.4</w:t>
      </w:r>
      <w:r w:rsidR="00B82873" w:rsidRPr="00875E94">
        <w:tab/>
        <w:t>Другие мероприятия</w:t>
      </w:r>
      <w:bookmarkEnd w:id="31"/>
    </w:p>
    <w:p w:rsidR="00B82873" w:rsidRPr="00875E94" w:rsidRDefault="007457E2" w:rsidP="00926323">
      <w:pPr>
        <w:rPr>
          <w:szCs w:val="24"/>
          <w:lang w:eastAsia="zh-CN"/>
        </w:rPr>
      </w:pPr>
      <w:r w:rsidRPr="00875E94">
        <w:t xml:space="preserve">Период после </w:t>
      </w:r>
      <w:proofErr w:type="spellStart"/>
      <w:r w:rsidRPr="00875E94">
        <w:t>ВКР</w:t>
      </w:r>
      <w:proofErr w:type="spellEnd"/>
      <w:r w:rsidRPr="00875E94">
        <w:t xml:space="preserve">-12 </w:t>
      </w:r>
      <w:r w:rsidR="00B82873" w:rsidRPr="00875E94">
        <w:t xml:space="preserve">характеризовался плотным графиком мероприятий, целиком организуемых </w:t>
      </w:r>
      <w:proofErr w:type="spellStart"/>
      <w:r w:rsidR="00B82873" w:rsidRPr="00875E94">
        <w:t>БР</w:t>
      </w:r>
      <w:proofErr w:type="spellEnd"/>
      <w:r w:rsidR="00B82873" w:rsidRPr="00875E94">
        <w:t xml:space="preserve"> или же в сотрудничестве с </w:t>
      </w:r>
      <w:proofErr w:type="spellStart"/>
      <w:r w:rsidR="00B82873" w:rsidRPr="00875E94">
        <w:t>БРЭ</w:t>
      </w:r>
      <w:proofErr w:type="spellEnd"/>
      <w:r w:rsidR="00B82873" w:rsidRPr="00875E94">
        <w:t>/</w:t>
      </w:r>
      <w:proofErr w:type="spellStart"/>
      <w:r w:rsidR="00B82873" w:rsidRPr="00875E94">
        <w:t>БСЭ</w:t>
      </w:r>
      <w:proofErr w:type="spellEnd"/>
      <w:r w:rsidR="00B82873" w:rsidRPr="00875E94">
        <w:t xml:space="preserve"> и/или другими органами (</w:t>
      </w:r>
      <w:hyperlink r:id="rId37" w:history="1">
        <w:r w:rsidR="00B82873" w:rsidRPr="00875E94">
          <w:rPr>
            <w:rStyle w:val="Hyperlink"/>
            <w:bCs/>
            <w:lang w:eastAsia="zh-CN"/>
          </w:rPr>
          <w:t>http://www.itu.int/ITU</w:t>
        </w:r>
        <w:r w:rsidR="00B82873" w:rsidRPr="00875E94">
          <w:rPr>
            <w:rStyle w:val="Hyperlink"/>
            <w:bCs/>
            <w:lang w:eastAsia="zh-CN"/>
          </w:rPr>
          <w:noBreakHyphen/>
          <w:t>R/go/seminars</w:t>
        </w:r>
      </w:hyperlink>
      <w:r w:rsidR="00B82873" w:rsidRPr="00875E94">
        <w:rPr>
          <w:bCs/>
          <w:lang w:eastAsia="zh-CN"/>
        </w:rPr>
        <w:t>)</w:t>
      </w:r>
      <w:r w:rsidR="00B82873" w:rsidRPr="00875E94">
        <w:t>. Была организована новая серия семинаров-практикумов по эффективному использованию орбиты и</w:t>
      </w:r>
      <w:r w:rsidR="00926323" w:rsidRPr="00875E94">
        <w:t> </w:t>
      </w:r>
      <w:r w:rsidR="00B82873" w:rsidRPr="00875E94">
        <w:t>спектра в целях открытого обсуждения вопросов, которые часто считаются "чувствительными", и</w:t>
      </w:r>
      <w:r w:rsidR="00926323" w:rsidRPr="00875E94">
        <w:t> </w:t>
      </w:r>
      <w:r w:rsidR="00B82873" w:rsidRPr="00875E94">
        <w:t xml:space="preserve">достижения к следующей </w:t>
      </w:r>
      <w:proofErr w:type="spellStart"/>
      <w:r w:rsidR="00B82873" w:rsidRPr="00875E94">
        <w:t>ВКР</w:t>
      </w:r>
      <w:proofErr w:type="spellEnd"/>
      <w:r w:rsidR="00B82873" w:rsidRPr="00875E94">
        <w:t xml:space="preserve"> прогресса в сфере обмена идеями по адаптации и совершенствованию международной нормативной базы регистрации спутниковых сетей</w:t>
      </w:r>
      <w:r w:rsidR="00B82873" w:rsidRPr="00875E94">
        <w:rPr>
          <w:szCs w:val="24"/>
          <w:lang w:eastAsia="zh-CN"/>
        </w:rPr>
        <w:t>.</w:t>
      </w:r>
    </w:p>
    <w:p w:rsidR="00B82873" w:rsidRPr="00875E94" w:rsidRDefault="00B82873" w:rsidP="00926323">
      <w:pPr>
        <w:rPr>
          <w:rFonts w:asciiTheme="majorBidi" w:hAnsiTheme="majorBidi" w:cstheme="majorBidi"/>
        </w:rPr>
      </w:pPr>
      <w:r w:rsidRPr="00875E94">
        <w:t>В рамках работы центров профессионального мастерства Азиатско-Тихоокеанского региона Бюро совместно с отделением МСЭ в Бангкоке (Таиланд) и Государственным центром контроля радиосвязи (</w:t>
      </w:r>
      <w:proofErr w:type="spellStart"/>
      <w:r w:rsidRPr="00875E94">
        <w:t>SRMC</w:t>
      </w:r>
      <w:proofErr w:type="spellEnd"/>
      <w:r w:rsidRPr="00875E94">
        <w:t xml:space="preserve">), </w:t>
      </w:r>
      <w:proofErr w:type="spellStart"/>
      <w:r w:rsidRPr="00875E94">
        <w:t>MIT</w:t>
      </w:r>
      <w:proofErr w:type="spellEnd"/>
      <w:r w:rsidRPr="00875E94">
        <w:t xml:space="preserve">, Китай, организовало с 1 по 28 июня 2015 года первую в истории онлайновую программу по теме "Процедуры регистрации спутниковых сетей и международные нормативные положения" для Азиатско-Тихоокеанского региона. В программе основное внимание уделялось процедурам регистрации спутниковых сетей и </w:t>
      </w:r>
      <w:proofErr w:type="gramStart"/>
      <w:r w:rsidRPr="00875E94">
        <w:t>международным нормативным положениям</w:t>
      </w:r>
      <w:proofErr w:type="gramEnd"/>
      <w:r w:rsidRPr="00875E94">
        <w:t xml:space="preserve"> и она охватывала такие темы, как введение в спутниковые проекты, роль Сектора радиосвязи в МСЭ и в регулировании использования </w:t>
      </w:r>
      <w:proofErr w:type="spellStart"/>
      <w:r w:rsidRPr="00875E94">
        <w:t>орбитально</w:t>
      </w:r>
      <w:proofErr w:type="spellEnd"/>
      <w:r w:rsidRPr="00875E94">
        <w:t>-частотного ресурса, процедуры непланируемых космических служб, процедуры планируемых космических служб (</w:t>
      </w:r>
      <w:proofErr w:type="spellStart"/>
      <w:r w:rsidRPr="00875E94">
        <w:t>РСС</w:t>
      </w:r>
      <w:proofErr w:type="spellEnd"/>
      <w:r w:rsidR="001036E4" w:rsidRPr="00875E94">
        <w:t xml:space="preserve"> и </w:t>
      </w:r>
      <w:proofErr w:type="spellStart"/>
      <w:r w:rsidRPr="00875E94">
        <w:t>ФСС</w:t>
      </w:r>
      <w:proofErr w:type="spellEnd"/>
      <w:r w:rsidRPr="00875E94">
        <w:t>) и другие вопросы</w:t>
      </w:r>
      <w:r w:rsidRPr="00875E94">
        <w:rPr>
          <w:rFonts w:asciiTheme="majorBidi" w:hAnsiTheme="majorBidi" w:cstheme="majorBidi"/>
        </w:rPr>
        <w:t>.</w:t>
      </w:r>
    </w:p>
    <w:p w:rsidR="00B82873" w:rsidRPr="00875E94" w:rsidRDefault="00B82873" w:rsidP="00926323">
      <w:pPr>
        <w:rPr>
          <w:rFonts w:asciiTheme="majorBidi" w:hAnsiTheme="majorBidi" w:cstheme="majorBidi"/>
        </w:rPr>
      </w:pPr>
      <w:r w:rsidRPr="00875E94">
        <w:t>Целью курса является развитие базовых знаний о спутниковых проектах, понимание международных нормативных положений, регламентирующих регистрацию спутниковых сетей, детальное понимание процедур координации, касающихся регистрации спутников, а также обмен опытом и освещение проблем, связанных с регистрацией спутниковых сетей</w:t>
      </w:r>
      <w:r w:rsidRPr="00875E94">
        <w:rPr>
          <w:rFonts w:asciiTheme="majorBidi" w:hAnsiTheme="majorBidi" w:cstheme="majorBidi"/>
        </w:rPr>
        <w:t>.</w:t>
      </w:r>
    </w:p>
    <w:p w:rsidR="00B82873" w:rsidRPr="00875E94" w:rsidRDefault="00B82873" w:rsidP="00926323">
      <w:pPr>
        <w:rPr>
          <w:lang w:eastAsia="zh-CN"/>
        </w:rPr>
      </w:pPr>
      <w:r w:rsidRPr="00875E94">
        <w:t xml:space="preserve">Симпозиум и семинар-практикум МСЭ по вопросам регулирования и системам связи малых спутников был организован в Праге, Чешская Республика, 2–4 марта 2015 года. В центре внимания этого трехдневного симпозиума и семинара-практикума находились регуляторные аспекты </w:t>
      </w:r>
      <w:r w:rsidRPr="00875E94">
        <w:lastRenderedPageBreak/>
        <w:t>использования радиочастотного спектра и спутниковых орбит для систем связи малых спутников и,</w:t>
      </w:r>
      <w:r w:rsidR="00926323" w:rsidRPr="00875E94">
        <w:t> </w:t>
      </w:r>
      <w:r w:rsidRPr="00875E94">
        <w:t>в</w:t>
      </w:r>
      <w:r w:rsidR="00926323" w:rsidRPr="00875E94">
        <w:t> </w:t>
      </w:r>
      <w:r w:rsidRPr="00875E94">
        <w:t>частности, применение положений Регламента радиосвязи МСЭ. Симпозиум был организован МСЭ в сотрудничестве с Академической организацией – членом МСЭ − факультетом проектирования электрических устройств Чешского технического университета (</w:t>
      </w:r>
      <w:proofErr w:type="spellStart"/>
      <w:r w:rsidRPr="00875E94">
        <w:t>CTU</w:t>
      </w:r>
      <w:proofErr w:type="spellEnd"/>
      <w:r w:rsidRPr="00875E94">
        <w:t xml:space="preserve"> </w:t>
      </w:r>
      <w:proofErr w:type="spellStart"/>
      <w:r w:rsidRPr="00875E94">
        <w:t>FEE</w:t>
      </w:r>
      <w:proofErr w:type="spellEnd"/>
      <w:r w:rsidRPr="00875E94">
        <w:t>).</w:t>
      </w:r>
      <w:r w:rsidRPr="00875E94">
        <w:rPr>
          <w:lang w:eastAsia="zh-CN"/>
        </w:rPr>
        <w:t xml:space="preserve"> </w:t>
      </w:r>
      <w:r w:rsidRPr="00875E94">
        <w:t>На</w:t>
      </w:r>
      <w:r w:rsidR="00926323" w:rsidRPr="00875E94">
        <w:t> </w:t>
      </w:r>
      <w:r w:rsidRPr="00875E94">
        <w:t>симпозиуме присутствовало свыше 160 участников из приблизительно 40 стран</w:t>
      </w:r>
      <w:r w:rsidRPr="00875E94">
        <w:rPr>
          <w:lang w:eastAsia="zh-CN"/>
        </w:rPr>
        <w:t>.</w:t>
      </w:r>
    </w:p>
    <w:p w:rsidR="00B82873" w:rsidRPr="00875E94" w:rsidRDefault="00B82873" w:rsidP="00926323">
      <w:r w:rsidRPr="00875E94">
        <w:t>Участники завершили Симпозиум единодушным одобрением Пражской декларации по регулированию и системам связи малых спутников, которая призывает сообщество разработчиков и</w:t>
      </w:r>
      <w:r w:rsidR="00926323" w:rsidRPr="00875E94">
        <w:t> </w:t>
      </w:r>
      <w:proofErr w:type="spellStart"/>
      <w:r w:rsidRPr="00875E94">
        <w:t>эксплуатантов</w:t>
      </w:r>
      <w:proofErr w:type="spellEnd"/>
      <w:r w:rsidRPr="00875E94">
        <w:t xml:space="preserve"> малых спутников к соблюдению применимых международных и национальных законов, нормативных актов и процедур, необходимых для обеспечения долгосрочной устойчивости проектов малых спутников, недопущения вредных помех и надлежащего управления космическим мусором. В Декларации также рекомендуется МСЭ продолжать деятельность по созданию потенциала в области регулирования систем спутниковой связи (см. </w:t>
      </w:r>
      <w:hyperlink r:id="rId38" w:history="1">
        <w:r w:rsidR="00667C27" w:rsidRPr="00EC1EC3">
          <w:rPr>
            <w:rStyle w:val="Hyperlink"/>
          </w:rPr>
          <w:t>http://www.itu.int/en/ITU-R/space/workshops/2015-prague-small-sat/Documents/Prague%20Declaration.pdf</w:t>
        </w:r>
      </w:hyperlink>
      <w:r w:rsidRPr="00875E94">
        <w:t>).</w:t>
      </w:r>
    </w:p>
    <w:p w:rsidR="00B82873" w:rsidRPr="00875E94" w:rsidRDefault="00B82873" w:rsidP="00B82873">
      <w:pPr>
        <w:rPr>
          <w:rFonts w:asciiTheme="majorBidi" w:hAnsiTheme="majorBidi" w:cstheme="majorBidi"/>
          <w:szCs w:val="24"/>
          <w:lang w:eastAsia="zh-CN"/>
        </w:rPr>
      </w:pPr>
      <w:r w:rsidRPr="00875E94">
        <w:rPr>
          <w:szCs w:val="24"/>
        </w:rPr>
        <w:t>Бюро намерено продолжать сотрудничество с центрами профессионального мастерства МСЭ Азиатско-Тихоокеанского региона и периодически проводить онлайновые курсы, посвященные процедурам регистрации спутниковых сетей. В связи с успехом этой деятельности Бюро намерено также разработать аналогичные онлайновые курсы для Африки и Северной и Южной Америки</w:t>
      </w:r>
      <w:r w:rsidRPr="00875E94">
        <w:rPr>
          <w:rFonts w:asciiTheme="majorBidi" w:hAnsiTheme="majorBidi" w:cstheme="majorBidi"/>
          <w:szCs w:val="24"/>
        </w:rPr>
        <w:t>.</w:t>
      </w:r>
    </w:p>
    <w:p w:rsidR="00B82873" w:rsidRPr="00875E94" w:rsidRDefault="00B82873" w:rsidP="00926323">
      <w:pPr>
        <w:rPr>
          <w:lang w:eastAsia="zh-CN"/>
        </w:rPr>
      </w:pPr>
      <w:r w:rsidRPr="00875E94">
        <w:rPr>
          <w:lang w:eastAsia="zh-CN"/>
        </w:rPr>
        <w:t xml:space="preserve">В Таблице </w:t>
      </w:r>
      <w:r w:rsidR="001036E4" w:rsidRPr="00875E94">
        <w:rPr>
          <w:lang w:eastAsia="zh-CN"/>
        </w:rPr>
        <w:t>8</w:t>
      </w:r>
      <w:r w:rsidRPr="00875E94">
        <w:rPr>
          <w:lang w:eastAsia="zh-CN"/>
        </w:rPr>
        <w:t>.2.</w:t>
      </w:r>
      <w:r w:rsidR="001036E4" w:rsidRPr="00875E94">
        <w:rPr>
          <w:lang w:eastAsia="zh-CN"/>
        </w:rPr>
        <w:t>4</w:t>
      </w:r>
      <w:r w:rsidRPr="00875E94">
        <w:rPr>
          <w:lang w:eastAsia="zh-CN"/>
        </w:rPr>
        <w:t xml:space="preserve">-1 представлена краткая сводка миссий, выполненных сотрудниками </w:t>
      </w:r>
      <w:proofErr w:type="spellStart"/>
      <w:r w:rsidRPr="00875E94">
        <w:rPr>
          <w:lang w:eastAsia="zh-CN"/>
        </w:rPr>
        <w:t>БР</w:t>
      </w:r>
      <w:proofErr w:type="spellEnd"/>
      <w:r w:rsidRPr="00875E94">
        <w:rPr>
          <w:lang w:eastAsia="zh-CN"/>
        </w:rPr>
        <w:t xml:space="preserve"> для</w:t>
      </w:r>
      <w:r w:rsidR="00926323" w:rsidRPr="00875E94">
        <w:rPr>
          <w:lang w:eastAsia="zh-CN"/>
        </w:rPr>
        <w:t> </w:t>
      </w:r>
      <w:r w:rsidRPr="00875E94">
        <w:rPr>
          <w:lang w:eastAsia="zh-CN"/>
        </w:rPr>
        <w:t xml:space="preserve">осуществления изложенной выше деятельности </w:t>
      </w:r>
      <w:r w:rsidR="001036E4" w:rsidRPr="00875E94">
        <w:rPr>
          <w:lang w:eastAsia="zh-CN"/>
        </w:rPr>
        <w:t>со времени проведения</w:t>
      </w:r>
      <w:r w:rsidRPr="00875E94">
        <w:rPr>
          <w:lang w:eastAsia="zh-CN"/>
        </w:rPr>
        <w:t xml:space="preserve"> </w:t>
      </w:r>
      <w:proofErr w:type="spellStart"/>
      <w:r w:rsidRPr="00875E94">
        <w:rPr>
          <w:lang w:eastAsia="zh-CN"/>
        </w:rPr>
        <w:t>ВКР</w:t>
      </w:r>
      <w:proofErr w:type="spellEnd"/>
      <w:r w:rsidRPr="00875E94">
        <w:rPr>
          <w:lang w:eastAsia="zh-CN"/>
        </w:rPr>
        <w:t xml:space="preserve">-12. Для полноты картины </w:t>
      </w:r>
      <w:r w:rsidR="001036E4" w:rsidRPr="00875E94">
        <w:rPr>
          <w:lang w:eastAsia="zh-CN"/>
        </w:rPr>
        <w:t xml:space="preserve">в эту таблицу </w:t>
      </w:r>
      <w:r w:rsidRPr="00875E94">
        <w:rPr>
          <w:lang w:eastAsia="zh-CN"/>
        </w:rPr>
        <w:t xml:space="preserve">также включена информация об участии сотрудников </w:t>
      </w:r>
      <w:proofErr w:type="spellStart"/>
      <w:r w:rsidRPr="00875E94">
        <w:rPr>
          <w:lang w:eastAsia="zh-CN"/>
        </w:rPr>
        <w:t>БР</w:t>
      </w:r>
      <w:proofErr w:type="spellEnd"/>
      <w:r w:rsidRPr="00875E94">
        <w:rPr>
          <w:lang w:eastAsia="zh-CN"/>
        </w:rPr>
        <w:t xml:space="preserve"> в оказании помощи </w:t>
      </w:r>
      <w:r w:rsidR="001036E4" w:rsidRPr="00875E94">
        <w:rPr>
          <w:lang w:eastAsia="zh-CN"/>
        </w:rPr>
        <w:t>Государствам-</w:t>
      </w:r>
      <w:r w:rsidRPr="00875E94">
        <w:rPr>
          <w:lang w:eastAsia="zh-CN"/>
        </w:rPr>
        <w:t>Членам</w:t>
      </w:r>
      <w:r w:rsidR="001036E4" w:rsidRPr="00875E94">
        <w:rPr>
          <w:lang w:eastAsia="zh-CN"/>
        </w:rPr>
        <w:t xml:space="preserve"> (см. раздел 8.3)</w:t>
      </w:r>
      <w:r w:rsidRPr="00875E94">
        <w:rPr>
          <w:lang w:eastAsia="zh-CN"/>
        </w:rPr>
        <w:t>.</w:t>
      </w:r>
    </w:p>
    <w:p w:rsidR="00B82873" w:rsidRPr="00875E94" w:rsidRDefault="00B82873" w:rsidP="00B82873"/>
    <w:p w:rsidR="00B82873" w:rsidRPr="00875E94" w:rsidRDefault="00B82873" w:rsidP="00B82873">
      <w:pPr>
        <w:sectPr w:rsidR="00B82873" w:rsidRPr="00875E94" w:rsidSect="005F372A">
          <w:footerReference w:type="default" r:id="rId39"/>
          <w:pgSz w:w="11907" w:h="16840" w:code="9"/>
          <w:pgMar w:top="1418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B82873" w:rsidRPr="00875E94" w:rsidRDefault="00B82873" w:rsidP="005F372A">
      <w:pPr>
        <w:pStyle w:val="TableNo"/>
        <w:spacing w:before="0"/>
      </w:pPr>
      <w:r w:rsidRPr="00875E94">
        <w:lastRenderedPageBreak/>
        <w:t xml:space="preserve">ТАБЛИЦА </w:t>
      </w:r>
      <w:r w:rsidR="001036E4" w:rsidRPr="00875E94">
        <w:t>8</w:t>
      </w:r>
      <w:r w:rsidRPr="00875E94">
        <w:t>.2.</w:t>
      </w:r>
      <w:r w:rsidR="001036E4" w:rsidRPr="00875E94">
        <w:t>4</w:t>
      </w:r>
      <w:r w:rsidRPr="00875E94">
        <w:t>-1</w:t>
      </w:r>
    </w:p>
    <w:p w:rsidR="00B82873" w:rsidRPr="00875E94" w:rsidRDefault="00B82873" w:rsidP="00B82873">
      <w:pPr>
        <w:pStyle w:val="Tabletitle"/>
        <w:rPr>
          <w:lang w:eastAsia="zh-CN"/>
        </w:rPr>
      </w:pPr>
      <w:r w:rsidRPr="00875E94">
        <w:rPr>
          <w:lang w:eastAsia="zh-CN"/>
        </w:rPr>
        <w:t xml:space="preserve">Участие персонала </w:t>
      </w:r>
      <w:proofErr w:type="spellStart"/>
      <w:r w:rsidRPr="00875E94">
        <w:rPr>
          <w:lang w:eastAsia="zh-CN"/>
        </w:rPr>
        <w:t>БР</w:t>
      </w:r>
      <w:proofErr w:type="spellEnd"/>
      <w:r w:rsidRPr="00875E94">
        <w:rPr>
          <w:lang w:eastAsia="zh-CN"/>
        </w:rPr>
        <w:t xml:space="preserve"> в мероприятиях для распространения информации</w:t>
      </w:r>
    </w:p>
    <w:tbl>
      <w:tblPr>
        <w:tblW w:w="139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51"/>
        <w:gridCol w:w="1052"/>
        <w:gridCol w:w="1052"/>
        <w:gridCol w:w="1052"/>
        <w:gridCol w:w="1052"/>
        <w:gridCol w:w="1052"/>
        <w:gridCol w:w="1052"/>
        <w:gridCol w:w="1052"/>
        <w:gridCol w:w="1078"/>
        <w:gridCol w:w="1026"/>
      </w:tblGrid>
      <w:tr w:rsidR="00B82873" w:rsidRPr="005F372A" w:rsidTr="00B82873">
        <w:trPr>
          <w:trHeight w:val="315"/>
          <w:jc w:val="center"/>
        </w:trPr>
        <w:tc>
          <w:tcPr>
            <w:tcW w:w="3402" w:type="dxa"/>
            <w:vMerge w:val="restart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 </w:t>
            </w:r>
          </w:p>
        </w:tc>
        <w:tc>
          <w:tcPr>
            <w:tcW w:w="2103" w:type="dxa"/>
            <w:gridSpan w:val="2"/>
            <w:shd w:val="clear" w:color="auto" w:fill="auto"/>
            <w:noWrap/>
            <w:vAlign w:val="bottom"/>
            <w:hideMark/>
          </w:tcPr>
          <w:p w:rsidR="00B82873" w:rsidRPr="005F372A" w:rsidRDefault="005F372A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2012 г.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:rsidR="00B82873" w:rsidRPr="005F372A" w:rsidRDefault="005F372A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2013 г.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:rsidR="00B82873" w:rsidRPr="005F372A" w:rsidRDefault="005F372A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2014 г.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:rsidR="00B82873" w:rsidRPr="005F372A" w:rsidRDefault="005F372A" w:rsidP="001036E4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2015 г.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ВСЕГО</w:t>
            </w:r>
          </w:p>
        </w:tc>
      </w:tr>
      <w:tr w:rsidR="00B82873" w:rsidRPr="005F372A" w:rsidTr="00B82873">
        <w:trPr>
          <w:trHeight w:val="315"/>
          <w:jc w:val="center"/>
        </w:trPr>
        <w:tc>
          <w:tcPr>
            <w:tcW w:w="3402" w:type="dxa"/>
            <w:vMerge/>
            <w:vAlign w:val="center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Страны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Страны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Страны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B82873" w:rsidRPr="005F372A" w:rsidRDefault="00B82873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Страны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B82873" w:rsidRPr="005F372A" w:rsidRDefault="005F372A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Миссии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B82873" w:rsidRPr="005F372A" w:rsidRDefault="005F372A" w:rsidP="00B82873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Страны</w:t>
            </w:r>
          </w:p>
        </w:tc>
      </w:tr>
      <w:tr w:rsidR="00B82873" w:rsidRPr="005F372A" w:rsidTr="00B82873">
        <w:trPr>
          <w:trHeight w:val="422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5F372A" w:rsidP="00B82873">
            <w:pPr>
              <w:pStyle w:val="Tabletext"/>
              <w:rPr>
                <w:b/>
                <w:bCs/>
                <w:i/>
                <w:iCs/>
                <w:sz w:val="20"/>
                <w:szCs w:val="22"/>
              </w:rPr>
            </w:pPr>
            <w:r w:rsidRPr="005F372A">
              <w:rPr>
                <w:b/>
                <w:bCs/>
                <w:i/>
                <w:iCs/>
                <w:sz w:val="20"/>
                <w:szCs w:val="22"/>
              </w:rPr>
              <w:t xml:space="preserve">Специализированные учреждения </w:t>
            </w:r>
            <w:r w:rsidR="00B82873" w:rsidRPr="005F372A">
              <w:rPr>
                <w:b/>
                <w:bCs/>
                <w:i/>
                <w:iCs/>
                <w:sz w:val="20"/>
                <w:szCs w:val="22"/>
              </w:rPr>
              <w:t xml:space="preserve">ООН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71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4</w:t>
            </w:r>
            <w:r w:rsidR="001036E4" w:rsidRPr="005F372A">
              <w:rPr>
                <w:sz w:val="20"/>
                <w:szCs w:val="22"/>
              </w:rPr>
              <w:t>2</w:t>
            </w:r>
          </w:p>
        </w:tc>
      </w:tr>
      <w:tr w:rsidR="00B82873" w:rsidRPr="005F372A" w:rsidTr="00B82873">
        <w:trPr>
          <w:trHeight w:val="415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5F372A" w:rsidP="00B82873">
            <w:pPr>
              <w:pStyle w:val="Tabletext"/>
              <w:rPr>
                <w:b/>
                <w:bCs/>
                <w:i/>
                <w:iCs/>
                <w:sz w:val="20"/>
                <w:szCs w:val="22"/>
              </w:rPr>
            </w:pPr>
            <w:r w:rsidRPr="005F372A">
              <w:rPr>
                <w:b/>
                <w:bCs/>
                <w:i/>
                <w:iCs/>
                <w:sz w:val="20"/>
                <w:szCs w:val="22"/>
              </w:rPr>
              <w:t xml:space="preserve">Региональные организации электросвязи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</w:t>
            </w:r>
            <w:r w:rsidR="001036E4" w:rsidRPr="005F372A">
              <w:rPr>
                <w:sz w:val="20"/>
                <w:szCs w:val="22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</w:t>
            </w:r>
            <w:r w:rsidR="001036E4" w:rsidRPr="005F372A">
              <w:rPr>
                <w:sz w:val="20"/>
                <w:szCs w:val="22"/>
              </w:rPr>
              <w:t>64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10</w:t>
            </w:r>
            <w:r w:rsidR="001036E4" w:rsidRPr="005F372A">
              <w:rPr>
                <w:sz w:val="20"/>
                <w:szCs w:val="22"/>
              </w:rPr>
              <w:t>3</w:t>
            </w:r>
          </w:p>
        </w:tc>
      </w:tr>
      <w:tr w:rsidR="00B82873" w:rsidRPr="005F372A" w:rsidTr="00B82873">
        <w:trPr>
          <w:trHeight w:val="465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5F372A" w:rsidP="00B82873">
            <w:pPr>
              <w:pStyle w:val="Tabletext"/>
              <w:rPr>
                <w:b/>
                <w:bCs/>
                <w:i/>
                <w:iCs/>
                <w:sz w:val="20"/>
                <w:szCs w:val="22"/>
              </w:rPr>
            </w:pPr>
            <w:r w:rsidRPr="005F372A">
              <w:rPr>
                <w:b/>
                <w:bCs/>
                <w:i/>
                <w:iCs/>
                <w:sz w:val="20"/>
                <w:szCs w:val="22"/>
              </w:rPr>
              <w:t xml:space="preserve">Конференции и симпозиумы, не относящиеся к </w:t>
            </w:r>
            <w:r w:rsidR="00B82873" w:rsidRPr="005F372A">
              <w:rPr>
                <w:b/>
                <w:bCs/>
                <w:i/>
                <w:iCs/>
                <w:sz w:val="20"/>
                <w:szCs w:val="22"/>
              </w:rPr>
              <w:t xml:space="preserve">МСЭ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45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</w:t>
            </w:r>
            <w:r w:rsidR="001036E4" w:rsidRPr="005F372A">
              <w:rPr>
                <w:sz w:val="20"/>
                <w:szCs w:val="22"/>
              </w:rPr>
              <w:t>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</w:t>
            </w:r>
            <w:r w:rsidR="001036E4" w:rsidRPr="005F372A">
              <w:rPr>
                <w:sz w:val="20"/>
                <w:szCs w:val="22"/>
              </w:rPr>
              <w:t>67</w:t>
            </w:r>
          </w:p>
        </w:tc>
      </w:tr>
      <w:tr w:rsidR="00B82873" w:rsidRPr="005F372A" w:rsidTr="00B82873">
        <w:trPr>
          <w:trHeight w:val="317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5F372A" w:rsidP="00B82873">
            <w:pPr>
              <w:pStyle w:val="Tabletext"/>
              <w:rPr>
                <w:b/>
                <w:bCs/>
                <w:i/>
                <w:iCs/>
                <w:sz w:val="20"/>
                <w:szCs w:val="22"/>
              </w:rPr>
            </w:pPr>
            <w:r w:rsidRPr="005F372A">
              <w:rPr>
                <w:b/>
                <w:bCs/>
                <w:i/>
                <w:iCs/>
                <w:sz w:val="20"/>
                <w:szCs w:val="22"/>
              </w:rPr>
              <w:t xml:space="preserve">Семинары, семинары-практикумы и собрания </w:t>
            </w:r>
            <w:r w:rsidR="00B82873" w:rsidRPr="005F372A">
              <w:rPr>
                <w:b/>
                <w:bCs/>
                <w:i/>
                <w:iCs/>
                <w:sz w:val="20"/>
                <w:szCs w:val="22"/>
              </w:rPr>
              <w:t>МСЭ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</w:t>
            </w:r>
            <w:r w:rsidR="001036E4" w:rsidRPr="005F372A">
              <w:rPr>
                <w:sz w:val="20"/>
                <w:szCs w:val="22"/>
              </w:rPr>
              <w:t>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</w:t>
            </w:r>
            <w:r w:rsidR="001036E4" w:rsidRPr="005F372A">
              <w:rPr>
                <w:sz w:val="20"/>
                <w:szCs w:val="22"/>
              </w:rPr>
              <w:t>22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</w:t>
            </w:r>
            <w:r w:rsidR="001036E4" w:rsidRPr="005F372A">
              <w:rPr>
                <w:sz w:val="20"/>
                <w:szCs w:val="22"/>
              </w:rPr>
              <w:t>7</w:t>
            </w:r>
          </w:p>
        </w:tc>
      </w:tr>
      <w:tr w:rsidR="00B82873" w:rsidRPr="005F372A" w:rsidTr="00B82873">
        <w:trPr>
          <w:trHeight w:val="182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5F372A" w:rsidP="00B82873">
            <w:pPr>
              <w:pStyle w:val="Tabletext"/>
              <w:rPr>
                <w:b/>
                <w:bCs/>
                <w:i/>
                <w:iCs/>
                <w:sz w:val="20"/>
                <w:szCs w:val="22"/>
              </w:rPr>
            </w:pPr>
            <w:r w:rsidRPr="005F372A">
              <w:rPr>
                <w:b/>
                <w:bCs/>
                <w:i/>
                <w:iCs/>
                <w:sz w:val="20"/>
                <w:szCs w:val="22"/>
              </w:rPr>
              <w:t>Просьбы об оказании помощи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21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</w:t>
            </w:r>
            <w:r w:rsidR="00B82873" w:rsidRPr="005F372A">
              <w:rPr>
                <w:sz w:val="20"/>
                <w:szCs w:val="22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7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5</w:t>
            </w:r>
            <w:r w:rsidR="00B82873" w:rsidRPr="005F372A">
              <w:rPr>
                <w:sz w:val="20"/>
                <w:szCs w:val="22"/>
              </w:rPr>
              <w:t>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</w:t>
            </w:r>
            <w:r w:rsidR="001036E4" w:rsidRPr="005F372A">
              <w:rPr>
                <w:sz w:val="20"/>
                <w:szCs w:val="22"/>
              </w:rPr>
              <w:t>7</w:t>
            </w:r>
          </w:p>
        </w:tc>
      </w:tr>
      <w:tr w:rsidR="00B82873" w:rsidRPr="005F372A" w:rsidTr="00B82873">
        <w:trPr>
          <w:trHeight w:val="206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5F372A" w:rsidP="00B82873">
            <w:pPr>
              <w:pStyle w:val="Tabletext"/>
              <w:rPr>
                <w:b/>
                <w:bCs/>
                <w:i/>
                <w:iCs/>
                <w:sz w:val="20"/>
                <w:szCs w:val="22"/>
              </w:rPr>
            </w:pPr>
            <w:r w:rsidRPr="005F372A">
              <w:rPr>
                <w:b/>
                <w:bCs/>
                <w:i/>
                <w:iCs/>
                <w:sz w:val="20"/>
                <w:szCs w:val="22"/>
              </w:rPr>
              <w:t>Другие мероприятия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</w:t>
            </w:r>
            <w:r w:rsidR="00B82873" w:rsidRPr="005F372A">
              <w:rPr>
                <w:sz w:val="20"/>
                <w:szCs w:val="22"/>
              </w:rPr>
              <w:t>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1</w:t>
            </w:r>
            <w:r w:rsidR="001036E4" w:rsidRPr="005F372A">
              <w:rPr>
                <w:sz w:val="20"/>
                <w:szCs w:val="22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57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sz w:val="20"/>
                <w:szCs w:val="22"/>
              </w:rPr>
            </w:pPr>
            <w:r w:rsidRPr="005F372A">
              <w:rPr>
                <w:sz w:val="20"/>
                <w:szCs w:val="22"/>
              </w:rPr>
              <w:t>3</w:t>
            </w:r>
            <w:r w:rsidR="001036E4" w:rsidRPr="005F372A">
              <w:rPr>
                <w:sz w:val="20"/>
                <w:szCs w:val="22"/>
              </w:rPr>
              <w:t>5</w:t>
            </w:r>
          </w:p>
        </w:tc>
      </w:tr>
      <w:tr w:rsidR="00B82873" w:rsidRPr="005F372A" w:rsidTr="00B82873">
        <w:trPr>
          <w:trHeight w:val="93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:rsidR="00B82873" w:rsidRPr="005F372A" w:rsidRDefault="00B82873" w:rsidP="00B82873">
            <w:pPr>
              <w:pStyle w:val="Tabletex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ВСЕГО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233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</w:t>
            </w:r>
            <w:r w:rsidR="001036E4" w:rsidRPr="005F372A">
              <w:rPr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2873" w:rsidRPr="005F372A" w:rsidRDefault="001036E4" w:rsidP="00B82873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713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82873" w:rsidRPr="005F372A" w:rsidRDefault="00B82873" w:rsidP="001036E4">
            <w:pPr>
              <w:pStyle w:val="Tabletext"/>
              <w:ind w:right="227"/>
              <w:jc w:val="right"/>
              <w:rPr>
                <w:b/>
                <w:bCs/>
                <w:sz w:val="20"/>
                <w:szCs w:val="22"/>
              </w:rPr>
            </w:pPr>
            <w:r w:rsidRPr="005F372A">
              <w:rPr>
                <w:b/>
                <w:bCs/>
                <w:sz w:val="20"/>
                <w:szCs w:val="22"/>
              </w:rPr>
              <w:t>1</w:t>
            </w:r>
            <w:r w:rsidR="001036E4" w:rsidRPr="005F372A">
              <w:rPr>
                <w:b/>
                <w:bCs/>
                <w:sz w:val="20"/>
                <w:szCs w:val="22"/>
              </w:rPr>
              <w:t>76</w:t>
            </w:r>
          </w:p>
        </w:tc>
      </w:tr>
    </w:tbl>
    <w:p w:rsidR="00B82873" w:rsidRPr="00667C27" w:rsidRDefault="00B82873" w:rsidP="00667C27"/>
    <w:p w:rsidR="00B82873" w:rsidRPr="00667C27" w:rsidRDefault="00B82873" w:rsidP="00667C27">
      <w:pPr>
        <w:sectPr w:rsidR="00B82873" w:rsidRPr="00667C27" w:rsidSect="005F372A">
          <w:footerReference w:type="default" r:id="rId40"/>
          <w:pgSz w:w="16840" w:h="11907" w:orient="landscape" w:code="9"/>
          <w:pgMar w:top="1418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1036E4" w:rsidRPr="00875E94" w:rsidRDefault="001036E4" w:rsidP="001036E4">
      <w:pPr>
        <w:pStyle w:val="Heading2"/>
      </w:pPr>
      <w:bookmarkStart w:id="32" w:name="_Toc427075605"/>
      <w:bookmarkStart w:id="33" w:name="_Toc427075599"/>
      <w:bookmarkStart w:id="34" w:name="_Toc418163379"/>
      <w:bookmarkStart w:id="35" w:name="_Toc418232297"/>
      <w:r w:rsidRPr="00875E94">
        <w:lastRenderedPageBreak/>
        <w:t>8.3</w:t>
      </w:r>
      <w:r w:rsidRPr="00875E94">
        <w:tab/>
        <w:t xml:space="preserve">Помощь </w:t>
      </w:r>
      <w:bookmarkEnd w:id="32"/>
      <w:r w:rsidRPr="00875E94">
        <w:t>Государствам-Членам</w:t>
      </w:r>
    </w:p>
    <w:p w:rsidR="001036E4" w:rsidRPr="00875E94" w:rsidRDefault="001036E4" w:rsidP="00926323">
      <w:pPr>
        <w:pStyle w:val="Heading3"/>
      </w:pPr>
      <w:r w:rsidRPr="00875E94">
        <w:t>8.3.1</w:t>
      </w:r>
      <w:r w:rsidRPr="00875E94">
        <w:tab/>
        <w:t>Помощь администрациям развивающихся стран</w:t>
      </w:r>
    </w:p>
    <w:p w:rsidR="001036E4" w:rsidRPr="00875E94" w:rsidRDefault="001036E4" w:rsidP="001036E4">
      <w:r w:rsidRPr="00875E94">
        <w:t xml:space="preserve">В период между </w:t>
      </w:r>
      <w:proofErr w:type="spellStart"/>
      <w:r w:rsidRPr="00875E94">
        <w:t>ВКР</w:t>
      </w:r>
      <w:proofErr w:type="spellEnd"/>
      <w:r w:rsidRPr="00875E94">
        <w:t xml:space="preserve">-12 и </w:t>
      </w:r>
      <w:proofErr w:type="spellStart"/>
      <w:r w:rsidRPr="00875E94">
        <w:t>ВКР</w:t>
      </w:r>
      <w:proofErr w:type="spellEnd"/>
      <w:r w:rsidRPr="00875E94">
        <w:t>-15 Бюро более чем в 40 случаях предоставляло помощь администрациям развивающихся стран в следующих областях:</w:t>
      </w:r>
    </w:p>
    <w:p w:rsidR="001036E4" w:rsidRPr="00875E94" w:rsidRDefault="001036E4" w:rsidP="00926323">
      <w:pPr>
        <w:pStyle w:val="enumlev1"/>
      </w:pPr>
      <w:r w:rsidRPr="00875E94">
        <w:t>−</w:t>
      </w:r>
      <w:r w:rsidRPr="00875E94">
        <w:tab/>
        <w:t>поддержка деятельности национальных структур, занимающихся управлением использования спектра, в стремительно меняющейся регуляторной среде (см. Резолюцию 7 (</w:t>
      </w:r>
      <w:proofErr w:type="spellStart"/>
      <w:r w:rsidRPr="00875E94">
        <w:t>Пересм</w:t>
      </w:r>
      <w:proofErr w:type="spellEnd"/>
      <w:r w:rsidRPr="00875E94">
        <w:t xml:space="preserve">. </w:t>
      </w:r>
      <w:proofErr w:type="spellStart"/>
      <w:r w:rsidRPr="00875E94">
        <w:t>ВКР</w:t>
      </w:r>
      <w:proofErr w:type="spellEnd"/>
      <w:r w:rsidRPr="00875E94">
        <w:noBreakHyphen/>
        <w:t>03)), и предоставление технической помощи в области космической радиосвязи (Резолюция 15 (</w:t>
      </w:r>
      <w:proofErr w:type="spellStart"/>
      <w:r w:rsidRPr="00875E94">
        <w:t>Пересм</w:t>
      </w:r>
      <w:proofErr w:type="spellEnd"/>
      <w:r w:rsidRPr="00875E94">
        <w:t xml:space="preserve">. </w:t>
      </w:r>
      <w:proofErr w:type="spellStart"/>
      <w:r w:rsidRPr="00875E94">
        <w:t>ВКР</w:t>
      </w:r>
      <w:proofErr w:type="spellEnd"/>
      <w:r w:rsidRPr="00875E94">
        <w:noBreakHyphen/>
        <w:t xml:space="preserve">03)); в связи с этим был предпринят ряд миссий либо по просьбе администраций, либо в рамках специальных миссий, организуемых совместно с </w:t>
      </w:r>
      <w:proofErr w:type="spellStart"/>
      <w:r w:rsidRPr="00875E94">
        <w:t>БРЭ</w:t>
      </w:r>
      <w:proofErr w:type="spellEnd"/>
      <w:r w:rsidRPr="00875E94">
        <w:t xml:space="preserve">, включая участие экспертов </w:t>
      </w:r>
      <w:proofErr w:type="spellStart"/>
      <w:r w:rsidRPr="00875E94">
        <w:t>БР</w:t>
      </w:r>
      <w:proofErr w:type="spellEnd"/>
      <w:r w:rsidRPr="00875E94">
        <w:t xml:space="preserve"> в региональных семинарах, организуемых </w:t>
      </w:r>
      <w:proofErr w:type="spellStart"/>
      <w:r w:rsidRPr="00875E94">
        <w:t>БРЭ</w:t>
      </w:r>
      <w:proofErr w:type="spellEnd"/>
      <w:r w:rsidRPr="00875E94">
        <w:t xml:space="preserve"> или региональными организациями, в целях создания потенциала. Кроме того, экспертам из администраций наименее развитых стран были предоставлены необходимые стипендии для участия в проводимых </w:t>
      </w:r>
      <w:proofErr w:type="spellStart"/>
      <w:r w:rsidRPr="00875E94">
        <w:t>БР</w:t>
      </w:r>
      <w:proofErr w:type="spellEnd"/>
      <w:r w:rsidRPr="00875E94">
        <w:t xml:space="preserve"> семинарах и</w:t>
      </w:r>
      <w:r w:rsidR="00926323" w:rsidRPr="00875E94">
        <w:t> </w:t>
      </w:r>
      <w:r w:rsidRPr="00875E94">
        <w:t>семинарах-практикумах по радиосвязи. Эксперты из администраций также прошли в</w:t>
      </w:r>
      <w:r w:rsidR="00926323" w:rsidRPr="00875E94">
        <w:t> </w:t>
      </w:r>
      <w:r w:rsidRPr="00875E94">
        <w:t>штаб-квартире МСЭ индивидуальную или групповую подготовку на рабочем месте в</w:t>
      </w:r>
      <w:r w:rsidR="00926323" w:rsidRPr="00875E94">
        <w:t> </w:t>
      </w:r>
      <w:r w:rsidRPr="00875E94">
        <w:t>области процедур регламентации радиосвязи;</w:t>
      </w:r>
    </w:p>
    <w:p w:rsidR="001036E4" w:rsidRPr="00875E94" w:rsidRDefault="001036E4" w:rsidP="00926323">
      <w:pPr>
        <w:pStyle w:val="enumlev1"/>
      </w:pPr>
      <w:r w:rsidRPr="00875E94">
        <w:t>−</w:t>
      </w:r>
      <w:r w:rsidRPr="00875E94">
        <w:tab/>
        <w:t>участие в собраниях региональных координационных групп, как это предлагается в</w:t>
      </w:r>
      <w:r w:rsidR="00926323" w:rsidRPr="00875E94">
        <w:t> </w:t>
      </w:r>
      <w:r w:rsidRPr="00875E94">
        <w:t>Статье 12 Регламента радиосвязи;</w:t>
      </w:r>
    </w:p>
    <w:p w:rsidR="001036E4" w:rsidRPr="00875E94" w:rsidRDefault="001036E4" w:rsidP="00926323">
      <w:pPr>
        <w:pStyle w:val="enumlev1"/>
      </w:pPr>
      <w:r w:rsidRPr="00875E94">
        <w:t>−</w:t>
      </w:r>
      <w:r w:rsidRPr="00875E94">
        <w:tab/>
        <w:t>предоставление помощи в долгосрочном управлении использованием частот и</w:t>
      </w:r>
      <w:r w:rsidR="00926323" w:rsidRPr="00875E94">
        <w:t> </w:t>
      </w:r>
      <w:r w:rsidRPr="00875E94">
        <w:t>в</w:t>
      </w:r>
      <w:r w:rsidR="00926323" w:rsidRPr="00875E94">
        <w:t> </w:t>
      </w:r>
      <w:r w:rsidRPr="00875E94">
        <w:t>присвоениях для подвижной широкополосной связи (</w:t>
      </w:r>
      <w:proofErr w:type="spellStart"/>
      <w:r w:rsidRPr="00875E94">
        <w:t>IMT</w:t>
      </w:r>
      <w:proofErr w:type="spellEnd"/>
      <w:r w:rsidRPr="00875E94">
        <w:t>);</w:t>
      </w:r>
    </w:p>
    <w:p w:rsidR="001036E4" w:rsidRPr="00875E94" w:rsidRDefault="001036E4" w:rsidP="00926323">
      <w:pPr>
        <w:pStyle w:val="enumlev1"/>
      </w:pPr>
      <w:r w:rsidRPr="00875E94">
        <w:t>−</w:t>
      </w:r>
      <w:r w:rsidRPr="00875E94">
        <w:tab/>
        <w:t>предоставление руководящих указаний и технической поддержки в связи с переходом к</w:t>
      </w:r>
      <w:r w:rsidR="00926323" w:rsidRPr="00875E94">
        <w:t> </w:t>
      </w:r>
      <w:r w:rsidRPr="00875E94">
        <w:t>цифровому телевидению и распределением цифрового дивиденда.</w:t>
      </w:r>
    </w:p>
    <w:p w:rsidR="001036E4" w:rsidRPr="00875E94" w:rsidRDefault="001036E4" w:rsidP="001036E4">
      <w:r w:rsidRPr="00875E94">
        <w:t xml:space="preserve">В Таблице 8.2.4-1 представлена информация об этой деятельности. </w:t>
      </w:r>
    </w:p>
    <w:p w:rsidR="001036E4" w:rsidRPr="00875E94" w:rsidRDefault="001036E4" w:rsidP="001B2877">
      <w:pPr>
        <w:pStyle w:val="Heading3"/>
      </w:pPr>
      <w:bookmarkStart w:id="36" w:name="_Toc427075606"/>
      <w:r w:rsidRPr="00875E94">
        <w:t>8.3.2</w:t>
      </w:r>
      <w:r w:rsidRPr="00875E94">
        <w:tab/>
        <w:t>Помощь региональным группам</w:t>
      </w:r>
      <w:bookmarkEnd w:id="36"/>
    </w:p>
    <w:p w:rsidR="001036E4" w:rsidRPr="00875E94" w:rsidRDefault="001036E4" w:rsidP="00926323">
      <w:r w:rsidRPr="00875E94">
        <w:t xml:space="preserve">В период между </w:t>
      </w:r>
      <w:proofErr w:type="spellStart"/>
      <w:r w:rsidRPr="00875E94">
        <w:t>ВКР</w:t>
      </w:r>
      <w:proofErr w:type="spellEnd"/>
      <w:r w:rsidRPr="00875E94">
        <w:t xml:space="preserve">-12 и </w:t>
      </w:r>
      <w:proofErr w:type="spellStart"/>
      <w:r w:rsidRPr="00875E94">
        <w:t>ВКР</w:t>
      </w:r>
      <w:proofErr w:type="spellEnd"/>
      <w:r w:rsidRPr="00875E94">
        <w:t xml:space="preserve">-15, в ответ на запрос региональных групп </w:t>
      </w:r>
      <w:proofErr w:type="spellStart"/>
      <w:r w:rsidRPr="00875E94">
        <w:t>АСЭ</w:t>
      </w:r>
      <w:proofErr w:type="spellEnd"/>
      <w:r w:rsidRPr="00875E94">
        <w:t xml:space="preserve"> и </w:t>
      </w:r>
      <w:proofErr w:type="spellStart"/>
      <w:r w:rsidRPr="00875E94">
        <w:t>ASMG</w:t>
      </w:r>
      <w:proofErr w:type="spellEnd"/>
      <w:r w:rsidRPr="00875E94">
        <w:t xml:space="preserve"> об оказании помощи в выполнении решений </w:t>
      </w:r>
      <w:proofErr w:type="spellStart"/>
      <w:r w:rsidRPr="00875E94">
        <w:t>ВКР</w:t>
      </w:r>
      <w:proofErr w:type="spellEnd"/>
      <w:r w:rsidRPr="00875E94">
        <w:t xml:space="preserve">-07 и </w:t>
      </w:r>
      <w:proofErr w:type="spellStart"/>
      <w:r w:rsidRPr="00875E94">
        <w:t>ВКР</w:t>
      </w:r>
      <w:proofErr w:type="spellEnd"/>
      <w:r w:rsidRPr="00875E94">
        <w:t>-12 о распределении диапазона 700 МГц и 800 МГц в</w:t>
      </w:r>
      <w:r w:rsidR="00926323" w:rsidRPr="00875E94">
        <w:t> </w:t>
      </w:r>
      <w:r w:rsidRPr="00875E94">
        <w:t xml:space="preserve">период между </w:t>
      </w:r>
      <w:proofErr w:type="spellStart"/>
      <w:r w:rsidRPr="00875E94">
        <w:t>ВКР</w:t>
      </w:r>
      <w:proofErr w:type="spellEnd"/>
      <w:r w:rsidRPr="00875E94">
        <w:t xml:space="preserve">-12 и </w:t>
      </w:r>
      <w:proofErr w:type="spellStart"/>
      <w:r w:rsidRPr="00875E94">
        <w:t>ВКР</w:t>
      </w:r>
      <w:proofErr w:type="spellEnd"/>
      <w:r w:rsidRPr="00875E94">
        <w:t xml:space="preserve">-15, Бюро предоставило техническую поддержку и соответствующее программное обеспечение администрациям </w:t>
      </w:r>
      <w:proofErr w:type="spellStart"/>
      <w:r w:rsidRPr="00875E94">
        <w:t>АСЭ</w:t>
      </w:r>
      <w:proofErr w:type="spellEnd"/>
      <w:r w:rsidRPr="00875E94">
        <w:t xml:space="preserve"> и </w:t>
      </w:r>
      <w:proofErr w:type="spellStart"/>
      <w:r w:rsidRPr="00875E94">
        <w:t>ASMG</w:t>
      </w:r>
      <w:proofErr w:type="spellEnd"/>
      <w:r w:rsidRPr="00875E94">
        <w:t>, чтобы они могли спланировать размещение дополнительных каналов в полосе частот 470–694 МГц в рамках подготовки к переходу к цифровому телевидению и распределению этих полос службам подвижной связи.</w:t>
      </w:r>
    </w:p>
    <w:p w:rsidR="001036E4" w:rsidRPr="00875E94" w:rsidRDefault="001036E4" w:rsidP="001036E4">
      <w:pPr>
        <w:rPr>
          <w:rFonts w:eastAsiaTheme="minorEastAsia"/>
        </w:rPr>
      </w:pPr>
      <w:r w:rsidRPr="00875E94">
        <w:t xml:space="preserve">Бюро также оказало поддержку администрациям меньших групп стран по вопросам координации использования частот. </w:t>
      </w:r>
    </w:p>
    <w:p w:rsidR="001036E4" w:rsidRPr="00875E94" w:rsidRDefault="001036E4" w:rsidP="001B2877">
      <w:pPr>
        <w:pStyle w:val="Heading4"/>
      </w:pPr>
      <w:bookmarkStart w:id="37" w:name="_Toc427075607"/>
      <w:r w:rsidRPr="00875E94">
        <w:t>8.3.2.1</w:t>
      </w:r>
      <w:r w:rsidRPr="00875E94">
        <w:tab/>
        <w:t xml:space="preserve">Помощь </w:t>
      </w:r>
      <w:proofErr w:type="spellStart"/>
      <w:r w:rsidRPr="00875E94">
        <w:t>АСЭ</w:t>
      </w:r>
      <w:bookmarkEnd w:id="37"/>
      <w:proofErr w:type="spellEnd"/>
    </w:p>
    <w:p w:rsidR="001036E4" w:rsidRPr="00875E94" w:rsidRDefault="001036E4" w:rsidP="00926323">
      <w:r w:rsidRPr="00875E94">
        <w:t xml:space="preserve">После организованных </w:t>
      </w:r>
      <w:proofErr w:type="spellStart"/>
      <w:r w:rsidRPr="00875E94">
        <w:t>АСЭ</w:t>
      </w:r>
      <w:proofErr w:type="spellEnd"/>
      <w:r w:rsidRPr="00875E94">
        <w:t xml:space="preserve"> двух встреч на высшем уровне для министров стран Африки, состоявших в Найроби (декабрь 2011 года) и Аккре (сентябрь 2012 года), был начат процесс координации, в котором приняли участие 47 стран Африки к югу от Сахары. Активные дискуссии и</w:t>
      </w:r>
      <w:r w:rsidR="00926323" w:rsidRPr="00875E94">
        <w:t> </w:t>
      </w:r>
      <w:r w:rsidRPr="00875E94">
        <w:t xml:space="preserve">анализ технической совместимости частот, основанные на рекомендациях </w:t>
      </w:r>
      <w:proofErr w:type="spellStart"/>
      <w:r w:rsidRPr="00875E94">
        <w:t>АСЭ</w:t>
      </w:r>
      <w:proofErr w:type="spellEnd"/>
      <w:r w:rsidRPr="00875E94">
        <w:t>, принятых в Бамако в марте 2012 года, длились 18 месяцев. За этот период были осуществлены 33 итерации совместимости, основанные на заявках администраций.</w:t>
      </w:r>
    </w:p>
    <w:p w:rsidR="001036E4" w:rsidRPr="00875E94" w:rsidRDefault="001036E4" w:rsidP="001036E4">
      <w:proofErr w:type="spellStart"/>
      <w:r w:rsidRPr="00875E94">
        <w:t>АСЭ</w:t>
      </w:r>
      <w:proofErr w:type="spellEnd"/>
      <w:r w:rsidRPr="00875E94">
        <w:t xml:space="preserve"> при поддержке МСЭ организовал три собрания по планированию и координации соответственно в Бамако, Кампале и Найроби, для того чтобы познакомить участвующие администрации с процессом двусторонней и многосторонней координации.</w:t>
      </w:r>
    </w:p>
    <w:p w:rsidR="001036E4" w:rsidRPr="00875E94" w:rsidRDefault="001036E4" w:rsidP="001036E4">
      <w:r w:rsidRPr="00875E94">
        <w:t xml:space="preserve">Доля удовлетворенных заявок составила в среднем 97,37%. По состоянию на момент подготовки настоящего Отчета 89% администраций </w:t>
      </w:r>
      <w:proofErr w:type="spellStart"/>
      <w:r w:rsidRPr="00875E94">
        <w:t>АСЭ</w:t>
      </w:r>
      <w:proofErr w:type="spellEnd"/>
      <w:r w:rsidRPr="00875E94">
        <w:t xml:space="preserve"> успешно внесли изменения в План </w:t>
      </w:r>
      <w:proofErr w:type="spellStart"/>
      <w:r w:rsidRPr="00875E94">
        <w:t>GE06</w:t>
      </w:r>
      <w:proofErr w:type="spellEnd"/>
      <w:r w:rsidRPr="00875E94">
        <w:t xml:space="preserve"> в соответствии с достигнутым соглашением.</w:t>
      </w:r>
    </w:p>
    <w:p w:rsidR="001036E4" w:rsidRPr="00875E94" w:rsidRDefault="00317F3B" w:rsidP="001B2877">
      <w:pPr>
        <w:pStyle w:val="Heading4"/>
      </w:pPr>
      <w:bookmarkStart w:id="38" w:name="_Toc427075608"/>
      <w:r w:rsidRPr="00875E94">
        <w:lastRenderedPageBreak/>
        <w:t>8</w:t>
      </w:r>
      <w:r w:rsidR="001036E4" w:rsidRPr="00875E94">
        <w:t>.</w:t>
      </w:r>
      <w:r w:rsidRPr="00875E94">
        <w:t>3</w:t>
      </w:r>
      <w:r w:rsidR="001036E4" w:rsidRPr="00875E94">
        <w:t>.2</w:t>
      </w:r>
      <w:r w:rsidRPr="00875E94">
        <w:t>.2</w:t>
      </w:r>
      <w:r w:rsidR="001036E4" w:rsidRPr="00875E94">
        <w:tab/>
        <w:t xml:space="preserve">Помощь </w:t>
      </w:r>
      <w:proofErr w:type="spellStart"/>
      <w:r w:rsidR="001036E4" w:rsidRPr="00875E94">
        <w:t>ASMG</w:t>
      </w:r>
      <w:bookmarkEnd w:id="38"/>
      <w:proofErr w:type="spellEnd"/>
    </w:p>
    <w:p w:rsidR="001036E4" w:rsidRPr="00875E94" w:rsidRDefault="001036E4" w:rsidP="00926323">
      <w:r w:rsidRPr="00875E94">
        <w:t xml:space="preserve">Процесс координации между странами </w:t>
      </w:r>
      <w:proofErr w:type="spellStart"/>
      <w:r w:rsidRPr="00875E94">
        <w:t>ASMG</w:t>
      </w:r>
      <w:proofErr w:type="spellEnd"/>
      <w:r w:rsidRPr="00875E94">
        <w:t xml:space="preserve"> был начат в соответствии с рекомендацией, вынесенной на 35</w:t>
      </w:r>
      <w:r w:rsidRPr="00875E94">
        <w:noBreakHyphen/>
        <w:t>м совещании Постоянного арабского комитета по коммуникациям и информации (Каир, 4–5 марта 2014 года). В процессе приняли участие 17 администраций арабских государств (за</w:t>
      </w:r>
      <w:r w:rsidR="00926323" w:rsidRPr="00875E94">
        <w:t> </w:t>
      </w:r>
      <w:r w:rsidRPr="00875E94">
        <w:t xml:space="preserve">исключением арабских стран, также входящих в состав </w:t>
      </w:r>
      <w:proofErr w:type="spellStart"/>
      <w:r w:rsidRPr="00875E94">
        <w:t>АСЭ</w:t>
      </w:r>
      <w:proofErr w:type="spellEnd"/>
      <w:r w:rsidRPr="00875E94">
        <w:t>).</w:t>
      </w:r>
    </w:p>
    <w:p w:rsidR="001036E4" w:rsidRPr="00875E94" w:rsidRDefault="001036E4" w:rsidP="001036E4">
      <w:r w:rsidRPr="00875E94">
        <w:t xml:space="preserve">В рамках процесса, занявшего 11 месяцев, были выработаны критерии координации и установлены потребности в частотах в полосе частот 470–694 МГц на основании рекомендаций </w:t>
      </w:r>
      <w:proofErr w:type="spellStart"/>
      <w:r w:rsidRPr="00875E94">
        <w:t>ASMG</w:t>
      </w:r>
      <w:proofErr w:type="spellEnd"/>
      <w:r w:rsidRPr="00875E94">
        <w:t xml:space="preserve"> (Дубай, 2014 год). Для проведения анализа совместимости на основании заявок администраций было осуществлено в общей сложности 27 итераций. В Дубае, </w:t>
      </w:r>
      <w:proofErr w:type="spellStart"/>
      <w:r w:rsidRPr="00875E94">
        <w:t>Хаммамете</w:t>
      </w:r>
      <w:proofErr w:type="spellEnd"/>
      <w:r w:rsidRPr="00875E94">
        <w:t xml:space="preserve"> и Марракеше успешно состоялись три совещания, направленные на содействие двусторонней и многосторонней координации.</w:t>
      </w:r>
    </w:p>
    <w:p w:rsidR="001036E4" w:rsidRPr="00875E94" w:rsidRDefault="001036E4" w:rsidP="00926323">
      <w:r w:rsidRPr="00875E94">
        <w:t xml:space="preserve">Доля удовлетворенных заявок составила в среднем 76,87%. По состоянию на момент подготовки настоящего Отчета администрации </w:t>
      </w:r>
      <w:proofErr w:type="spellStart"/>
      <w:r w:rsidRPr="00875E94">
        <w:t>ASMG</w:t>
      </w:r>
      <w:proofErr w:type="spellEnd"/>
      <w:r w:rsidRPr="00875E94">
        <w:t xml:space="preserve"> занимались внесением изменений в План </w:t>
      </w:r>
      <w:proofErr w:type="spellStart"/>
      <w:r w:rsidRPr="00875E94">
        <w:t>GE06</w:t>
      </w:r>
      <w:proofErr w:type="spellEnd"/>
      <w:r w:rsidRPr="00875E94">
        <w:t xml:space="preserve"> в</w:t>
      </w:r>
      <w:r w:rsidR="00926323" w:rsidRPr="00875E94">
        <w:t> </w:t>
      </w:r>
      <w:r w:rsidRPr="00875E94">
        <w:t xml:space="preserve">соответствии с достигнутым соглашением о каналах. Процесс координации с участием ряда администраций, не входящих в состав </w:t>
      </w:r>
      <w:proofErr w:type="spellStart"/>
      <w:r w:rsidRPr="00875E94">
        <w:t>ASMG</w:t>
      </w:r>
      <w:proofErr w:type="spellEnd"/>
      <w:r w:rsidRPr="00875E94">
        <w:t xml:space="preserve">, продолжается до сих пор. Он нужен для того, чтобы позволить внести соответствующие изменения в План </w:t>
      </w:r>
      <w:proofErr w:type="spellStart"/>
      <w:r w:rsidRPr="00875E94">
        <w:t>GE06</w:t>
      </w:r>
      <w:proofErr w:type="spellEnd"/>
      <w:r w:rsidRPr="00875E94">
        <w:t>.</w:t>
      </w:r>
    </w:p>
    <w:p w:rsidR="001036E4" w:rsidRPr="00875E94" w:rsidRDefault="00317F3B" w:rsidP="001B2877">
      <w:pPr>
        <w:pStyle w:val="Heading4"/>
      </w:pPr>
      <w:bookmarkStart w:id="39" w:name="_Toc427075609"/>
      <w:r w:rsidRPr="00875E94">
        <w:t>8</w:t>
      </w:r>
      <w:r w:rsidR="001036E4" w:rsidRPr="00875E94">
        <w:t>.</w:t>
      </w:r>
      <w:r w:rsidRPr="00875E94">
        <w:t>3</w:t>
      </w:r>
      <w:r w:rsidR="001036E4" w:rsidRPr="00875E94">
        <w:t>.</w:t>
      </w:r>
      <w:r w:rsidRPr="00875E94">
        <w:t>2.3</w:t>
      </w:r>
      <w:r w:rsidR="001036E4" w:rsidRPr="00875E94">
        <w:tab/>
        <w:t xml:space="preserve">Помощь </w:t>
      </w:r>
      <w:proofErr w:type="spellStart"/>
      <w:r w:rsidR="001036E4" w:rsidRPr="00875E94">
        <w:t>СИТЕЛ</w:t>
      </w:r>
      <w:bookmarkEnd w:id="39"/>
      <w:proofErr w:type="spellEnd"/>
    </w:p>
    <w:p w:rsidR="001036E4" w:rsidRPr="00C11865" w:rsidRDefault="001036E4" w:rsidP="002A713E">
      <w:r w:rsidRPr="00875E94">
        <w:t xml:space="preserve">Разработав онлайновые инструменты для проведения технического анализа в рамках осуществления Плана </w:t>
      </w:r>
      <w:proofErr w:type="spellStart"/>
      <w:r w:rsidRPr="00875E94">
        <w:t>RJ81</w:t>
      </w:r>
      <w:proofErr w:type="spellEnd"/>
      <w:r w:rsidRPr="00875E94">
        <w:t xml:space="preserve">, </w:t>
      </w:r>
      <w:proofErr w:type="spellStart"/>
      <w:r w:rsidRPr="00875E94">
        <w:t>БР</w:t>
      </w:r>
      <w:proofErr w:type="spellEnd"/>
      <w:r w:rsidRPr="00875E94">
        <w:t xml:space="preserve"> по просьбе </w:t>
      </w:r>
      <w:proofErr w:type="spellStart"/>
      <w:r w:rsidRPr="00875E94">
        <w:t>СИТЕЛ</w:t>
      </w:r>
      <w:proofErr w:type="spellEnd"/>
      <w:r w:rsidRPr="00875E94">
        <w:t xml:space="preserve"> организовало дистанционное обучение по использованию этого программного обеспечения.</w:t>
      </w:r>
      <w:r w:rsidR="002A713E">
        <w:t xml:space="preserve"> Кроме</w:t>
      </w:r>
      <w:r w:rsidR="002A713E" w:rsidRPr="002A713E">
        <w:t xml:space="preserve"> </w:t>
      </w:r>
      <w:r w:rsidR="002A713E">
        <w:t>того</w:t>
      </w:r>
      <w:r w:rsidR="002A713E" w:rsidRPr="002A713E">
        <w:t xml:space="preserve">, </w:t>
      </w:r>
      <w:proofErr w:type="spellStart"/>
      <w:r w:rsidR="002A713E">
        <w:t>БР</w:t>
      </w:r>
      <w:proofErr w:type="spellEnd"/>
      <w:r w:rsidR="002A713E" w:rsidRPr="002A713E">
        <w:t xml:space="preserve"> </w:t>
      </w:r>
      <w:r w:rsidR="002A713E">
        <w:t>провело</w:t>
      </w:r>
      <w:r w:rsidR="002A713E" w:rsidRPr="002A713E">
        <w:t xml:space="preserve"> </w:t>
      </w:r>
      <w:r w:rsidR="002A713E">
        <w:t>четыре</w:t>
      </w:r>
      <w:r w:rsidR="002A713E" w:rsidRPr="002A713E">
        <w:t xml:space="preserve"> </w:t>
      </w:r>
      <w:r w:rsidR="002A713E">
        <w:t>онлайновые</w:t>
      </w:r>
      <w:r w:rsidR="002A713E" w:rsidRPr="002A713E">
        <w:t xml:space="preserve"> </w:t>
      </w:r>
      <w:r w:rsidR="002A713E">
        <w:t>учебные</w:t>
      </w:r>
      <w:r w:rsidR="002A713E" w:rsidRPr="002A713E">
        <w:t xml:space="preserve"> </w:t>
      </w:r>
      <w:r w:rsidR="002A713E">
        <w:t xml:space="preserve">сессии по теме "Заявление частотных присвоений (наземные службы)" для участников из </w:t>
      </w:r>
      <w:proofErr w:type="spellStart"/>
      <w:r w:rsidR="002A713E">
        <w:t>СИТЕЛ</w:t>
      </w:r>
      <w:proofErr w:type="spellEnd"/>
      <w:r w:rsidR="002A713E">
        <w:t>, в которых приняли участие 139 человек из 25 стран. Более</w:t>
      </w:r>
      <w:r w:rsidR="002A713E" w:rsidRPr="00C11865">
        <w:t xml:space="preserve"> </w:t>
      </w:r>
      <w:r w:rsidR="002A713E">
        <w:t>подробная</w:t>
      </w:r>
      <w:r w:rsidR="002A713E" w:rsidRPr="00C11865">
        <w:t xml:space="preserve"> </w:t>
      </w:r>
      <w:r w:rsidR="002A713E">
        <w:t>информация</w:t>
      </w:r>
      <w:r w:rsidR="002A713E" w:rsidRPr="00C11865">
        <w:t xml:space="preserve"> </w:t>
      </w:r>
      <w:r w:rsidR="002A713E">
        <w:t>по</w:t>
      </w:r>
      <w:r w:rsidR="002A713E" w:rsidRPr="00C11865">
        <w:t xml:space="preserve"> </w:t>
      </w:r>
      <w:r w:rsidR="002A713E">
        <w:t>этому</w:t>
      </w:r>
      <w:r w:rsidR="002A713E" w:rsidRPr="00C11865">
        <w:t xml:space="preserve"> </w:t>
      </w:r>
      <w:r w:rsidR="002A713E">
        <w:t>онлайновому</w:t>
      </w:r>
      <w:r w:rsidR="002A713E" w:rsidRPr="00C11865">
        <w:t xml:space="preserve"> </w:t>
      </w:r>
      <w:r w:rsidR="002A713E">
        <w:t>обучению</w:t>
      </w:r>
      <w:r w:rsidR="002A713E" w:rsidRPr="00C11865">
        <w:t xml:space="preserve"> </w:t>
      </w:r>
      <w:r w:rsidR="002A713E">
        <w:t>содержится</w:t>
      </w:r>
      <w:r w:rsidR="002A713E" w:rsidRPr="00C11865">
        <w:t xml:space="preserve"> </w:t>
      </w:r>
      <w:r w:rsidR="002A713E">
        <w:t>по</w:t>
      </w:r>
      <w:r w:rsidR="002A713E" w:rsidRPr="00C11865">
        <w:t xml:space="preserve"> </w:t>
      </w:r>
      <w:r w:rsidR="002A713E">
        <w:t>адресу</w:t>
      </w:r>
      <w:r w:rsidR="002A713E" w:rsidRPr="00C11865">
        <w:t xml:space="preserve">: </w:t>
      </w:r>
      <w:hyperlink r:id="rId41" w:history="1">
        <w:r w:rsidR="002A713E" w:rsidRPr="00275D63">
          <w:rPr>
            <w:rStyle w:val="Hyperlink"/>
            <w:lang w:val="en-US"/>
          </w:rPr>
          <w:t>http</w:t>
        </w:r>
        <w:r w:rsidR="002A713E" w:rsidRPr="00C11865">
          <w:rPr>
            <w:rStyle w:val="Hyperlink"/>
          </w:rPr>
          <w:t>://</w:t>
        </w:r>
        <w:r w:rsidR="002A713E" w:rsidRPr="00275D63">
          <w:rPr>
            <w:rStyle w:val="Hyperlink"/>
            <w:lang w:val="en-US"/>
          </w:rPr>
          <w:t>www</w:t>
        </w:r>
        <w:r w:rsidR="002A713E" w:rsidRPr="00C11865">
          <w:rPr>
            <w:rStyle w:val="Hyperlink"/>
          </w:rPr>
          <w:t>.</w:t>
        </w:r>
        <w:proofErr w:type="spellStart"/>
        <w:r w:rsidR="002A713E" w:rsidRPr="00275D63">
          <w:rPr>
            <w:rStyle w:val="Hyperlink"/>
            <w:lang w:val="en-US"/>
          </w:rPr>
          <w:t>itu</w:t>
        </w:r>
        <w:proofErr w:type="spellEnd"/>
        <w:r w:rsidR="002A713E" w:rsidRPr="00C11865">
          <w:rPr>
            <w:rStyle w:val="Hyperlink"/>
          </w:rPr>
          <w:t>.</w:t>
        </w:r>
        <w:proofErr w:type="spellStart"/>
        <w:r w:rsidR="002A713E" w:rsidRPr="00275D63">
          <w:rPr>
            <w:rStyle w:val="Hyperlink"/>
            <w:lang w:val="en-US"/>
          </w:rPr>
          <w:t>int</w:t>
        </w:r>
        <w:proofErr w:type="spellEnd"/>
        <w:r w:rsidR="002A713E" w:rsidRPr="00C11865">
          <w:rPr>
            <w:rStyle w:val="Hyperlink"/>
          </w:rPr>
          <w:t>/</w:t>
        </w:r>
        <w:proofErr w:type="spellStart"/>
        <w:r w:rsidR="002A713E" w:rsidRPr="00275D63">
          <w:rPr>
            <w:rStyle w:val="Hyperlink"/>
            <w:lang w:val="en-US"/>
          </w:rPr>
          <w:t>en</w:t>
        </w:r>
        <w:proofErr w:type="spellEnd"/>
        <w:r w:rsidR="002A713E" w:rsidRPr="00C11865">
          <w:rPr>
            <w:rStyle w:val="Hyperlink"/>
          </w:rPr>
          <w:t>/</w:t>
        </w:r>
        <w:r w:rsidR="002A713E" w:rsidRPr="00275D63">
          <w:rPr>
            <w:rStyle w:val="Hyperlink"/>
            <w:lang w:val="en-US"/>
          </w:rPr>
          <w:t>ITU</w:t>
        </w:r>
        <w:r w:rsidR="002A713E" w:rsidRPr="00C11865">
          <w:rPr>
            <w:rStyle w:val="Hyperlink"/>
          </w:rPr>
          <w:t>-</w:t>
        </w:r>
        <w:r w:rsidR="002A713E" w:rsidRPr="00275D63">
          <w:rPr>
            <w:rStyle w:val="Hyperlink"/>
            <w:lang w:val="en-US"/>
          </w:rPr>
          <w:t>R</w:t>
        </w:r>
        <w:r w:rsidR="002A713E" w:rsidRPr="00C11865">
          <w:rPr>
            <w:rStyle w:val="Hyperlink"/>
          </w:rPr>
          <w:t>/</w:t>
        </w:r>
        <w:r w:rsidR="002A713E" w:rsidRPr="00275D63">
          <w:rPr>
            <w:rStyle w:val="Hyperlink"/>
            <w:lang w:val="en-US"/>
          </w:rPr>
          <w:t>terrestrial</w:t>
        </w:r>
        <w:r w:rsidR="002A713E" w:rsidRPr="00C11865">
          <w:rPr>
            <w:rStyle w:val="Hyperlink"/>
          </w:rPr>
          <w:t>/</w:t>
        </w:r>
        <w:r w:rsidR="002A713E" w:rsidRPr="00275D63">
          <w:rPr>
            <w:rStyle w:val="Hyperlink"/>
            <w:lang w:val="en-US"/>
          </w:rPr>
          <w:t>workshops</w:t>
        </w:r>
        <w:r w:rsidR="002A713E" w:rsidRPr="00C11865">
          <w:rPr>
            <w:rStyle w:val="Hyperlink"/>
          </w:rPr>
          <w:t>/</w:t>
        </w:r>
        <w:proofErr w:type="spellStart"/>
        <w:r w:rsidR="002A713E" w:rsidRPr="00275D63">
          <w:rPr>
            <w:rStyle w:val="Hyperlink"/>
            <w:lang w:val="en-US"/>
          </w:rPr>
          <w:t>trainingCITEL</w:t>
        </w:r>
        <w:proofErr w:type="spellEnd"/>
        <w:r w:rsidR="002A713E" w:rsidRPr="00C11865">
          <w:rPr>
            <w:rStyle w:val="Hyperlink"/>
          </w:rPr>
          <w:t>/</w:t>
        </w:r>
        <w:r w:rsidR="002A713E" w:rsidRPr="00275D63">
          <w:rPr>
            <w:rStyle w:val="Hyperlink"/>
            <w:lang w:val="en-US"/>
          </w:rPr>
          <w:t>Pages</w:t>
        </w:r>
        <w:r w:rsidR="002A713E" w:rsidRPr="00C11865">
          <w:rPr>
            <w:rStyle w:val="Hyperlink"/>
          </w:rPr>
          <w:t>/</w:t>
        </w:r>
        <w:r w:rsidR="002A713E" w:rsidRPr="00275D63">
          <w:rPr>
            <w:rStyle w:val="Hyperlink"/>
            <w:lang w:val="en-US"/>
          </w:rPr>
          <w:t>default</w:t>
        </w:r>
        <w:r w:rsidR="002A713E" w:rsidRPr="00C11865">
          <w:rPr>
            <w:rStyle w:val="Hyperlink"/>
          </w:rPr>
          <w:t>.</w:t>
        </w:r>
        <w:proofErr w:type="spellStart"/>
        <w:r w:rsidR="002A713E" w:rsidRPr="00275D63">
          <w:rPr>
            <w:rStyle w:val="Hyperlink"/>
            <w:lang w:val="en-US"/>
          </w:rPr>
          <w:t>aspx</w:t>
        </w:r>
        <w:proofErr w:type="spellEnd"/>
      </w:hyperlink>
      <w:r w:rsidR="00E34D4D" w:rsidRPr="00875E94">
        <w:t>.</w:t>
      </w:r>
    </w:p>
    <w:p w:rsidR="001036E4" w:rsidRPr="00875E94" w:rsidRDefault="00317F3B" w:rsidP="001B2877">
      <w:pPr>
        <w:pStyle w:val="Heading3"/>
      </w:pPr>
      <w:bookmarkStart w:id="40" w:name="_Toc427075610"/>
      <w:r w:rsidRPr="00875E94">
        <w:t>8</w:t>
      </w:r>
      <w:r w:rsidR="001036E4" w:rsidRPr="00875E94">
        <w:t>.3</w:t>
      </w:r>
      <w:r w:rsidRPr="00875E94">
        <w:t>.3</w:t>
      </w:r>
      <w:r w:rsidR="001036E4" w:rsidRPr="00875E94">
        <w:tab/>
        <w:t>Помощь другим группам стран</w:t>
      </w:r>
      <w:bookmarkEnd w:id="40"/>
    </w:p>
    <w:p w:rsidR="001036E4" w:rsidRPr="00875E94" w:rsidRDefault="001036E4" w:rsidP="001036E4">
      <w:r w:rsidRPr="00875E94">
        <w:t>В марте 2013 года и в ноябре 2014 года Бюро организовало в штаб-квартире МСЭ в Женеве два субрегиональных собрания по вопросам координации использования частот. В собраниях приняли участие администрации Бахрейна, Ирана, Катара, Кувейта, Объединенных Арабских Эмиратов, Омана и Саудовской Аравии. Заинтересованные администрации, принимавшие участие в этих собраниях, смогли заключить два соглашения:</w:t>
      </w:r>
    </w:p>
    <w:p w:rsidR="001036E4" w:rsidRPr="00875E94" w:rsidRDefault="001036E4" w:rsidP="001036E4">
      <w:pPr>
        <w:pStyle w:val="enumlev1"/>
      </w:pPr>
      <w:r w:rsidRPr="00875E94">
        <w:t>–</w:t>
      </w:r>
      <w:r w:rsidRPr="00875E94">
        <w:tab/>
        <w:t>соглашение по контролю над трансграничными побочными и вредными помехами службам подвижной связи;</w:t>
      </w:r>
    </w:p>
    <w:p w:rsidR="001036E4" w:rsidRPr="00875E94" w:rsidRDefault="001036E4" w:rsidP="00D10E9F">
      <w:pPr>
        <w:pStyle w:val="enumlev1"/>
      </w:pPr>
      <w:r w:rsidRPr="00875E94">
        <w:t>–</w:t>
      </w:r>
      <w:r w:rsidRPr="00875E94">
        <w:tab/>
        <w:t>механизм ко</w:t>
      </w:r>
      <w:bookmarkStart w:id="41" w:name="_GoBack"/>
      <w:bookmarkEnd w:id="41"/>
      <w:r w:rsidRPr="00875E94">
        <w:t xml:space="preserve">ординации звуковой радиовещательной службы </w:t>
      </w:r>
      <w:proofErr w:type="spellStart"/>
      <w:r w:rsidRPr="00875E94">
        <w:t>ОВЧ</w:t>
      </w:r>
      <w:proofErr w:type="spellEnd"/>
      <w:r w:rsidR="00D10E9F" w:rsidRPr="00875E94">
        <w:t>.</w:t>
      </w:r>
    </w:p>
    <w:p w:rsidR="001036E4" w:rsidRPr="00875E94" w:rsidRDefault="001036E4" w:rsidP="001036E4">
      <w:r w:rsidRPr="00875E94">
        <w:t>Применение этих соглашений способствовало значительному повышению уровня координации использования частот в области подвижной связи.</w:t>
      </w:r>
    </w:p>
    <w:p w:rsidR="001036E4" w:rsidRPr="00875E94" w:rsidRDefault="001036E4" w:rsidP="001036E4">
      <w:r w:rsidRPr="00875E94">
        <w:t>Бюро организовало для администраций Египта, Израиля, Ливана, Палестины и Сирии координационное собрание по вопросам планирования частот для цифрового телевизионного радиовещания в полосе 470–694 МГц. Это собрание состоялось в Женеве 29 сентября – 1 октября 2014 года, и на нем было достигнуто соглашение по некоторым техническим критериям координации использования частот, таким как ограничение запаса помех между Израилем и арабскими странами.</w:t>
      </w:r>
    </w:p>
    <w:p w:rsidR="00317F3B" w:rsidRPr="00875E94" w:rsidRDefault="00317F3B" w:rsidP="00317F3B">
      <w:pPr>
        <w:pStyle w:val="Heading2"/>
      </w:pPr>
      <w:r w:rsidRPr="00875E94">
        <w:t>8.4</w:t>
      </w:r>
      <w:r w:rsidRPr="00875E94">
        <w:tab/>
      </w:r>
      <w:proofErr w:type="spellStart"/>
      <w:r w:rsidRPr="00875E94">
        <w:t>Межсекторальное</w:t>
      </w:r>
      <w:proofErr w:type="spellEnd"/>
      <w:r w:rsidRPr="00875E94">
        <w:t xml:space="preserve"> сотрудничество</w:t>
      </w:r>
    </w:p>
    <w:p w:rsidR="00317F3B" w:rsidRPr="00875E94" w:rsidRDefault="00317F3B" w:rsidP="00317F3B">
      <w:pPr>
        <w:pStyle w:val="Heading2"/>
      </w:pPr>
      <w:r w:rsidRPr="00875E94">
        <w:t>8.4.1</w:t>
      </w:r>
      <w:r w:rsidRPr="00875E94">
        <w:tab/>
        <w:t>Сотрудничество с МСЭ</w:t>
      </w:r>
      <w:r w:rsidRPr="00875E94">
        <w:noBreakHyphen/>
        <w:t xml:space="preserve">D </w:t>
      </w:r>
    </w:p>
    <w:p w:rsidR="00317F3B" w:rsidRPr="00875E94" w:rsidRDefault="00317F3B" w:rsidP="00317F3B">
      <w:r w:rsidRPr="00875E94">
        <w:t xml:space="preserve">Как сообщалось в разделах 8.1–8.3, выше, </w:t>
      </w:r>
      <w:proofErr w:type="spellStart"/>
      <w:r w:rsidRPr="00875E94">
        <w:rPr>
          <w:lang w:eastAsia="zh-CN"/>
        </w:rPr>
        <w:t>БР</w:t>
      </w:r>
      <w:proofErr w:type="spellEnd"/>
      <w:r w:rsidRPr="00875E94">
        <w:rPr>
          <w:lang w:eastAsia="zh-CN"/>
        </w:rPr>
        <w:t xml:space="preserve"> продолжает выполнение своей задачи по </w:t>
      </w:r>
      <w:r w:rsidRPr="00875E94">
        <w:t>предоставлению информации и оказанию помощи членам МСЭ, в частности развивающимся странам, по вопросам, касающимся радиосвязи</w:t>
      </w:r>
      <w:r w:rsidRPr="00875E94">
        <w:rPr>
          <w:lang w:eastAsia="zh-CN"/>
        </w:rPr>
        <w:t xml:space="preserve">. Для этого </w:t>
      </w:r>
      <w:proofErr w:type="spellStart"/>
      <w:r w:rsidRPr="00875E94">
        <w:rPr>
          <w:lang w:eastAsia="zh-CN"/>
        </w:rPr>
        <w:t>БР</w:t>
      </w:r>
      <w:proofErr w:type="spellEnd"/>
      <w:r w:rsidRPr="00875E94">
        <w:rPr>
          <w:lang w:eastAsia="zh-CN"/>
        </w:rPr>
        <w:t xml:space="preserve"> </w:t>
      </w:r>
      <w:r w:rsidRPr="00875E94">
        <w:t xml:space="preserve">организует по связанной со спектром тематике ряд семинаров-практикумов, семинаров, собраний и мероприятий по созданию потенциала и принимает в них участие. Эта деятельность осуществляется в тесном сотрудничестве с </w:t>
      </w:r>
      <w:proofErr w:type="spellStart"/>
      <w:r w:rsidRPr="00875E94">
        <w:t>БРЭ</w:t>
      </w:r>
      <w:proofErr w:type="spellEnd"/>
      <w:r w:rsidRPr="00875E94">
        <w:t xml:space="preserve">, </w:t>
      </w:r>
      <w:r w:rsidRPr="00875E94">
        <w:lastRenderedPageBreak/>
        <w:t xml:space="preserve">региональными и зональными отделениями МСЭ, а также соответствующими международными организациями и национальными органами. </w:t>
      </w:r>
    </w:p>
    <w:p w:rsidR="00317F3B" w:rsidRPr="00875E94" w:rsidRDefault="00317F3B" w:rsidP="00317F3B">
      <w:pPr>
        <w:pStyle w:val="Heading3"/>
      </w:pPr>
      <w:r w:rsidRPr="00875E94">
        <w:t>8.4.1.1</w:t>
      </w:r>
      <w:r w:rsidRPr="00875E94">
        <w:tab/>
      </w:r>
      <w:proofErr w:type="spellStart"/>
      <w:r w:rsidRPr="00875E94">
        <w:t>ГСР</w:t>
      </w:r>
      <w:proofErr w:type="spellEnd"/>
    </w:p>
    <w:p w:rsidR="00317F3B" w:rsidRPr="00875E94" w:rsidRDefault="00317F3B" w:rsidP="00D10E9F">
      <w:r w:rsidRPr="00875E94">
        <w:t xml:space="preserve">Понимая важность специальной информации для Государств-Членов, </w:t>
      </w:r>
      <w:proofErr w:type="spellStart"/>
      <w:r w:rsidRPr="00875E94">
        <w:t>БР</w:t>
      </w:r>
      <w:proofErr w:type="spellEnd"/>
      <w:r w:rsidRPr="00875E94">
        <w:t xml:space="preserve"> продолжает оказывать поддержку </w:t>
      </w:r>
      <w:proofErr w:type="spellStart"/>
      <w:r w:rsidRPr="00875E94">
        <w:t>БРЭ</w:t>
      </w:r>
      <w:proofErr w:type="spellEnd"/>
      <w:r w:rsidRPr="00875E94">
        <w:t xml:space="preserve"> путем предоставления технических знаний, связанных с управлением использованием спектра, цифровым радиовещанием и цифровым дивидендом. </w:t>
      </w:r>
      <w:proofErr w:type="spellStart"/>
      <w:r w:rsidRPr="00875E94">
        <w:t>БР</w:t>
      </w:r>
      <w:proofErr w:type="spellEnd"/>
      <w:r w:rsidRPr="00875E94">
        <w:t xml:space="preserve"> оказало содействие в проведении Глобального симпозиума МСЭ для регуляторных органов 2012, 2013, 2014</w:t>
      </w:r>
      <w:r w:rsidR="00D10E9F" w:rsidRPr="00875E94">
        <w:t xml:space="preserve"> и</w:t>
      </w:r>
      <w:r w:rsidRPr="00875E94">
        <w:t xml:space="preserve"> 2015</w:t>
      </w:r>
      <w:r w:rsidR="00D10E9F" w:rsidRPr="00875E94">
        <w:t> </w:t>
      </w:r>
      <w:r w:rsidRPr="00875E94">
        <w:t xml:space="preserve">годов, организовав </w:t>
      </w:r>
      <w:r w:rsidR="00C87975" w:rsidRPr="00875E94">
        <w:t xml:space="preserve">сессии, связанные с управлением использованием спектра, </w:t>
      </w:r>
      <w:r w:rsidRPr="00875E94">
        <w:t>и прин</w:t>
      </w:r>
      <w:r w:rsidR="00C87975" w:rsidRPr="00875E94">
        <w:t>яв в них</w:t>
      </w:r>
      <w:r w:rsidRPr="00875E94">
        <w:t xml:space="preserve"> участие.</w:t>
      </w:r>
    </w:p>
    <w:p w:rsidR="00317F3B" w:rsidRPr="00875E94" w:rsidRDefault="00317F3B" w:rsidP="00317F3B">
      <w:pPr>
        <w:pStyle w:val="Heading3"/>
      </w:pPr>
      <w:r w:rsidRPr="00875E94">
        <w:t>8.</w:t>
      </w:r>
      <w:r w:rsidR="00C87975" w:rsidRPr="00875E94">
        <w:t>4.</w:t>
      </w:r>
      <w:r w:rsidRPr="00875E94">
        <w:t>1.2</w:t>
      </w:r>
      <w:r w:rsidRPr="00875E94">
        <w:tab/>
        <w:t>Обследование в области ИКТ и "Око ИКТ"</w:t>
      </w:r>
    </w:p>
    <w:p w:rsidR="00317F3B" w:rsidRPr="00875E94" w:rsidRDefault="00317F3B" w:rsidP="001B2877">
      <w:r w:rsidRPr="00875E94">
        <w:t xml:space="preserve">"Око ИКТ" и его обследование представляют собой важный инструмент для сбора данных, получаемых от администраций по основным показателям ИКТ. </w:t>
      </w:r>
      <w:proofErr w:type="spellStart"/>
      <w:r w:rsidRPr="00875E94">
        <w:t>БРЭ</w:t>
      </w:r>
      <w:proofErr w:type="spellEnd"/>
      <w:r w:rsidRPr="00875E94">
        <w:t xml:space="preserve"> ежегодно отслеживает эти данные и целенаправленно публикует полученные результаты на статистическом портале. Чтобы максимально использовать существующую платформу, предоставляемую "Оком ИКТ", </w:t>
      </w:r>
      <w:proofErr w:type="spellStart"/>
      <w:r w:rsidRPr="00875E94">
        <w:t>БР</w:t>
      </w:r>
      <w:proofErr w:type="spellEnd"/>
      <w:r w:rsidRPr="00875E94">
        <w:t xml:space="preserve"> </w:t>
      </w:r>
      <w:r w:rsidR="00C87975" w:rsidRPr="00875E94">
        <w:t>в</w:t>
      </w:r>
      <w:r w:rsidR="001B2877" w:rsidRPr="00875E94">
        <w:t> </w:t>
      </w:r>
      <w:r w:rsidR="00C87975" w:rsidRPr="00875E94">
        <w:t xml:space="preserve">сотрудничестве с </w:t>
      </w:r>
      <w:proofErr w:type="spellStart"/>
      <w:r w:rsidRPr="00875E94">
        <w:t>БРЭ</w:t>
      </w:r>
      <w:proofErr w:type="spellEnd"/>
      <w:r w:rsidRPr="00875E94">
        <w:t xml:space="preserve"> занима</w:t>
      </w:r>
      <w:r w:rsidR="00C87975" w:rsidRPr="00875E94">
        <w:t xml:space="preserve">лось </w:t>
      </w:r>
      <w:r w:rsidRPr="00875E94">
        <w:t xml:space="preserve">расширением существующего обследования и включением в его состав раздела, посвященного ключевой информации, которая непосредственно относится к спектру (например, аукционы, установление верхнего предела, технологии/стандарты подвижной связи, лицензирование спектра). Раздел, посвященный спектру, был разработан </w:t>
      </w:r>
      <w:proofErr w:type="spellStart"/>
      <w:r w:rsidRPr="00875E94">
        <w:t>БР</w:t>
      </w:r>
      <w:proofErr w:type="spellEnd"/>
      <w:r w:rsidRPr="00875E94">
        <w:t xml:space="preserve"> и впервые опубликован в</w:t>
      </w:r>
      <w:r w:rsidR="001B2877" w:rsidRPr="00875E94">
        <w:t> </w:t>
      </w:r>
      <w:r w:rsidRPr="00875E94">
        <w:t xml:space="preserve">обследовании в области ИКТ в 2013 году. </w:t>
      </w:r>
    </w:p>
    <w:p w:rsidR="00C87975" w:rsidRPr="00875E94" w:rsidRDefault="00C87975" w:rsidP="001B2877">
      <w:pPr>
        <w:pStyle w:val="Heading4"/>
      </w:pPr>
      <w:r w:rsidRPr="00875E94">
        <w:t>8.4.1.3</w:t>
      </w:r>
      <w:r w:rsidRPr="00875E94">
        <w:tab/>
        <w:t>Симпозиум по всемирным показателям в области электросвязи/ИКТ (</w:t>
      </w:r>
      <w:proofErr w:type="spellStart"/>
      <w:r w:rsidRPr="00875E94">
        <w:t>WTIS</w:t>
      </w:r>
      <w:proofErr w:type="spellEnd"/>
      <w:r w:rsidRPr="00875E94">
        <w:t>)</w:t>
      </w:r>
    </w:p>
    <w:p w:rsidR="00C87975" w:rsidRDefault="00C87975" w:rsidP="001B2877">
      <w:proofErr w:type="spellStart"/>
      <w:r w:rsidRPr="00875E94">
        <w:t>БР</w:t>
      </w:r>
      <w:proofErr w:type="spellEnd"/>
      <w:r w:rsidRPr="00875E94">
        <w:t xml:space="preserve"> в сотрудничестве с </w:t>
      </w:r>
      <w:proofErr w:type="spellStart"/>
      <w:r w:rsidRPr="00875E94">
        <w:t>БРЭ</w:t>
      </w:r>
      <w:proofErr w:type="spellEnd"/>
      <w:r w:rsidRPr="00875E94">
        <w:t xml:space="preserve"> занималось показателями и определениями для сбора данных по технологиям подвижной широкополосной связи, особенно в том</w:t>
      </w:r>
      <w:r w:rsidR="00D10E9F" w:rsidRPr="00875E94">
        <w:t>,</w:t>
      </w:r>
      <w:r w:rsidRPr="00875E94">
        <w:t xml:space="preserve"> что касается стандартов. В связи с</w:t>
      </w:r>
      <w:r w:rsidR="001B2877" w:rsidRPr="00875E94">
        <w:t> </w:t>
      </w:r>
      <w:r w:rsidRPr="00875E94">
        <w:t xml:space="preserve">этим </w:t>
      </w:r>
      <w:proofErr w:type="spellStart"/>
      <w:r w:rsidRPr="00875E94">
        <w:t>БР</w:t>
      </w:r>
      <w:proofErr w:type="spellEnd"/>
      <w:r w:rsidRPr="00875E94">
        <w:t xml:space="preserve"> сделало презентации в ходе </w:t>
      </w:r>
      <w:proofErr w:type="spellStart"/>
      <w:r w:rsidRPr="00875E94">
        <w:t>WTIS</w:t>
      </w:r>
      <w:proofErr w:type="spellEnd"/>
      <w:r w:rsidRPr="00875E94">
        <w:t xml:space="preserve">-13 и </w:t>
      </w:r>
      <w:proofErr w:type="spellStart"/>
      <w:r w:rsidRPr="00875E94">
        <w:t>WTIS</w:t>
      </w:r>
      <w:proofErr w:type="spellEnd"/>
      <w:r w:rsidRPr="00875E94">
        <w:t xml:space="preserve">-14. В рамках </w:t>
      </w:r>
      <w:proofErr w:type="spellStart"/>
      <w:r w:rsidRPr="00875E94">
        <w:t>WTIS</w:t>
      </w:r>
      <w:proofErr w:type="spellEnd"/>
      <w:r w:rsidRPr="00875E94">
        <w:t xml:space="preserve">-15 состоялось обсуждение дорожной карты по разработке и измерению показателей для технологий </w:t>
      </w:r>
      <w:proofErr w:type="spellStart"/>
      <w:r w:rsidRPr="00875E94">
        <w:t>5G</w:t>
      </w:r>
      <w:proofErr w:type="spellEnd"/>
      <w:r w:rsidRPr="00875E94">
        <w:t xml:space="preserve"> и беспроводного сегмента </w:t>
      </w:r>
      <w:proofErr w:type="spellStart"/>
      <w:r w:rsidRPr="00875E94">
        <w:t>IoT</w:t>
      </w:r>
      <w:proofErr w:type="spellEnd"/>
      <w:r w:rsidRPr="00875E94">
        <w:t xml:space="preserve">. </w:t>
      </w:r>
      <w:proofErr w:type="spellStart"/>
      <w:r w:rsidRPr="00875E94">
        <w:t>БР</w:t>
      </w:r>
      <w:proofErr w:type="spellEnd"/>
      <w:r w:rsidRPr="00875E94">
        <w:t xml:space="preserve"> приняло активное участие в </w:t>
      </w:r>
      <w:r w:rsidR="00D10E9F" w:rsidRPr="00875E94">
        <w:t>данном</w:t>
      </w:r>
      <w:r w:rsidRPr="00875E94">
        <w:t xml:space="preserve"> процессе в целях обеспечения согласованности c текущей работой МСЭ-R по этому важному вопросу.</w:t>
      </w:r>
    </w:p>
    <w:p w:rsidR="00416273" w:rsidRPr="00875E94" w:rsidRDefault="00416273" w:rsidP="001B2877">
      <w:r>
        <w:t>Данный вид деятельности также включает выполнение аналогичной работы, связанной с ключевыми показателями деятельности (</w:t>
      </w:r>
      <w:proofErr w:type="spellStart"/>
      <w:r>
        <w:rPr>
          <w:lang w:val="en-US"/>
        </w:rPr>
        <w:t>KPI</w:t>
      </w:r>
      <w:proofErr w:type="spellEnd"/>
      <w:r>
        <w:t>) МСЭ-</w:t>
      </w:r>
      <w:r>
        <w:rPr>
          <w:lang w:val="fr-CH"/>
        </w:rPr>
        <w:t>R</w:t>
      </w:r>
      <w:r>
        <w:t>.</w:t>
      </w:r>
    </w:p>
    <w:p w:rsidR="00317F3B" w:rsidRPr="00875E94" w:rsidRDefault="00317F3B" w:rsidP="0078031A">
      <w:pPr>
        <w:pStyle w:val="Heading4"/>
      </w:pPr>
      <w:r w:rsidRPr="00875E94">
        <w:t>8.</w:t>
      </w:r>
      <w:r w:rsidR="0078031A">
        <w:t>4.</w:t>
      </w:r>
      <w:r w:rsidRPr="00875E94">
        <w:t>1.</w:t>
      </w:r>
      <w:r w:rsidR="00C87975" w:rsidRPr="00875E94">
        <w:t>4</w:t>
      </w:r>
      <w:r w:rsidRPr="00875E94">
        <w:tab/>
        <w:t>Учебная программа по управлению использованием спектра (</w:t>
      </w:r>
      <w:proofErr w:type="spellStart"/>
      <w:r w:rsidRPr="00875E94">
        <w:t>SMTP</w:t>
      </w:r>
      <w:proofErr w:type="spellEnd"/>
      <w:r w:rsidRPr="00875E94">
        <w:t>)</w:t>
      </w:r>
    </w:p>
    <w:p w:rsidR="00317F3B" w:rsidRPr="00875E94" w:rsidRDefault="00317F3B" w:rsidP="00317F3B">
      <w:proofErr w:type="spellStart"/>
      <w:r w:rsidRPr="00875E94">
        <w:t>БР</w:t>
      </w:r>
      <w:proofErr w:type="spellEnd"/>
      <w:r w:rsidRPr="00875E94">
        <w:t xml:space="preserve"> продолжало поддерживать тесные контакты с </w:t>
      </w:r>
      <w:proofErr w:type="spellStart"/>
      <w:r w:rsidRPr="00875E94">
        <w:t>БРЭ</w:t>
      </w:r>
      <w:proofErr w:type="spellEnd"/>
      <w:r w:rsidRPr="00875E94">
        <w:t xml:space="preserve"> в рамках работы, представляющей общий интерес для МСЭ-R и МСЭ-D. </w:t>
      </w:r>
      <w:proofErr w:type="spellStart"/>
      <w:r w:rsidRPr="00875E94">
        <w:t>БР</w:t>
      </w:r>
      <w:proofErr w:type="spellEnd"/>
      <w:r w:rsidRPr="00875E94">
        <w:t xml:space="preserve"> участвовало в соответствующих собраниях исследовательских комиссий МСЭ-D, групп докладчиков и </w:t>
      </w:r>
      <w:proofErr w:type="spellStart"/>
      <w:r w:rsidRPr="00875E94">
        <w:t>КГРЭ</w:t>
      </w:r>
      <w:proofErr w:type="spellEnd"/>
      <w:r w:rsidRPr="00875E94">
        <w:t xml:space="preserve">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</w:t>
      </w:r>
      <w:proofErr w:type="spellStart"/>
      <w:r w:rsidRPr="00875E94">
        <w:t>IMT</w:t>
      </w:r>
      <w:proofErr w:type="spellEnd"/>
      <w:r w:rsidRPr="00875E94">
        <w:t xml:space="preserve"> и технологии беспроводного широкополосного доступа. Эти темы дополняют сотрудничество, осуществляемое по линии Вопроса 9-3/2 МСЭ-D, в котором предусматривается определить в МСЭ-R (и МСЭ</w:t>
      </w:r>
      <w:r w:rsidRPr="00875E94">
        <w:noBreakHyphen/>
        <w:t>T) темы исследований, которые, как считается, представляют особый интерес для развивающихся стран.</w:t>
      </w:r>
    </w:p>
    <w:p w:rsidR="00317F3B" w:rsidRPr="00875E94" w:rsidRDefault="00317F3B" w:rsidP="001B2877">
      <w:r w:rsidRPr="00875E94">
        <w:t xml:space="preserve">По просьбам </w:t>
      </w:r>
      <w:proofErr w:type="spellStart"/>
      <w:r w:rsidRPr="00875E94">
        <w:t>БРЭ</w:t>
      </w:r>
      <w:proofErr w:type="spellEnd"/>
      <w:r w:rsidRPr="00875E94">
        <w:t xml:space="preserve"> эксперты из МСЭ</w:t>
      </w:r>
      <w:r w:rsidRPr="00875E94">
        <w:noBreakHyphen/>
        <w:t xml:space="preserve">R и </w:t>
      </w:r>
      <w:proofErr w:type="spellStart"/>
      <w:r w:rsidRPr="00875E94">
        <w:t>БР</w:t>
      </w:r>
      <w:proofErr w:type="spellEnd"/>
      <w:r w:rsidRPr="00875E94">
        <w:t xml:space="preserve"> участвовали в семинарах и практикумах МСЭ, проводившихся МСЭ</w:t>
      </w:r>
      <w:r w:rsidRPr="00875E94">
        <w:noBreakHyphen/>
        <w:t xml:space="preserve">D (см. </w:t>
      </w:r>
      <w:r w:rsidR="008234C5" w:rsidRPr="00875E94">
        <w:t>также раздел 8.2.4</w:t>
      </w:r>
      <w:r w:rsidRPr="00875E94">
        <w:t>). В рамках Резолюции МСЭ</w:t>
      </w:r>
      <w:r w:rsidRPr="00875E94">
        <w:noBreakHyphen/>
        <w:t xml:space="preserve">R 11-4 (Дальнейшая разработка системы управления использованием спектра для развивающихся стран) </w:t>
      </w:r>
      <w:proofErr w:type="spellStart"/>
      <w:r w:rsidRPr="00875E94">
        <w:t>БР</w:t>
      </w:r>
      <w:proofErr w:type="spellEnd"/>
      <w:r w:rsidRPr="00875E94">
        <w:t xml:space="preserve"> участвовало в</w:t>
      </w:r>
      <w:r w:rsidR="001B2877" w:rsidRPr="00875E94">
        <w:t> </w:t>
      </w:r>
      <w:r w:rsidRPr="00875E94">
        <w:t xml:space="preserve">разработке, испытаниях и профессиональной подготовке, связанных с программным обеспечением </w:t>
      </w:r>
      <w:proofErr w:type="spellStart"/>
      <w:r w:rsidRPr="00875E94">
        <w:t>SMS4DC</w:t>
      </w:r>
      <w:proofErr w:type="spellEnd"/>
      <w:r w:rsidRPr="00875E94">
        <w:t xml:space="preserve"> (Система управления использованием спектра для развивающихся стран), предоставляя консультации по использованию соответствующих рекомендаций МСЭ</w:t>
      </w:r>
      <w:r w:rsidRPr="00875E94">
        <w:noBreakHyphen/>
        <w:t>R. Кроме того, 1</w:t>
      </w:r>
      <w:r w:rsidR="001B2877" w:rsidRPr="00875E94">
        <w:noBreakHyphen/>
      </w:r>
      <w:r w:rsidRPr="00875E94">
        <w:t>я</w:t>
      </w:r>
      <w:r w:rsidR="001B2877" w:rsidRPr="00875E94">
        <w:t> </w:t>
      </w:r>
      <w:r w:rsidRPr="00875E94">
        <w:t>Исследовательская комиссия МСЭ</w:t>
      </w:r>
      <w:r w:rsidRPr="00875E94">
        <w:noBreakHyphen/>
        <w:t>R продолжала работать в тесном сотрудничестве с</w:t>
      </w:r>
      <w:r w:rsidR="001B2877" w:rsidRPr="00875E94">
        <w:t> </w:t>
      </w:r>
      <w:r w:rsidRPr="00875E94">
        <w:t>исследовательскими комиссиями МСЭ-D, занимаясь исследованиями в области спектра в</w:t>
      </w:r>
      <w:r w:rsidR="001B2877" w:rsidRPr="00875E94">
        <w:t> </w:t>
      </w:r>
      <w:r w:rsidRPr="00875E94">
        <w:t>соответствии с Резолюцией МСЭ</w:t>
      </w:r>
      <w:r w:rsidRPr="00875E94">
        <w:noBreakHyphen/>
        <w:t xml:space="preserve">D 9. </w:t>
      </w:r>
    </w:p>
    <w:p w:rsidR="00317F3B" w:rsidRPr="00875E94" w:rsidRDefault="00317F3B" w:rsidP="00317F3B">
      <w:r w:rsidRPr="00875E94">
        <w:t xml:space="preserve">В 2013 году </w:t>
      </w:r>
      <w:proofErr w:type="spellStart"/>
      <w:r w:rsidRPr="00875E94">
        <w:t>БР</w:t>
      </w:r>
      <w:proofErr w:type="spellEnd"/>
      <w:r w:rsidRPr="00875E94">
        <w:t xml:space="preserve"> совместно с </w:t>
      </w:r>
      <w:proofErr w:type="spellStart"/>
      <w:r w:rsidRPr="00875E94">
        <w:t>БРЭ</w:t>
      </w:r>
      <w:proofErr w:type="spellEnd"/>
      <w:r w:rsidRPr="00875E94">
        <w:t xml:space="preserve"> подготовило Отчет МСЭ, посвященный цифровому дивиденду. Затем на этой основе 1-я Исследовательская комиссия МСЭ-R разработала и недавно приняла Отчет МСЭ-R по этому вопросу.</w:t>
      </w:r>
    </w:p>
    <w:p w:rsidR="00317F3B" w:rsidRPr="00875E94" w:rsidRDefault="00317F3B" w:rsidP="001B2877">
      <w:r w:rsidRPr="00875E94">
        <w:lastRenderedPageBreak/>
        <w:t>Продолжалась деятельность по публикации справочников при постоянном учете потребностей развивающихся стран, что следует рассматривать как один из основных видов деятельности исследовательских комиссий. В связи с этим были подготовлены новые или пересмотренные справочники по таким темам, как контроль за использованием спектра, информация по</w:t>
      </w:r>
      <w:r w:rsidR="001B2877" w:rsidRPr="00875E94">
        <w:t> </w:t>
      </w:r>
      <w:r w:rsidRPr="00875E94">
        <w:t xml:space="preserve">распространению радиоволн для проектирования наземных линий связи из пункта в пункт, любительская и любительская спутниковая службы, переход к системам </w:t>
      </w:r>
      <w:proofErr w:type="spellStart"/>
      <w:r w:rsidRPr="00875E94">
        <w:t>IMT</w:t>
      </w:r>
      <w:proofErr w:type="spellEnd"/>
      <w:r w:rsidRPr="00875E94">
        <w:t>-2000 и использование радиочастотного спектра в метеорологии – прогнозирование и мониторинг погоды, климата и</w:t>
      </w:r>
      <w:r w:rsidR="001B2877" w:rsidRPr="00875E94">
        <w:t> </w:t>
      </w:r>
      <w:r w:rsidRPr="00875E94">
        <w:t>качества воды.</w:t>
      </w:r>
    </w:p>
    <w:p w:rsidR="008234C5" w:rsidRPr="00875E94" w:rsidRDefault="008234C5" w:rsidP="008234C5">
      <w:r w:rsidRPr="00875E94">
        <w:t xml:space="preserve">Начиная с 2013 года </w:t>
      </w:r>
      <w:proofErr w:type="spellStart"/>
      <w:r w:rsidRPr="00875E94">
        <w:t>БР</w:t>
      </w:r>
      <w:proofErr w:type="spellEnd"/>
      <w:r w:rsidRPr="00875E94">
        <w:t xml:space="preserve"> активно участвует в совместном с </w:t>
      </w:r>
      <w:proofErr w:type="spellStart"/>
      <w:r w:rsidRPr="00875E94">
        <w:t>БРЭ</w:t>
      </w:r>
      <w:proofErr w:type="spellEnd"/>
      <w:r w:rsidRPr="00875E94">
        <w:t xml:space="preserve"> проекте по разработке </w:t>
      </w:r>
      <w:r w:rsidRPr="00875E94">
        <w:rPr>
          <w:i/>
        </w:rPr>
        <w:t>учебной программы по управлению использованием спектра</w:t>
      </w:r>
      <w:r w:rsidRPr="00875E94">
        <w:t xml:space="preserve"> </w:t>
      </w:r>
      <w:r w:rsidRPr="00875E94">
        <w:rPr>
          <w:i/>
          <w:iCs/>
        </w:rPr>
        <w:t>(</w:t>
      </w:r>
      <w:proofErr w:type="spellStart"/>
      <w:r w:rsidRPr="00875E94">
        <w:rPr>
          <w:i/>
          <w:iCs/>
        </w:rPr>
        <w:t>SMTP</w:t>
      </w:r>
      <w:proofErr w:type="spellEnd"/>
      <w:r w:rsidRPr="00875E94">
        <w:rPr>
          <w:i/>
        </w:rPr>
        <w:t>)</w:t>
      </w:r>
      <w:r w:rsidRPr="00875E94">
        <w:t xml:space="preserve"> на разных стадиях его осуществления – разработки, подготовки материалов, экспертной оценки и экспериментальных испытаний (проведенных в 2015 году и апробируемых в настоящее время). В 2016 году планируется реализовать программу </w:t>
      </w:r>
      <w:proofErr w:type="spellStart"/>
      <w:r w:rsidRPr="00875E94">
        <w:t>SMTP</w:t>
      </w:r>
      <w:proofErr w:type="spellEnd"/>
      <w:r w:rsidRPr="00875E94">
        <w:t xml:space="preserve"> в полном объеме для профессиональной подготовки персонала органов, осуществляющих регулирование использования спектра, в развивающихся странах. </w:t>
      </w:r>
    </w:p>
    <w:p w:rsidR="00317F3B" w:rsidRPr="00875E94" w:rsidRDefault="00317F3B" w:rsidP="0078031A">
      <w:pPr>
        <w:pStyle w:val="Heading3"/>
      </w:pPr>
      <w:r w:rsidRPr="00875E94">
        <w:t>8.</w:t>
      </w:r>
      <w:r w:rsidR="005E134D" w:rsidRPr="00875E94">
        <w:t>4.</w:t>
      </w:r>
      <w:r w:rsidRPr="00875E94">
        <w:t>2</w:t>
      </w:r>
      <w:r w:rsidRPr="00875E94">
        <w:tab/>
        <w:t xml:space="preserve">Сотрудничество с МСЭ-T </w:t>
      </w:r>
    </w:p>
    <w:p w:rsidR="00317F3B" w:rsidRPr="00875E94" w:rsidRDefault="00317F3B" w:rsidP="00317F3B">
      <w:r w:rsidRPr="00875E94">
        <w:t xml:space="preserve">Наряду с темами изменения климата и связи в чрезвычайных ситуациях к темам, представляющим взаимный интерес для МСЭ-R и МСЭ-Т, относятся </w:t>
      </w:r>
      <w:proofErr w:type="spellStart"/>
      <w:r w:rsidRPr="00875E94">
        <w:t>IMT</w:t>
      </w:r>
      <w:proofErr w:type="spellEnd"/>
      <w:r w:rsidRPr="00875E94">
        <w:noBreakHyphen/>
        <w:t>2020,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 права интеллектуальной собственности, а также доступность аудиовизуальных средств массовой информации.</w:t>
      </w:r>
    </w:p>
    <w:p w:rsidR="00317F3B" w:rsidRPr="00875E94" w:rsidRDefault="00317F3B" w:rsidP="00317F3B">
      <w:proofErr w:type="spellStart"/>
      <w:r w:rsidRPr="00875E94">
        <w:t>ИК6</w:t>
      </w:r>
      <w:proofErr w:type="spellEnd"/>
      <w:r w:rsidRPr="00875E94">
        <w:t xml:space="preserve"> создала новую </w:t>
      </w:r>
      <w:proofErr w:type="spellStart"/>
      <w:r w:rsidRPr="00875E94">
        <w:t>Межсекторальную</w:t>
      </w:r>
      <w:proofErr w:type="spellEnd"/>
      <w:r w:rsidRPr="00875E94">
        <w:t xml:space="preserve"> группу Докладчика (</w:t>
      </w:r>
      <w:proofErr w:type="spellStart"/>
      <w:r w:rsidRPr="00875E94">
        <w:t>МГД</w:t>
      </w:r>
      <w:proofErr w:type="spellEnd"/>
      <w:r w:rsidRPr="00875E94">
        <w:t>) по интегрированным вещательным широкополосным системам (</w:t>
      </w:r>
      <w:proofErr w:type="spellStart"/>
      <w:r w:rsidRPr="00875E94">
        <w:t>IBB</w:t>
      </w:r>
      <w:proofErr w:type="spellEnd"/>
      <w:r w:rsidRPr="00875E94">
        <w:t xml:space="preserve">) в дополнение к двум существующим </w:t>
      </w:r>
      <w:proofErr w:type="spellStart"/>
      <w:r w:rsidRPr="00875E94">
        <w:t>МГД</w:t>
      </w:r>
      <w:proofErr w:type="spellEnd"/>
      <w:r w:rsidRPr="00875E94">
        <w:t xml:space="preserve"> –по доступности аудиовизуальных средств массовой информации (</w:t>
      </w:r>
      <w:proofErr w:type="spellStart"/>
      <w:r w:rsidRPr="00875E94">
        <w:t>МГД-AVA</w:t>
      </w:r>
      <w:proofErr w:type="spellEnd"/>
      <w:r w:rsidRPr="00875E94">
        <w:t>) и по оценке качества аудиовизуальных сигналов (</w:t>
      </w:r>
      <w:proofErr w:type="spellStart"/>
      <w:r w:rsidRPr="00875E94">
        <w:t>МГД-AVQA</w:t>
      </w:r>
      <w:proofErr w:type="spellEnd"/>
      <w:r w:rsidRPr="00875E94">
        <w:t>).</w:t>
      </w:r>
    </w:p>
    <w:p w:rsidR="00317F3B" w:rsidRPr="00875E94" w:rsidRDefault="00317F3B" w:rsidP="00317F3B">
      <w:r w:rsidRPr="00875E94">
        <w:t xml:space="preserve">Сохраняется требование в отношении тесной координации различных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 </w:t>
      </w:r>
    </w:p>
    <w:p w:rsidR="00317F3B" w:rsidRPr="00875E94" w:rsidRDefault="00317F3B" w:rsidP="0078031A">
      <w:pPr>
        <w:pStyle w:val="Heading3"/>
      </w:pPr>
      <w:r w:rsidRPr="00875E94">
        <w:t>8.</w:t>
      </w:r>
      <w:r w:rsidR="0078031A">
        <w:t>4.</w:t>
      </w:r>
      <w:r w:rsidRPr="00875E94">
        <w:t>3</w:t>
      </w:r>
      <w:r w:rsidRPr="00875E94">
        <w:tab/>
        <w:t>Сотрудничество с международными и региональными организациями</w:t>
      </w:r>
    </w:p>
    <w:p w:rsidR="00317F3B" w:rsidRPr="00875E94" w:rsidRDefault="00317F3B" w:rsidP="00317F3B">
      <w:r w:rsidRPr="00875E94">
        <w:t xml:space="preserve">Бюро поддерживало тесное сотрудничество со многими международными и региональными организациями, ставя следующие цели: 1) содействовать диалогу между органами, имеющими общие интересы; 2) способствовать координации, которая приводит к более эффективной подготовке таких мероприятий, как </w:t>
      </w:r>
      <w:proofErr w:type="spellStart"/>
      <w:r w:rsidRPr="00875E94">
        <w:t>ВКР</w:t>
      </w:r>
      <w:proofErr w:type="spellEnd"/>
      <w:r w:rsidRPr="00875E94">
        <w:t>; и 3) информировать МСЭ</w:t>
      </w:r>
      <w:r w:rsidRPr="00875E94">
        <w:noBreakHyphen/>
        <w:t>R о соответствующей деятельности в других организациях, с тем чтобы помочь в планировании программ работы.</w:t>
      </w:r>
    </w:p>
    <w:p w:rsidR="00317F3B" w:rsidRPr="00875E94" w:rsidRDefault="00317F3B" w:rsidP="00D27315">
      <w:proofErr w:type="spellStart"/>
      <w:r w:rsidRPr="00875E94">
        <w:t>БР</w:t>
      </w:r>
      <w:proofErr w:type="spellEnd"/>
      <w:r w:rsidRPr="00875E94">
        <w:t xml:space="preserve"> продолжает тесное сотрудничество с соответствующими международными и региональными организациями, занимающимися использованием спектра (</w:t>
      </w:r>
      <w:proofErr w:type="spellStart"/>
      <w:r w:rsidRPr="00875E94">
        <w:t>АТСЭ</w:t>
      </w:r>
      <w:proofErr w:type="spellEnd"/>
      <w:r w:rsidRPr="00875E94">
        <w:t xml:space="preserve">, </w:t>
      </w:r>
      <w:proofErr w:type="spellStart"/>
      <w:r w:rsidRPr="00875E94">
        <w:t>ASMG</w:t>
      </w:r>
      <w:proofErr w:type="spellEnd"/>
      <w:r w:rsidRPr="00875E94">
        <w:t xml:space="preserve">, </w:t>
      </w:r>
      <w:proofErr w:type="spellStart"/>
      <w:r w:rsidRPr="00875E94">
        <w:t>АСЭ</w:t>
      </w:r>
      <w:proofErr w:type="spellEnd"/>
      <w:r w:rsidRPr="00875E94">
        <w:t xml:space="preserve">, СЕПТ, </w:t>
      </w:r>
      <w:proofErr w:type="spellStart"/>
      <w:r w:rsidRPr="00875E94">
        <w:t>СИТЕЛ</w:t>
      </w:r>
      <w:proofErr w:type="spellEnd"/>
      <w:r w:rsidRPr="00875E94">
        <w:t xml:space="preserve"> и</w:t>
      </w:r>
      <w:r w:rsidR="00D27315" w:rsidRPr="00875E94">
        <w:t> </w:t>
      </w:r>
      <w:proofErr w:type="spellStart"/>
      <w:r w:rsidRPr="00875E94">
        <w:t>РСС</w:t>
      </w:r>
      <w:proofErr w:type="spellEnd"/>
      <w:r w:rsidRPr="00875E94">
        <w:t xml:space="preserve">) или использованием служб радиосвязи в целом (например, </w:t>
      </w:r>
      <w:proofErr w:type="spellStart"/>
      <w:r w:rsidRPr="00875E94">
        <w:t>ICTO</w:t>
      </w:r>
      <w:proofErr w:type="spellEnd"/>
      <w:r w:rsidRPr="00875E94">
        <w:t xml:space="preserve">, </w:t>
      </w:r>
      <w:proofErr w:type="spellStart"/>
      <w:r w:rsidRPr="00875E94">
        <w:t>ITSO</w:t>
      </w:r>
      <w:proofErr w:type="spellEnd"/>
      <w:r w:rsidRPr="00875E94">
        <w:t xml:space="preserve">, </w:t>
      </w:r>
      <w:proofErr w:type="spellStart"/>
      <w:r w:rsidRPr="00875E94">
        <w:t>ESOA</w:t>
      </w:r>
      <w:proofErr w:type="spellEnd"/>
      <w:r w:rsidRPr="00875E94">
        <w:t xml:space="preserve">, </w:t>
      </w:r>
      <w:proofErr w:type="spellStart"/>
      <w:r w:rsidRPr="00875E94">
        <w:t>GVF</w:t>
      </w:r>
      <w:proofErr w:type="spellEnd"/>
      <w:r w:rsidRPr="00875E94">
        <w:t xml:space="preserve">, Ассоциация </w:t>
      </w:r>
      <w:proofErr w:type="spellStart"/>
      <w:r w:rsidRPr="00875E94">
        <w:t>GSM</w:t>
      </w:r>
      <w:proofErr w:type="spellEnd"/>
      <w:r w:rsidRPr="00875E94">
        <w:t xml:space="preserve">, </w:t>
      </w:r>
      <w:proofErr w:type="spellStart"/>
      <w:r w:rsidRPr="00875E94">
        <w:t>ЕРС</w:t>
      </w:r>
      <w:proofErr w:type="spellEnd"/>
      <w:r w:rsidRPr="00875E94">
        <w:t xml:space="preserve">) путем организации, продвижения и участия в мероприятиях для наращивания потенциала использования </w:t>
      </w:r>
      <w:proofErr w:type="spellStart"/>
      <w:r w:rsidRPr="00875E94">
        <w:t>РР</w:t>
      </w:r>
      <w:proofErr w:type="spellEnd"/>
      <w:r w:rsidRPr="00875E94">
        <w:t xml:space="preserve">, в том числе </w:t>
      </w:r>
      <w:proofErr w:type="spellStart"/>
      <w:r w:rsidRPr="00875E94">
        <w:t>ВСР</w:t>
      </w:r>
      <w:proofErr w:type="spellEnd"/>
      <w:r w:rsidRPr="00875E94">
        <w:t xml:space="preserve"> и </w:t>
      </w:r>
      <w:proofErr w:type="spellStart"/>
      <w:r w:rsidRPr="00875E94">
        <w:t>РСР</w:t>
      </w:r>
      <w:proofErr w:type="spellEnd"/>
      <w:r w:rsidRPr="00875E94">
        <w:t>, как это указано в разделе </w:t>
      </w:r>
      <w:r w:rsidR="005E134D" w:rsidRPr="00875E94">
        <w:t>8.2</w:t>
      </w:r>
      <w:r w:rsidRPr="00875E94">
        <w:t xml:space="preserve">. </w:t>
      </w:r>
    </w:p>
    <w:p w:rsidR="00317F3B" w:rsidRPr="00875E94" w:rsidRDefault="00317F3B" w:rsidP="00D27315">
      <w:r w:rsidRPr="00875E94">
        <w:t>В соответствии с Резолюцией МСЭ</w:t>
      </w:r>
      <w:r w:rsidRPr="00875E94">
        <w:noBreakHyphen/>
        <w:t>R 9-4 было усилено взаимодействие с некоторыми другими организациями, занимающимися разработкой стандартов. Например, был разработан меморандум о</w:t>
      </w:r>
      <w:r w:rsidR="00D27315" w:rsidRPr="00875E94">
        <w:t> </w:t>
      </w:r>
      <w:r w:rsidRPr="00875E94">
        <w:t>взаимопонимании между МСЭ и Ассоциацией представителей радиопромышленности и бизнеса Японии (</w:t>
      </w:r>
      <w:proofErr w:type="spellStart"/>
      <w:r w:rsidRPr="00875E94">
        <w:t>ARIB</w:t>
      </w:r>
      <w:proofErr w:type="spellEnd"/>
      <w:r w:rsidRPr="00875E94">
        <w:t>), Ассоциацией в области стандартов связи Китая (</w:t>
      </w:r>
      <w:proofErr w:type="spellStart"/>
      <w:r w:rsidRPr="00875E94">
        <w:t>CCSA</w:t>
      </w:r>
      <w:proofErr w:type="spellEnd"/>
      <w:r w:rsidRPr="00875E94">
        <w:t>), Ассоциацией технологий электросвязи (</w:t>
      </w:r>
      <w:proofErr w:type="spellStart"/>
      <w:r w:rsidRPr="00875E94">
        <w:t>TTA</w:t>
      </w:r>
      <w:proofErr w:type="spellEnd"/>
      <w:r w:rsidRPr="00875E94">
        <w:t>) и Комитетом по технологиям электросвязи (</w:t>
      </w:r>
      <w:proofErr w:type="spellStart"/>
      <w:r w:rsidRPr="00875E94">
        <w:t>TTC</w:t>
      </w:r>
      <w:proofErr w:type="spellEnd"/>
      <w:r w:rsidRPr="00875E94">
        <w:t xml:space="preserve">) в целях согласования деятельности по стандартизации, а действующие </w:t>
      </w:r>
      <w:proofErr w:type="spellStart"/>
      <w:r w:rsidRPr="00875E94">
        <w:t>МоВ</w:t>
      </w:r>
      <w:proofErr w:type="spellEnd"/>
      <w:r w:rsidRPr="00875E94">
        <w:t xml:space="preserve"> МСЭ</w:t>
      </w:r>
      <w:r w:rsidRPr="00875E94">
        <w:noBreakHyphen/>
        <w:t xml:space="preserve">R и МСЭ-T с </w:t>
      </w:r>
      <w:proofErr w:type="spellStart"/>
      <w:r w:rsidRPr="00875E94">
        <w:t>ЕТСИ</w:t>
      </w:r>
      <w:proofErr w:type="spellEnd"/>
      <w:r w:rsidRPr="00875E94">
        <w:t xml:space="preserve"> были пересмотрены и объединены в единый </w:t>
      </w:r>
      <w:proofErr w:type="spellStart"/>
      <w:r w:rsidRPr="00875E94">
        <w:t>МоВ</w:t>
      </w:r>
      <w:proofErr w:type="spellEnd"/>
      <w:r w:rsidRPr="00875E94">
        <w:t xml:space="preserve"> МСЭ/</w:t>
      </w:r>
      <w:proofErr w:type="spellStart"/>
      <w:r w:rsidRPr="00875E94">
        <w:t>ЕТСИ</w:t>
      </w:r>
      <w:proofErr w:type="spellEnd"/>
      <w:r w:rsidRPr="00875E94">
        <w:t>.</w:t>
      </w:r>
    </w:p>
    <w:p w:rsidR="00317F3B" w:rsidRPr="00875E94" w:rsidRDefault="00317F3B" w:rsidP="00D27315">
      <w:r w:rsidRPr="00875E94">
        <w:t>Уделяется внимание деятельности Глобального сотрудничества по стандартам (</w:t>
      </w:r>
      <w:proofErr w:type="spellStart"/>
      <w:r w:rsidRPr="00875E94">
        <w:t>ГСС</w:t>
      </w:r>
      <w:proofErr w:type="spellEnd"/>
      <w:r w:rsidRPr="00875E94">
        <w:t>), в которую МСЭ</w:t>
      </w:r>
      <w:r w:rsidRPr="00875E94">
        <w:noBreakHyphen/>
        <w:t>R/</w:t>
      </w:r>
      <w:proofErr w:type="spellStart"/>
      <w:r w:rsidRPr="00875E94">
        <w:t>БР</w:t>
      </w:r>
      <w:proofErr w:type="spellEnd"/>
      <w:r w:rsidRPr="00875E94">
        <w:t xml:space="preserve"> и МСЭ</w:t>
      </w:r>
      <w:r w:rsidRPr="00875E94">
        <w:noBreakHyphen/>
        <w:t>T/</w:t>
      </w:r>
      <w:proofErr w:type="spellStart"/>
      <w:r w:rsidRPr="00875E94">
        <w:t>БСЭ</w:t>
      </w:r>
      <w:proofErr w:type="spellEnd"/>
      <w:r w:rsidRPr="00875E94">
        <w:t xml:space="preserve"> ежегодно вносят свои вклады, а МСЭ принимал собрание </w:t>
      </w:r>
      <w:proofErr w:type="spellStart"/>
      <w:r w:rsidRPr="00875E94">
        <w:t>ГСС</w:t>
      </w:r>
      <w:proofErr w:type="spellEnd"/>
      <w:r w:rsidRPr="00875E94">
        <w:t xml:space="preserve"> в июле 2015</w:t>
      </w:r>
      <w:r w:rsidR="00D27315" w:rsidRPr="00875E94">
        <w:t> </w:t>
      </w:r>
      <w:r w:rsidRPr="00875E94">
        <w:t xml:space="preserve">года. Продолжалось участие в проектах партнерства по сетям </w:t>
      </w:r>
      <w:proofErr w:type="spellStart"/>
      <w:r w:rsidRPr="00875E94">
        <w:t>3G</w:t>
      </w:r>
      <w:proofErr w:type="spellEnd"/>
      <w:r w:rsidRPr="00875E94">
        <w:t xml:space="preserve"> и Института инженеров по</w:t>
      </w:r>
      <w:r w:rsidR="00D27315" w:rsidRPr="00875E94">
        <w:t> </w:t>
      </w:r>
      <w:r w:rsidRPr="00875E94">
        <w:t>электротехнике и радиоэлектронике (</w:t>
      </w:r>
      <w:proofErr w:type="spellStart"/>
      <w:r w:rsidRPr="00875E94">
        <w:t>IEEE</w:t>
      </w:r>
      <w:proofErr w:type="spellEnd"/>
      <w:r w:rsidRPr="00875E94">
        <w:t xml:space="preserve">), принимая во внимание их важность и актуальность для работы 5-й Исследовательской комиссии. К числу других заслуживающих внимания областей взаимодействия с деятельностью исследовательских комиссий относится взаимодействие </w:t>
      </w:r>
      <w:r w:rsidRPr="00875E94">
        <w:lastRenderedPageBreak/>
        <w:t>с</w:t>
      </w:r>
      <w:r w:rsidR="00D27315" w:rsidRPr="00875E94">
        <w:t> </w:t>
      </w:r>
      <w:r w:rsidRPr="00875E94">
        <w:t xml:space="preserve">Всемирной метеорологической организацией (по линии </w:t>
      </w:r>
      <w:proofErr w:type="spellStart"/>
      <w:r w:rsidRPr="00875E94">
        <w:t>ИК7</w:t>
      </w:r>
      <w:proofErr w:type="spellEnd"/>
      <w:r w:rsidRPr="00875E94">
        <w:t>), Международным специальным комитетом по радиопомехам (</w:t>
      </w:r>
      <w:proofErr w:type="spellStart"/>
      <w:r w:rsidRPr="00875E94">
        <w:t>МСКР</w:t>
      </w:r>
      <w:proofErr w:type="spellEnd"/>
      <w:r w:rsidRPr="00875E94">
        <w:t xml:space="preserve">) (по линии </w:t>
      </w:r>
      <w:proofErr w:type="spellStart"/>
      <w:r w:rsidRPr="00875E94">
        <w:t>ИК1</w:t>
      </w:r>
      <w:proofErr w:type="spellEnd"/>
      <w:r w:rsidRPr="00875E94">
        <w:t>), Всемирной организацией здравоохранения (по</w:t>
      </w:r>
      <w:r w:rsidR="00D27315" w:rsidRPr="00875E94">
        <w:t> </w:t>
      </w:r>
      <w:r w:rsidRPr="00875E94">
        <w:t xml:space="preserve">линии </w:t>
      </w:r>
      <w:proofErr w:type="spellStart"/>
      <w:r w:rsidRPr="00875E94">
        <w:t>ИК3</w:t>
      </w:r>
      <w:proofErr w:type="spellEnd"/>
      <w:r w:rsidRPr="00875E94">
        <w:t xml:space="preserve"> и </w:t>
      </w:r>
      <w:proofErr w:type="spellStart"/>
      <w:r w:rsidRPr="00875E94">
        <w:t>ИК6</w:t>
      </w:r>
      <w:proofErr w:type="spellEnd"/>
      <w:r w:rsidRPr="00875E94">
        <w:t xml:space="preserve">), Группой по координации космических частот (по линии </w:t>
      </w:r>
      <w:proofErr w:type="spellStart"/>
      <w:r w:rsidRPr="00875E94">
        <w:t>ИК7</w:t>
      </w:r>
      <w:proofErr w:type="spellEnd"/>
      <w:r w:rsidRPr="00875E94">
        <w:t xml:space="preserve">) и Европейским радиовещательным союзом (по линии </w:t>
      </w:r>
      <w:proofErr w:type="spellStart"/>
      <w:r w:rsidRPr="00875E94">
        <w:t>ИК3</w:t>
      </w:r>
      <w:proofErr w:type="spellEnd"/>
      <w:r w:rsidRPr="00875E94">
        <w:t xml:space="preserve"> и </w:t>
      </w:r>
      <w:proofErr w:type="spellStart"/>
      <w:r w:rsidRPr="00875E94">
        <w:t>ИК6</w:t>
      </w:r>
      <w:proofErr w:type="spellEnd"/>
      <w:r w:rsidRPr="00875E94">
        <w:t>).</w:t>
      </w:r>
    </w:p>
    <w:p w:rsidR="00317F3B" w:rsidRPr="00875E94" w:rsidRDefault="00317F3B" w:rsidP="00317F3B">
      <w:proofErr w:type="spellStart"/>
      <w:r w:rsidRPr="00875E94">
        <w:t>БР</w:t>
      </w:r>
      <w:proofErr w:type="spellEnd"/>
      <w:r w:rsidRPr="00875E94">
        <w:t xml:space="preserve"> наладило взаимодействие и сотрудничество с Комитетом ООН по использованию космического пространства в мирных целях (</w:t>
      </w:r>
      <w:proofErr w:type="spellStart"/>
      <w:r w:rsidRPr="00875E94">
        <w:t>КОПУОС</w:t>
      </w:r>
      <w:proofErr w:type="spellEnd"/>
      <w:r w:rsidRPr="00875E94">
        <w:t xml:space="preserve"> ООН), Международной морской организацией (</w:t>
      </w:r>
      <w:proofErr w:type="spellStart"/>
      <w:r w:rsidRPr="00875E94">
        <w:t>ИМО</w:t>
      </w:r>
      <w:proofErr w:type="spellEnd"/>
      <w:r w:rsidRPr="00875E94">
        <w:t>), Международной организацией морской спутниковой связи (</w:t>
      </w:r>
      <w:proofErr w:type="spellStart"/>
      <w:r w:rsidRPr="00875E94">
        <w:t>ИНМАРСАТ</w:t>
      </w:r>
      <w:proofErr w:type="spellEnd"/>
      <w:r w:rsidRPr="00875E94">
        <w:t>), Международной организацией спутниковой электросвязи (</w:t>
      </w:r>
      <w:proofErr w:type="spellStart"/>
      <w:r w:rsidRPr="00875E94">
        <w:t>ИНТЕЛСАТ</w:t>
      </w:r>
      <w:proofErr w:type="spellEnd"/>
      <w:r w:rsidRPr="00875E94">
        <w:t xml:space="preserve">), </w:t>
      </w:r>
      <w:proofErr w:type="spellStart"/>
      <w:r w:rsidRPr="00875E94">
        <w:t>Коспас-Сарсат</w:t>
      </w:r>
      <w:proofErr w:type="spellEnd"/>
      <w:r w:rsidRPr="00875E94">
        <w:t>, Международным комитетом Красного Креста (</w:t>
      </w:r>
      <w:proofErr w:type="spellStart"/>
      <w:r w:rsidRPr="00875E94">
        <w:t>МККК</w:t>
      </w:r>
      <w:proofErr w:type="spellEnd"/>
      <w:r w:rsidRPr="00875E94">
        <w:t>) и Международной организацией гражданской авиации (</w:t>
      </w:r>
      <w:proofErr w:type="spellStart"/>
      <w:r w:rsidRPr="00875E94">
        <w:t>ИКАО</w:t>
      </w:r>
      <w:proofErr w:type="spellEnd"/>
      <w:r w:rsidRPr="00875E94">
        <w:t xml:space="preserve">). Эксперты </w:t>
      </w:r>
      <w:proofErr w:type="spellStart"/>
      <w:r w:rsidRPr="00875E94">
        <w:t>БР</w:t>
      </w:r>
      <w:proofErr w:type="spellEnd"/>
      <w:r w:rsidRPr="00875E94">
        <w:t xml:space="preserve"> также принимали участие в различных собраниях этих организаций.</w:t>
      </w:r>
    </w:p>
    <w:p w:rsidR="00317F3B" w:rsidRPr="00875E94" w:rsidRDefault="00317F3B" w:rsidP="00317F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iCs/>
        </w:rPr>
      </w:pPr>
      <w:proofErr w:type="spellStart"/>
      <w:r w:rsidRPr="00875E94">
        <w:t>БР</w:t>
      </w:r>
      <w:proofErr w:type="spellEnd"/>
      <w:r w:rsidRPr="00875E94">
        <w:t xml:space="preserve"> также наладило взаимодействие и сотрудничество с </w:t>
      </w:r>
      <w:proofErr w:type="spellStart"/>
      <w:r w:rsidRPr="00875E94">
        <w:t>ИМО</w:t>
      </w:r>
      <w:proofErr w:type="spellEnd"/>
      <w:r w:rsidRPr="00875E94">
        <w:t xml:space="preserve">, </w:t>
      </w:r>
      <w:proofErr w:type="spellStart"/>
      <w:r w:rsidRPr="00875E94">
        <w:t>ВМО</w:t>
      </w:r>
      <w:proofErr w:type="spellEnd"/>
      <w:r w:rsidRPr="00875E94">
        <w:t xml:space="preserve">, СЕПТ, </w:t>
      </w:r>
      <w:proofErr w:type="spellStart"/>
      <w:r w:rsidRPr="00875E94">
        <w:t>СИТЕЛ</w:t>
      </w:r>
      <w:proofErr w:type="spellEnd"/>
      <w:r w:rsidRPr="00875E94">
        <w:t xml:space="preserve">, </w:t>
      </w:r>
      <w:proofErr w:type="spellStart"/>
      <w:r w:rsidRPr="00875E94">
        <w:t>АТСЭ</w:t>
      </w:r>
      <w:proofErr w:type="spellEnd"/>
      <w:r w:rsidRPr="00875E94">
        <w:t xml:space="preserve">, </w:t>
      </w:r>
      <w:proofErr w:type="spellStart"/>
      <w:r w:rsidRPr="00875E94">
        <w:t>ASMG</w:t>
      </w:r>
      <w:proofErr w:type="spellEnd"/>
      <w:r w:rsidRPr="00875E94">
        <w:t xml:space="preserve">, </w:t>
      </w:r>
      <w:proofErr w:type="spellStart"/>
      <w:r w:rsidRPr="00875E94">
        <w:t>АСЭ</w:t>
      </w:r>
      <w:proofErr w:type="spellEnd"/>
      <w:r w:rsidRPr="00875E94">
        <w:t xml:space="preserve">, </w:t>
      </w:r>
      <w:proofErr w:type="spellStart"/>
      <w:r w:rsidRPr="00875E94">
        <w:t>РСС</w:t>
      </w:r>
      <w:proofErr w:type="spellEnd"/>
      <w:r w:rsidRPr="00875E94">
        <w:t xml:space="preserve">, </w:t>
      </w:r>
      <w:proofErr w:type="spellStart"/>
      <w:r w:rsidRPr="00875E94">
        <w:t>ЕРС</w:t>
      </w:r>
      <w:proofErr w:type="spellEnd"/>
      <w:r w:rsidRPr="00875E94">
        <w:t xml:space="preserve">, </w:t>
      </w:r>
      <w:proofErr w:type="spellStart"/>
      <w:r w:rsidRPr="00875E94">
        <w:t>АТРС</w:t>
      </w:r>
      <w:proofErr w:type="spellEnd"/>
      <w:r w:rsidRPr="00875E94">
        <w:t xml:space="preserve">, </w:t>
      </w:r>
      <w:proofErr w:type="spellStart"/>
      <w:r w:rsidRPr="00875E94">
        <w:t>РСАГ</w:t>
      </w:r>
      <w:proofErr w:type="spellEnd"/>
      <w:r w:rsidRPr="00875E94">
        <w:t xml:space="preserve"> и </w:t>
      </w:r>
      <w:proofErr w:type="spellStart"/>
      <w:r w:rsidRPr="00875E94">
        <w:t>ВРС</w:t>
      </w:r>
      <w:proofErr w:type="spellEnd"/>
      <w:r w:rsidRPr="00875E94">
        <w:t xml:space="preserve"> в сфере эффективной подготовки к </w:t>
      </w:r>
      <w:proofErr w:type="spellStart"/>
      <w:r w:rsidRPr="00875E94">
        <w:t>ВКР</w:t>
      </w:r>
      <w:proofErr w:type="spellEnd"/>
      <w:r w:rsidRPr="00875E94">
        <w:t xml:space="preserve">-15. Кроме того, поддерживались необходимые взаимодействие и сотрудничество с </w:t>
      </w:r>
      <w:proofErr w:type="spellStart"/>
      <w:r w:rsidRPr="00875E94">
        <w:t>МЭК</w:t>
      </w:r>
      <w:proofErr w:type="spellEnd"/>
      <w:r w:rsidRPr="00875E94">
        <w:t xml:space="preserve">, ИСО, </w:t>
      </w:r>
      <w:proofErr w:type="spellStart"/>
      <w:r w:rsidRPr="00875E94">
        <w:t>ЕТСИ</w:t>
      </w:r>
      <w:proofErr w:type="spellEnd"/>
      <w:r w:rsidRPr="00875E94">
        <w:t xml:space="preserve"> и </w:t>
      </w:r>
      <w:proofErr w:type="spellStart"/>
      <w:r w:rsidRPr="00875E94">
        <w:t>IEEE</w:t>
      </w:r>
      <w:proofErr w:type="spellEnd"/>
      <w:r w:rsidRPr="00875E94">
        <w:rPr>
          <w:iCs/>
        </w:rPr>
        <w:t>.</w:t>
      </w:r>
    </w:p>
    <w:p w:rsidR="00B82873" w:rsidRPr="00875E94" w:rsidRDefault="005E134D" w:rsidP="005E134D">
      <w:pPr>
        <w:pStyle w:val="Heading2"/>
      </w:pPr>
      <w:r w:rsidRPr="00875E94">
        <w:t>8</w:t>
      </w:r>
      <w:r w:rsidR="00B82873" w:rsidRPr="00875E94">
        <w:t>.</w:t>
      </w:r>
      <w:r w:rsidRPr="00875E94">
        <w:t>5</w:t>
      </w:r>
      <w:r w:rsidR="00B82873" w:rsidRPr="00875E94">
        <w:tab/>
      </w:r>
      <w:bookmarkEnd w:id="33"/>
      <w:r w:rsidRPr="00875E94">
        <w:t>Охват членского состава</w:t>
      </w:r>
    </w:p>
    <w:p w:rsidR="00B82873" w:rsidRPr="00875E94" w:rsidRDefault="00B82873" w:rsidP="00D27315">
      <w:r w:rsidRPr="00875E94">
        <w:t xml:space="preserve">В Таблице </w:t>
      </w:r>
      <w:r w:rsidR="005E134D" w:rsidRPr="00875E94">
        <w:t>8</w:t>
      </w:r>
      <w:r w:rsidRPr="00875E94">
        <w:t>.</w:t>
      </w:r>
      <w:r w:rsidR="005E134D" w:rsidRPr="00875E94">
        <w:t>5</w:t>
      </w:r>
      <w:r w:rsidRPr="00875E94">
        <w:t>-1 показано изменение количества Членов Сектора МСЭ-R, Ассоциированных членов и</w:t>
      </w:r>
      <w:r w:rsidR="00D27315" w:rsidRPr="00875E94">
        <w:t> </w:t>
      </w:r>
      <w:r w:rsidRPr="00875E94">
        <w:t>Академических организаций в период 201</w:t>
      </w:r>
      <w:r w:rsidR="005E134D" w:rsidRPr="00875E94">
        <w:t>2–</w:t>
      </w:r>
      <w:r w:rsidRPr="00875E94">
        <w:t>2015 год</w:t>
      </w:r>
      <w:r w:rsidR="005E134D" w:rsidRPr="00875E94">
        <w:t>ов</w:t>
      </w:r>
      <w:r w:rsidRPr="00875E94">
        <w:t>.</w:t>
      </w:r>
    </w:p>
    <w:p w:rsidR="00B82873" w:rsidRPr="00875E94" w:rsidRDefault="00B82873" w:rsidP="005E134D">
      <w:pPr>
        <w:pStyle w:val="TableNo"/>
      </w:pPr>
      <w:r w:rsidRPr="00875E94">
        <w:t xml:space="preserve">ТАБЛИЦА </w:t>
      </w:r>
      <w:r w:rsidR="005E134D" w:rsidRPr="00875E94">
        <w:t>8</w:t>
      </w:r>
      <w:r w:rsidRPr="00875E94">
        <w:t>.</w:t>
      </w:r>
      <w:r w:rsidR="005E134D" w:rsidRPr="00875E94">
        <w:t>5</w:t>
      </w:r>
      <w:r w:rsidRPr="00875E94">
        <w:t>-1</w:t>
      </w:r>
    </w:p>
    <w:p w:rsidR="00B82873" w:rsidRPr="00875E94" w:rsidRDefault="00B82873" w:rsidP="00D27315">
      <w:pPr>
        <w:pStyle w:val="Tabletitle"/>
      </w:pPr>
      <w:r w:rsidRPr="00875E94">
        <w:t>Динамика числа Членов МСЭ-R</w:t>
      </w:r>
      <w:r w:rsidRPr="00875E94">
        <w:rPr>
          <w:bCs/>
        </w:rPr>
        <w:t xml:space="preserve"> с 201</w:t>
      </w:r>
      <w:r w:rsidR="005E134D" w:rsidRPr="00875E94">
        <w:rPr>
          <w:rFonts w:asciiTheme="minorHAnsi" w:hAnsiTheme="minorHAnsi"/>
          <w:bCs/>
        </w:rPr>
        <w:t>2</w:t>
      </w:r>
      <w:r w:rsidRPr="00875E94">
        <w:rPr>
          <w:bCs/>
        </w:rPr>
        <w:t xml:space="preserve"> года</w:t>
      </w:r>
    </w:p>
    <w:tbl>
      <w:tblPr>
        <w:tblW w:w="93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0"/>
        <w:gridCol w:w="960"/>
        <w:gridCol w:w="960"/>
        <w:gridCol w:w="960"/>
        <w:gridCol w:w="960"/>
        <w:gridCol w:w="1373"/>
        <w:gridCol w:w="1358"/>
      </w:tblGrid>
      <w:tr w:rsidR="005E134D" w:rsidRPr="005F372A" w:rsidTr="005F372A">
        <w:trPr>
          <w:trHeight w:val="315"/>
          <w:jc w:val="center"/>
        </w:trPr>
        <w:tc>
          <w:tcPr>
            <w:tcW w:w="27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134D" w:rsidRPr="005F372A" w:rsidRDefault="005E134D" w:rsidP="00D27315">
            <w:pPr>
              <w:pStyle w:val="Tablehead"/>
              <w:rPr>
                <w:sz w:val="20"/>
                <w:szCs w:val="22"/>
                <w:lang w:val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134D" w:rsidRPr="005F372A" w:rsidRDefault="005F372A" w:rsidP="00D27315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2012 г.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134D" w:rsidRPr="005F372A" w:rsidRDefault="005F372A" w:rsidP="00D27315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2013 г.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134D" w:rsidRPr="005F372A" w:rsidRDefault="005F372A" w:rsidP="00D27315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2014 г.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134D" w:rsidRPr="005F372A" w:rsidRDefault="005F372A" w:rsidP="00D27315">
            <w:pPr>
              <w:pStyle w:val="Tablehead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2015 г.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E134D" w:rsidRPr="005F372A" w:rsidRDefault="005E134D" w:rsidP="00D27315">
            <w:pPr>
              <w:pStyle w:val="Tablehead"/>
              <w:rPr>
                <w:sz w:val="20"/>
                <w:szCs w:val="22"/>
                <w:lang w:val="ru-RU"/>
              </w:rPr>
            </w:pPr>
            <w:r w:rsidRPr="005F372A">
              <w:rPr>
                <w:sz w:val="20"/>
                <w:szCs w:val="22"/>
                <w:lang w:val="ru-RU"/>
              </w:rPr>
              <w:t>2015 г. в сравнении с 2012 г.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5E134D" w:rsidRPr="005F372A" w:rsidRDefault="005E134D" w:rsidP="005F372A">
            <w:pPr>
              <w:pStyle w:val="Tablehead"/>
              <w:rPr>
                <w:sz w:val="20"/>
                <w:szCs w:val="22"/>
                <w:lang w:val="ru-RU"/>
              </w:rPr>
            </w:pPr>
            <w:proofErr w:type="gramStart"/>
            <w:r w:rsidRPr="005F372A">
              <w:rPr>
                <w:sz w:val="20"/>
                <w:szCs w:val="22"/>
                <w:lang w:val="ru-RU"/>
              </w:rPr>
              <w:t>Увеличение,</w:t>
            </w:r>
            <w:r w:rsidRPr="005F372A">
              <w:rPr>
                <w:sz w:val="20"/>
                <w:szCs w:val="22"/>
                <w:lang w:val="ru-RU"/>
              </w:rPr>
              <w:br/>
              <w:t>%</w:t>
            </w:r>
            <w:proofErr w:type="gramEnd"/>
          </w:p>
        </w:tc>
      </w:tr>
      <w:tr w:rsidR="005E134D" w:rsidRPr="005F372A" w:rsidTr="005F372A">
        <w:trPr>
          <w:trHeight w:val="300"/>
          <w:jc w:val="center"/>
        </w:trPr>
        <w:tc>
          <w:tcPr>
            <w:tcW w:w="2730" w:type="dxa"/>
            <w:shd w:val="clear" w:color="auto" w:fill="auto"/>
            <w:noWrap/>
            <w:hideMark/>
          </w:tcPr>
          <w:p w:rsidR="005E134D" w:rsidRPr="005F372A" w:rsidRDefault="005E134D" w:rsidP="00B82873">
            <w:pPr>
              <w:pStyle w:val="Tabletex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Члены Сектора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276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421069">
            <w:pPr>
              <w:pStyle w:val="Tabletext"/>
              <w:tabs>
                <w:tab w:val="clear" w:pos="567"/>
                <w:tab w:val="clear" w:pos="851"/>
                <w:tab w:val="left" w:pos="552"/>
              </w:tabs>
              <w:ind w:right="454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21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jc w:val="center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8,2</w:t>
            </w:r>
          </w:p>
        </w:tc>
      </w:tr>
      <w:tr w:rsidR="005E134D" w:rsidRPr="005F372A" w:rsidTr="005F372A">
        <w:trPr>
          <w:trHeight w:val="300"/>
          <w:jc w:val="center"/>
        </w:trPr>
        <w:tc>
          <w:tcPr>
            <w:tcW w:w="2730" w:type="dxa"/>
            <w:shd w:val="clear" w:color="auto" w:fill="auto"/>
            <w:noWrap/>
            <w:hideMark/>
          </w:tcPr>
          <w:p w:rsidR="005E134D" w:rsidRPr="005F372A" w:rsidRDefault="005E134D" w:rsidP="00B82873">
            <w:pPr>
              <w:pStyle w:val="Tabletex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Ассоциированные члены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22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421069">
            <w:pPr>
              <w:pStyle w:val="Tabletext"/>
              <w:tabs>
                <w:tab w:val="clear" w:pos="567"/>
                <w:tab w:val="clear" w:pos="851"/>
                <w:tab w:val="left" w:pos="552"/>
              </w:tabs>
              <w:ind w:right="454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jc w:val="center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4,8</w:t>
            </w:r>
          </w:p>
        </w:tc>
      </w:tr>
      <w:tr w:rsidR="005E134D" w:rsidRPr="005F372A" w:rsidTr="005F372A">
        <w:trPr>
          <w:trHeight w:val="315"/>
          <w:jc w:val="center"/>
        </w:trPr>
        <w:tc>
          <w:tcPr>
            <w:tcW w:w="2730" w:type="dxa"/>
            <w:shd w:val="clear" w:color="auto" w:fill="auto"/>
            <w:noWrap/>
            <w:hideMark/>
          </w:tcPr>
          <w:p w:rsidR="005E134D" w:rsidRPr="005F372A" w:rsidRDefault="005E134D" w:rsidP="00B82873">
            <w:pPr>
              <w:pStyle w:val="Tabletex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Академические организации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ind w:right="227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109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421069">
            <w:pPr>
              <w:pStyle w:val="Tabletext"/>
              <w:tabs>
                <w:tab w:val="clear" w:pos="567"/>
                <w:tab w:val="clear" w:pos="851"/>
                <w:tab w:val="left" w:pos="552"/>
              </w:tabs>
              <w:ind w:right="454"/>
              <w:jc w:val="right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95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5E134D" w:rsidRPr="005F372A" w:rsidRDefault="005E134D" w:rsidP="00D27315">
            <w:pPr>
              <w:pStyle w:val="Tabletext"/>
              <w:jc w:val="center"/>
              <w:rPr>
                <w:sz w:val="20"/>
                <w:szCs w:val="22"/>
                <w:lang w:eastAsia="zh-CN"/>
              </w:rPr>
            </w:pPr>
            <w:r w:rsidRPr="005F372A">
              <w:rPr>
                <w:sz w:val="20"/>
                <w:szCs w:val="22"/>
                <w:lang w:eastAsia="zh-CN"/>
              </w:rPr>
              <w:t>678,6</w:t>
            </w:r>
          </w:p>
        </w:tc>
      </w:tr>
    </w:tbl>
    <w:p w:rsidR="00B82873" w:rsidRPr="00875E94" w:rsidRDefault="00B82873" w:rsidP="00D27315">
      <w:pPr>
        <w:pStyle w:val="Normalaftertitle0"/>
      </w:pPr>
      <w:r w:rsidRPr="00875E94">
        <w:t xml:space="preserve">Эти данные показывают </w:t>
      </w:r>
      <w:r w:rsidR="005E134D" w:rsidRPr="00875E94">
        <w:t xml:space="preserve">четкую </w:t>
      </w:r>
      <w:r w:rsidRPr="00875E94">
        <w:t xml:space="preserve">тенденцию к увеличению по сравнению с негативной тенденцией, отмечавшейся в предыдущем периоде. </w:t>
      </w:r>
      <w:r w:rsidR="00D10E9F" w:rsidRPr="00875E94">
        <w:t>Можно</w:t>
      </w:r>
      <w:r w:rsidRPr="00875E94">
        <w:t xml:space="preserve"> отметить, что: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двое из Ассоциированных членов, покинувших МСЭ-R в течение этого периода, стали Членами Сектора;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в соответствии с Резолюцией 169 (</w:t>
      </w:r>
      <w:proofErr w:type="spellStart"/>
      <w:r w:rsidRPr="00875E94">
        <w:t>Пересм</w:t>
      </w:r>
      <w:proofErr w:type="spellEnd"/>
      <w:r w:rsidRPr="00875E94">
        <w:t xml:space="preserve">. </w:t>
      </w:r>
      <w:proofErr w:type="spellStart"/>
      <w:r w:rsidRPr="00875E94">
        <w:t>Пусан</w:t>
      </w:r>
      <w:proofErr w:type="spellEnd"/>
      <w:r w:rsidRPr="00875E94">
        <w:t>, 2014 г.) с 1 января 2015 года было введено единое членство в МСЭ. Таким образом, начиная с этой даты члены – Академические организации из других Секторов также считаются Академическими организациями – Членами МСЭ-R;</w:t>
      </w:r>
    </w:p>
    <w:p w:rsidR="00B82873" w:rsidRPr="00875E94" w:rsidRDefault="00B82873" w:rsidP="00D27315">
      <w:pPr>
        <w:pStyle w:val="enumlev1"/>
      </w:pPr>
      <w:r w:rsidRPr="00875E94">
        <w:t>–</w:t>
      </w:r>
      <w:r w:rsidRPr="00875E94">
        <w:tab/>
        <w:t>вместе с тем перед ПК-14 было отмечено значительное увеличение – на 100% в</w:t>
      </w:r>
      <w:r w:rsidR="00D27315" w:rsidRPr="00875E94">
        <w:t> </w:t>
      </w:r>
      <w:r w:rsidRPr="00875E94">
        <w:t>2014 году – числа Академических организаций – Членов МСЭ-R.</w:t>
      </w:r>
    </w:p>
    <w:p w:rsidR="00B82873" w:rsidRPr="00875E94" w:rsidRDefault="005E134D" w:rsidP="00D27315">
      <w:pPr>
        <w:pStyle w:val="Heading2"/>
      </w:pPr>
      <w:bookmarkStart w:id="42" w:name="_Toc427075601"/>
      <w:r w:rsidRPr="00875E94">
        <w:t>8</w:t>
      </w:r>
      <w:r w:rsidR="00B82873" w:rsidRPr="00875E94">
        <w:t>.</w:t>
      </w:r>
      <w:r w:rsidRPr="00875E94">
        <w:t>6</w:t>
      </w:r>
      <w:r w:rsidR="00B82873" w:rsidRPr="00875E94">
        <w:tab/>
        <w:t>Коммуникационная и рекламно-пропагандистская деятельность</w:t>
      </w:r>
      <w:bookmarkEnd w:id="42"/>
    </w:p>
    <w:p w:rsidR="00B82873" w:rsidRPr="00875E94" w:rsidRDefault="00B82873" w:rsidP="00D27315">
      <w:r w:rsidRPr="00875E94">
        <w:t>Чтобы позиционировать МСЭ-R в соответствии с его стратегическими целями (повышение ценности торговой марки, укрепление репутации, мобилизация внешних и внутренних заинтересованных сторон, привлечение сторонников и защита интересов Членов), Бюро ведет работу в тесном сотрудничестве с Отделом корпоративных коммуникаций (</w:t>
      </w:r>
      <w:proofErr w:type="spellStart"/>
      <w:r w:rsidRPr="00875E94">
        <w:t>CCD</w:t>
      </w:r>
      <w:proofErr w:type="spellEnd"/>
      <w:r w:rsidRPr="00875E94">
        <w:t>) и пресс-службой МСЭ, Департаментом по связям с Членами и Службой публикаций и компоновки документов (</w:t>
      </w:r>
      <w:proofErr w:type="spellStart"/>
      <w:r w:rsidRPr="00875E94">
        <w:t>C&amp;P</w:t>
      </w:r>
      <w:proofErr w:type="spellEnd"/>
      <w:r w:rsidRPr="00875E94">
        <w:t>/</w:t>
      </w:r>
      <w:proofErr w:type="spellStart"/>
      <w:r w:rsidRPr="00875E94">
        <w:t>COMP</w:t>
      </w:r>
      <w:proofErr w:type="spellEnd"/>
      <w:r w:rsidRPr="00875E94">
        <w:t xml:space="preserve">) Генерального секретариата. В эту работу входит участие в ряде </w:t>
      </w:r>
      <w:proofErr w:type="spellStart"/>
      <w:r w:rsidRPr="00875E94">
        <w:t>межсекторальных</w:t>
      </w:r>
      <w:proofErr w:type="spellEnd"/>
      <w:r w:rsidRPr="00875E94">
        <w:t xml:space="preserve"> собраний МСЭ: в</w:t>
      </w:r>
      <w:r w:rsidR="00D27315" w:rsidRPr="00875E94">
        <w:t> </w:t>
      </w:r>
      <w:r w:rsidRPr="00875E94">
        <w:t xml:space="preserve">Целевой группе по выполнению решений </w:t>
      </w:r>
      <w:proofErr w:type="spellStart"/>
      <w:r w:rsidRPr="00875E94">
        <w:t>ВВУИО</w:t>
      </w:r>
      <w:proofErr w:type="spellEnd"/>
      <w:r w:rsidRPr="00875E94">
        <w:t>, группах по св</w:t>
      </w:r>
      <w:r w:rsidR="00667C27">
        <w:t xml:space="preserve">язи, редакционном совете </w:t>
      </w:r>
      <w:proofErr w:type="gramStart"/>
      <w:r w:rsidR="00667C27">
        <w:t>по веб</w:t>
      </w:r>
      <w:proofErr w:type="gramEnd"/>
      <w:r w:rsidR="00667C27">
        <w:noBreakHyphen/>
      </w:r>
      <w:r w:rsidRPr="00875E94">
        <w:t>сайту МСЭ, комитете по подготовке к празднованию 150-</w:t>
      </w:r>
      <w:proofErr w:type="spellStart"/>
      <w:r w:rsidRPr="00875E94">
        <w:t>летия</w:t>
      </w:r>
      <w:proofErr w:type="spellEnd"/>
      <w:r w:rsidRPr="00875E94">
        <w:t xml:space="preserve"> МСЭ, целевых группах по</w:t>
      </w:r>
      <w:r w:rsidR="00D27315" w:rsidRPr="00875E94">
        <w:t> </w:t>
      </w:r>
      <w:r w:rsidRPr="00875E94">
        <w:t>появляющимся тенденциям и гендерным вопросам.</w:t>
      </w:r>
    </w:p>
    <w:p w:rsidR="005E134D" w:rsidRPr="00875E94" w:rsidRDefault="005E134D" w:rsidP="00576CA7">
      <w:pPr>
        <w:pStyle w:val="Heading3"/>
      </w:pPr>
      <w:bookmarkStart w:id="43" w:name="_Toc424047608"/>
      <w:bookmarkStart w:id="44" w:name="_Toc446060798"/>
      <w:r w:rsidRPr="00875E94">
        <w:lastRenderedPageBreak/>
        <w:t>8.6.1</w:t>
      </w:r>
      <w:r w:rsidRPr="00875E94">
        <w:tab/>
      </w:r>
      <w:r w:rsidR="00576CA7" w:rsidRPr="00875E94">
        <w:t>Веб-сайт</w:t>
      </w:r>
      <w:bookmarkEnd w:id="43"/>
      <w:bookmarkEnd w:id="44"/>
    </w:p>
    <w:p w:rsidR="005E134D" w:rsidRPr="00875E94" w:rsidRDefault="00576CA7" w:rsidP="00D27315">
      <w:r w:rsidRPr="00875E94">
        <w:t xml:space="preserve">Как </w:t>
      </w:r>
      <w:r w:rsidR="00D10E9F" w:rsidRPr="00875E94">
        <w:t xml:space="preserve">было </w:t>
      </w:r>
      <w:r w:rsidRPr="00875E94">
        <w:t xml:space="preserve">указано на </w:t>
      </w:r>
      <w:r w:rsidR="005E134D" w:rsidRPr="00875E94">
        <w:t>22</w:t>
      </w:r>
      <w:r w:rsidRPr="00875E94">
        <w:t xml:space="preserve">-м собрании </w:t>
      </w:r>
      <w:proofErr w:type="spellStart"/>
      <w:r w:rsidRPr="00875E94">
        <w:t>КГР</w:t>
      </w:r>
      <w:proofErr w:type="spellEnd"/>
      <w:r w:rsidRPr="00875E94">
        <w:t xml:space="preserve">, перевод </w:t>
      </w:r>
      <w:hyperlink r:id="rId42" w:history="1">
        <w:r w:rsidRPr="00875E94">
          <w:rPr>
            <w:rStyle w:val="Hyperlink"/>
            <w:szCs w:val="24"/>
          </w:rPr>
          <w:t>веб-сайта МСЭ</w:t>
        </w:r>
        <w:r w:rsidRPr="00875E94">
          <w:rPr>
            <w:rStyle w:val="Hyperlink"/>
            <w:szCs w:val="24"/>
          </w:rPr>
          <w:noBreakHyphen/>
          <w:t>R</w:t>
        </w:r>
      </w:hyperlink>
      <w:r w:rsidRPr="00875E94">
        <w:t xml:space="preserve"> на платформу </w:t>
      </w:r>
      <w:proofErr w:type="spellStart"/>
      <w:r w:rsidR="005E134D" w:rsidRPr="00875E94">
        <w:t>SharePoint</w:t>
      </w:r>
      <w:proofErr w:type="spellEnd"/>
      <w:r w:rsidR="005E134D" w:rsidRPr="00875E94">
        <w:t xml:space="preserve"> </w:t>
      </w:r>
      <w:r w:rsidRPr="00875E94">
        <w:t>завершен. Более 300 страниц были сочтены в качестве архивных (не требующих обновления), и</w:t>
      </w:r>
      <w:r w:rsidR="00D27315" w:rsidRPr="00875E94">
        <w:t> </w:t>
      </w:r>
      <w:r w:rsidRPr="00875E94">
        <w:t xml:space="preserve">поэтому они не были переведены и по-прежнему доступны в старом формате предыдущей пользовательской системы управления контентом (не </w:t>
      </w:r>
      <w:r w:rsidR="00D10E9F" w:rsidRPr="00875E94">
        <w:t xml:space="preserve">на платформе </w:t>
      </w:r>
      <w:proofErr w:type="spellStart"/>
      <w:r w:rsidRPr="00875E94">
        <w:t>SharePoin</w:t>
      </w:r>
      <w:r w:rsidR="00D10E9F" w:rsidRPr="00875E94">
        <w:t>t</w:t>
      </w:r>
      <w:proofErr w:type="spellEnd"/>
      <w:r w:rsidRPr="00875E94">
        <w:t>) в режиме, не</w:t>
      </w:r>
      <w:r w:rsidR="00D27315" w:rsidRPr="00875E94">
        <w:t> </w:t>
      </w:r>
      <w:r w:rsidRPr="00875E94">
        <w:t>предусматривающем возможность изменения</w:t>
      </w:r>
      <w:r w:rsidR="005E134D" w:rsidRPr="00875E94">
        <w:t>.</w:t>
      </w:r>
    </w:p>
    <w:p w:rsidR="005E134D" w:rsidRPr="00875E94" w:rsidRDefault="00576CA7" w:rsidP="00D27315">
      <w:r w:rsidRPr="00875E94">
        <w:t xml:space="preserve">Что касается письменного перевода всех веб-страниц </w:t>
      </w:r>
      <w:hyperlink r:id="rId43" w:history="1">
        <w:r w:rsidRPr="00875E94">
          <w:rPr>
            <w:rStyle w:val="Hyperlink"/>
            <w:szCs w:val="24"/>
          </w:rPr>
          <w:t>веб-сайта МСЭ</w:t>
        </w:r>
        <w:r w:rsidR="005E134D" w:rsidRPr="00875E94">
          <w:rPr>
            <w:rStyle w:val="Hyperlink"/>
            <w:szCs w:val="24"/>
          </w:rPr>
          <w:noBreakHyphen/>
          <w:t>R</w:t>
        </w:r>
      </w:hyperlink>
      <w:r w:rsidRPr="00875E94">
        <w:t xml:space="preserve"> уровней 0 и 1, то примерное состояние дел с их наличием на шести языках МСЭ показано в таблице </w:t>
      </w:r>
      <w:r w:rsidR="005E134D" w:rsidRPr="00875E94">
        <w:t>8.6-1</w:t>
      </w:r>
      <w:r w:rsidRPr="00875E94">
        <w:t>, ниже</w:t>
      </w:r>
      <w:r w:rsidR="005E134D" w:rsidRPr="00875E94">
        <w:t xml:space="preserve">. </w:t>
      </w:r>
      <w:r w:rsidRPr="00875E94">
        <w:t>Разработка основных представлений данных для этих веб-страниц в настоящее время завершена.</w:t>
      </w:r>
    </w:p>
    <w:p w:rsidR="005E134D" w:rsidRPr="00875E94" w:rsidRDefault="00576CA7" w:rsidP="00D27315">
      <w:pPr>
        <w:pStyle w:val="TableNo"/>
      </w:pPr>
      <w:r w:rsidRPr="00875E94">
        <w:t xml:space="preserve">Таблица </w:t>
      </w:r>
      <w:r w:rsidR="005E134D" w:rsidRPr="00875E94">
        <w:t xml:space="preserve">8.6.1-1 </w:t>
      </w:r>
    </w:p>
    <w:p w:rsidR="005E134D" w:rsidRPr="00875E94" w:rsidRDefault="00576CA7" w:rsidP="00D27315">
      <w:pPr>
        <w:pStyle w:val="Tabletitle"/>
      </w:pPr>
      <w:r w:rsidRPr="00875E94">
        <w:t>Статистические данные о наличии веб-страниц МСЭ</w:t>
      </w:r>
      <w:r w:rsidR="005E134D" w:rsidRPr="00875E94">
        <w:t xml:space="preserve">-R </w:t>
      </w:r>
      <w:r w:rsidRPr="00875E94">
        <w:t>на языках МСЭ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356"/>
        <w:gridCol w:w="992"/>
        <w:gridCol w:w="851"/>
        <w:gridCol w:w="850"/>
        <w:gridCol w:w="851"/>
        <w:gridCol w:w="850"/>
        <w:gridCol w:w="992"/>
      </w:tblGrid>
      <w:tr w:rsidR="005E134D" w:rsidRPr="005F372A" w:rsidTr="005F372A">
        <w:trPr>
          <w:trHeight w:val="335"/>
        </w:trPr>
        <w:tc>
          <w:tcPr>
            <w:tcW w:w="4248" w:type="dxa"/>
            <w:gridSpan w:val="2"/>
            <w:vMerge w:val="restart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sz w:val="20"/>
                <w:lang w:val="ru-RU"/>
              </w:rPr>
            </w:pPr>
          </w:p>
        </w:tc>
        <w:tc>
          <w:tcPr>
            <w:tcW w:w="5386" w:type="dxa"/>
            <w:gridSpan w:val="6"/>
            <w:hideMark/>
          </w:tcPr>
          <w:p w:rsidR="005E134D" w:rsidRPr="005F372A" w:rsidRDefault="00576CA7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 xml:space="preserve">Состояние </w:t>
            </w:r>
            <w:r w:rsidR="000F28B7" w:rsidRPr="005F372A">
              <w:rPr>
                <w:bCs/>
                <w:sz w:val="20"/>
                <w:lang w:val="ru-RU"/>
              </w:rPr>
              <w:t>дел с письменным переводом веб-страниц МСЭ</w:t>
            </w:r>
            <w:r w:rsidR="005E134D" w:rsidRPr="005F372A">
              <w:rPr>
                <w:bCs/>
                <w:sz w:val="20"/>
                <w:lang w:val="ru-RU"/>
              </w:rPr>
              <w:t xml:space="preserve">-R </w:t>
            </w:r>
            <w:r w:rsidR="000F28B7" w:rsidRPr="005F372A">
              <w:rPr>
                <w:bCs/>
                <w:sz w:val="20"/>
                <w:lang w:val="ru-RU"/>
              </w:rPr>
              <w:t xml:space="preserve">уровня </w:t>
            </w:r>
            <w:r w:rsidR="005E134D" w:rsidRPr="005F372A">
              <w:rPr>
                <w:bCs/>
                <w:sz w:val="20"/>
                <w:lang w:val="ru-RU"/>
              </w:rPr>
              <w:t>0</w:t>
            </w:r>
            <w:r w:rsidR="000F28B7" w:rsidRPr="005F372A">
              <w:rPr>
                <w:bCs/>
                <w:sz w:val="20"/>
                <w:lang w:val="ru-RU"/>
              </w:rPr>
              <w:t xml:space="preserve"> и</w:t>
            </w:r>
            <w:r w:rsidR="005F372A">
              <w:rPr>
                <w:bCs/>
                <w:sz w:val="20"/>
                <w:lang w:val="ru-RU"/>
              </w:rPr>
              <w:t xml:space="preserve"> </w:t>
            </w:r>
            <w:r w:rsidR="005E134D" w:rsidRPr="005F372A">
              <w:rPr>
                <w:bCs/>
                <w:sz w:val="20"/>
                <w:lang w:val="ru-RU"/>
              </w:rPr>
              <w:t>1 (</w:t>
            </w:r>
            <w:proofErr w:type="spellStart"/>
            <w:r w:rsidR="000F28B7" w:rsidRPr="005F372A">
              <w:rPr>
                <w:bCs/>
                <w:sz w:val="20"/>
                <w:lang w:val="ru-RU"/>
              </w:rPr>
              <w:t>IV</w:t>
            </w:r>
            <w:proofErr w:type="spellEnd"/>
            <w:r w:rsidR="000F28B7" w:rsidRPr="005F372A">
              <w:rPr>
                <w:bCs/>
                <w:sz w:val="20"/>
                <w:lang w:val="ru-RU"/>
              </w:rPr>
              <w:t xml:space="preserve"> кв. </w:t>
            </w:r>
            <w:r w:rsidR="005E134D" w:rsidRPr="005F372A">
              <w:rPr>
                <w:bCs/>
                <w:sz w:val="20"/>
                <w:lang w:val="ru-RU"/>
              </w:rPr>
              <w:t>2015</w:t>
            </w:r>
            <w:r w:rsidR="000F28B7" w:rsidRPr="005F372A">
              <w:rPr>
                <w:bCs/>
                <w:sz w:val="20"/>
                <w:lang w:val="ru-RU"/>
              </w:rPr>
              <w:t xml:space="preserve"> г.</w:t>
            </w:r>
            <w:r w:rsidR="005E134D" w:rsidRPr="005F372A">
              <w:rPr>
                <w:bCs/>
                <w:sz w:val="20"/>
                <w:lang w:val="ru-RU"/>
              </w:rPr>
              <w:t>)</w:t>
            </w:r>
          </w:p>
        </w:tc>
      </w:tr>
      <w:tr w:rsidR="005E134D" w:rsidRPr="005F372A" w:rsidTr="005F372A">
        <w:trPr>
          <w:trHeight w:val="186"/>
        </w:trPr>
        <w:tc>
          <w:tcPr>
            <w:tcW w:w="4248" w:type="dxa"/>
            <w:gridSpan w:val="2"/>
            <w:vMerge/>
            <w:noWrap/>
            <w:hideMark/>
          </w:tcPr>
          <w:p w:rsidR="005E134D" w:rsidRPr="005F372A" w:rsidRDefault="005E134D" w:rsidP="00D27315">
            <w:pPr>
              <w:pStyle w:val="Tablehead"/>
              <w:rPr>
                <w:sz w:val="20"/>
                <w:lang w:val="ru-RU"/>
              </w:rPr>
            </w:pPr>
          </w:p>
        </w:tc>
        <w:tc>
          <w:tcPr>
            <w:tcW w:w="992" w:type="dxa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>E</w:t>
            </w:r>
          </w:p>
        </w:tc>
        <w:tc>
          <w:tcPr>
            <w:tcW w:w="851" w:type="dxa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>F</w:t>
            </w:r>
          </w:p>
        </w:tc>
        <w:tc>
          <w:tcPr>
            <w:tcW w:w="850" w:type="dxa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>S</w:t>
            </w:r>
          </w:p>
        </w:tc>
        <w:tc>
          <w:tcPr>
            <w:tcW w:w="851" w:type="dxa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>A</w:t>
            </w:r>
          </w:p>
        </w:tc>
        <w:tc>
          <w:tcPr>
            <w:tcW w:w="850" w:type="dxa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>C</w:t>
            </w:r>
          </w:p>
        </w:tc>
        <w:tc>
          <w:tcPr>
            <w:tcW w:w="992" w:type="dxa"/>
            <w:noWrap/>
            <w:hideMark/>
          </w:tcPr>
          <w:p w:rsidR="005E134D" w:rsidRPr="005F372A" w:rsidRDefault="005E134D" w:rsidP="00D27315">
            <w:pPr>
              <w:pStyle w:val="Tablehead"/>
              <w:rPr>
                <w:bCs/>
                <w:sz w:val="20"/>
                <w:lang w:val="ru-RU"/>
              </w:rPr>
            </w:pPr>
            <w:r w:rsidRPr="005F372A">
              <w:rPr>
                <w:bCs/>
                <w:sz w:val="20"/>
                <w:lang w:val="ru-RU"/>
              </w:rPr>
              <w:t>R</w:t>
            </w:r>
          </w:p>
        </w:tc>
      </w:tr>
      <w:tr w:rsidR="005E134D" w:rsidRPr="005F372A" w:rsidTr="005F372A">
        <w:trPr>
          <w:trHeight w:val="105"/>
        </w:trPr>
        <w:tc>
          <w:tcPr>
            <w:tcW w:w="892" w:type="dxa"/>
            <w:noWrap/>
            <w:hideMark/>
          </w:tcPr>
          <w:p w:rsidR="005E134D" w:rsidRPr="005F372A" w:rsidRDefault="005E134D" w:rsidP="00D27315">
            <w:pPr>
              <w:pStyle w:val="Tabletext"/>
              <w:rPr>
                <w:b/>
                <w:bCs/>
                <w:sz w:val="20"/>
              </w:rPr>
            </w:pPr>
            <w:proofErr w:type="spellStart"/>
            <w:r w:rsidRPr="005F372A">
              <w:rPr>
                <w:b/>
                <w:bCs/>
                <w:sz w:val="20"/>
              </w:rPr>
              <w:t>SSD</w:t>
            </w:r>
            <w:proofErr w:type="spellEnd"/>
          </w:p>
        </w:tc>
        <w:tc>
          <w:tcPr>
            <w:tcW w:w="3356" w:type="dxa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sz w:val="20"/>
              </w:rPr>
            </w:pPr>
            <w:r w:rsidRPr="005F372A">
              <w:rPr>
                <w:sz w:val="20"/>
              </w:rPr>
              <w:t>Космические службы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95%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95%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0%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0%</w:t>
            </w:r>
          </w:p>
        </w:tc>
      </w:tr>
      <w:tr w:rsidR="005E134D" w:rsidRPr="005F372A" w:rsidTr="005F372A">
        <w:trPr>
          <w:trHeight w:val="82"/>
        </w:trPr>
        <w:tc>
          <w:tcPr>
            <w:tcW w:w="892" w:type="dxa"/>
            <w:noWrap/>
            <w:hideMark/>
          </w:tcPr>
          <w:p w:rsidR="005E134D" w:rsidRPr="005F372A" w:rsidRDefault="005E134D" w:rsidP="00D27315">
            <w:pPr>
              <w:pStyle w:val="Tabletext"/>
              <w:rPr>
                <w:b/>
                <w:bCs/>
                <w:sz w:val="20"/>
              </w:rPr>
            </w:pPr>
            <w:proofErr w:type="spellStart"/>
            <w:r w:rsidRPr="005F372A">
              <w:rPr>
                <w:b/>
                <w:bCs/>
                <w:sz w:val="20"/>
              </w:rPr>
              <w:t>TSD</w:t>
            </w:r>
            <w:proofErr w:type="spellEnd"/>
          </w:p>
        </w:tc>
        <w:tc>
          <w:tcPr>
            <w:tcW w:w="3356" w:type="dxa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sz w:val="20"/>
              </w:rPr>
            </w:pPr>
            <w:r w:rsidRPr="005F372A">
              <w:rPr>
                <w:sz w:val="20"/>
              </w:rPr>
              <w:t>Наземные службы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30%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30%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30%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30%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30%</w:t>
            </w:r>
          </w:p>
        </w:tc>
      </w:tr>
      <w:tr w:rsidR="005E134D" w:rsidRPr="005F372A" w:rsidTr="005F372A">
        <w:trPr>
          <w:trHeight w:val="99"/>
        </w:trPr>
        <w:tc>
          <w:tcPr>
            <w:tcW w:w="892" w:type="dxa"/>
            <w:noWrap/>
            <w:hideMark/>
          </w:tcPr>
          <w:p w:rsidR="005E134D" w:rsidRPr="005F372A" w:rsidRDefault="005E134D" w:rsidP="00D27315">
            <w:pPr>
              <w:pStyle w:val="Tabletext"/>
              <w:rPr>
                <w:b/>
                <w:bCs/>
                <w:sz w:val="20"/>
              </w:rPr>
            </w:pPr>
            <w:proofErr w:type="spellStart"/>
            <w:r w:rsidRPr="005F372A">
              <w:rPr>
                <w:b/>
                <w:bCs/>
                <w:sz w:val="20"/>
              </w:rPr>
              <w:t>SGD</w:t>
            </w:r>
            <w:proofErr w:type="spellEnd"/>
          </w:p>
        </w:tc>
        <w:tc>
          <w:tcPr>
            <w:tcW w:w="3356" w:type="dxa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sz w:val="20"/>
              </w:rPr>
            </w:pPr>
            <w:r w:rsidRPr="005F372A">
              <w:rPr>
                <w:sz w:val="20"/>
              </w:rPr>
              <w:t>Исследовательские комиссии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</w:tr>
      <w:tr w:rsidR="005E134D" w:rsidRPr="005F372A" w:rsidTr="005F372A">
        <w:trPr>
          <w:trHeight w:val="331"/>
        </w:trPr>
        <w:tc>
          <w:tcPr>
            <w:tcW w:w="892" w:type="dxa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b/>
                <w:bCs/>
                <w:sz w:val="20"/>
              </w:rPr>
            </w:pPr>
            <w:proofErr w:type="spellStart"/>
            <w:r w:rsidRPr="005F372A">
              <w:rPr>
                <w:b/>
                <w:bCs/>
                <w:sz w:val="20"/>
              </w:rPr>
              <w:t>Конф</w:t>
            </w:r>
            <w:proofErr w:type="spellEnd"/>
            <w:r w:rsidR="005E134D" w:rsidRPr="005F372A">
              <w:rPr>
                <w:b/>
                <w:bCs/>
                <w:sz w:val="20"/>
              </w:rPr>
              <w:t>.</w:t>
            </w:r>
          </w:p>
        </w:tc>
        <w:tc>
          <w:tcPr>
            <w:tcW w:w="3356" w:type="dxa"/>
            <w:hideMark/>
          </w:tcPr>
          <w:p w:rsidR="005E134D" w:rsidRPr="005F372A" w:rsidRDefault="000F28B7" w:rsidP="00D27315">
            <w:pPr>
              <w:pStyle w:val="Tabletext"/>
              <w:rPr>
                <w:sz w:val="20"/>
              </w:rPr>
            </w:pPr>
            <w:r w:rsidRPr="005F372A">
              <w:rPr>
                <w:sz w:val="20"/>
              </w:rPr>
              <w:t>Конференции</w:t>
            </w:r>
            <w:r w:rsidR="005E134D" w:rsidRPr="005F372A">
              <w:rPr>
                <w:sz w:val="20"/>
              </w:rPr>
              <w:t>/</w:t>
            </w:r>
            <w:r w:rsidRPr="005F372A">
              <w:rPr>
                <w:sz w:val="20"/>
              </w:rPr>
              <w:t>собрания</w:t>
            </w:r>
            <w:r w:rsidR="005E134D" w:rsidRPr="005F372A">
              <w:rPr>
                <w:sz w:val="20"/>
              </w:rPr>
              <w:t>/</w:t>
            </w:r>
            <w:r w:rsidR="005E134D" w:rsidRPr="005F372A">
              <w:rPr>
                <w:sz w:val="20"/>
              </w:rPr>
              <w:br/>
            </w:r>
            <w:r w:rsidRPr="005F372A">
              <w:rPr>
                <w:sz w:val="20"/>
              </w:rPr>
              <w:t>семинары</w:t>
            </w:r>
            <w:r w:rsidR="005E134D" w:rsidRPr="005F372A">
              <w:rPr>
                <w:sz w:val="20"/>
              </w:rPr>
              <w:t>/</w:t>
            </w:r>
            <w:r w:rsidRPr="005F372A">
              <w:rPr>
                <w:sz w:val="20"/>
              </w:rPr>
              <w:t>семинары-практикумы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</w:tr>
      <w:tr w:rsidR="005E134D" w:rsidRPr="005F372A" w:rsidTr="005F372A">
        <w:trPr>
          <w:trHeight w:val="168"/>
        </w:trPr>
        <w:tc>
          <w:tcPr>
            <w:tcW w:w="892" w:type="dxa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b/>
                <w:bCs/>
                <w:sz w:val="20"/>
              </w:rPr>
            </w:pPr>
            <w:r w:rsidRPr="005F372A">
              <w:rPr>
                <w:b/>
                <w:bCs/>
                <w:sz w:val="20"/>
              </w:rPr>
              <w:t>Др.</w:t>
            </w:r>
          </w:p>
        </w:tc>
        <w:tc>
          <w:tcPr>
            <w:tcW w:w="3356" w:type="dxa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sz w:val="20"/>
              </w:rPr>
            </w:pPr>
            <w:r w:rsidRPr="005F372A">
              <w:rPr>
                <w:sz w:val="20"/>
              </w:rPr>
              <w:t>Информация</w:t>
            </w:r>
            <w:r w:rsidR="005E134D" w:rsidRPr="005F372A">
              <w:rPr>
                <w:sz w:val="20"/>
              </w:rPr>
              <w:t>/</w:t>
            </w:r>
            <w:r w:rsidRPr="005F372A">
              <w:rPr>
                <w:sz w:val="20"/>
              </w:rPr>
              <w:t>реклама</w:t>
            </w:r>
            <w:r w:rsidR="005E134D" w:rsidRPr="005F372A">
              <w:rPr>
                <w:sz w:val="20"/>
              </w:rPr>
              <w:t>/</w:t>
            </w:r>
            <w:r w:rsidRPr="005F372A">
              <w:rPr>
                <w:sz w:val="20"/>
              </w:rPr>
              <w:t>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70%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70%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70%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70%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70%</w:t>
            </w:r>
          </w:p>
        </w:tc>
      </w:tr>
      <w:tr w:rsidR="005E134D" w:rsidRPr="005F372A" w:rsidTr="005F372A">
        <w:trPr>
          <w:trHeight w:val="315"/>
        </w:trPr>
        <w:tc>
          <w:tcPr>
            <w:tcW w:w="4248" w:type="dxa"/>
            <w:gridSpan w:val="2"/>
            <w:noWrap/>
            <w:hideMark/>
          </w:tcPr>
          <w:p w:rsidR="005E134D" w:rsidRPr="005F372A" w:rsidRDefault="000F28B7" w:rsidP="00D27315">
            <w:pPr>
              <w:pStyle w:val="Tabletext"/>
              <w:rPr>
                <w:b/>
                <w:bCs/>
                <w:sz w:val="20"/>
              </w:rPr>
            </w:pPr>
            <w:r w:rsidRPr="005F372A">
              <w:rPr>
                <w:b/>
                <w:bCs/>
                <w:sz w:val="20"/>
              </w:rPr>
              <w:t>Веб-сайт МСЭ</w:t>
            </w:r>
            <w:r w:rsidR="005E134D" w:rsidRPr="005F372A">
              <w:rPr>
                <w:b/>
                <w:bCs/>
                <w:sz w:val="20"/>
              </w:rPr>
              <w:t>-R (</w:t>
            </w:r>
            <w:r w:rsidRPr="005F372A">
              <w:rPr>
                <w:b/>
                <w:bCs/>
                <w:sz w:val="20"/>
              </w:rPr>
              <w:t>всего</w:t>
            </w:r>
            <w:r w:rsidR="005E134D" w:rsidRPr="005F372A">
              <w:rPr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100%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69%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69%</w:t>
            </w:r>
          </w:p>
        </w:tc>
        <w:tc>
          <w:tcPr>
            <w:tcW w:w="851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  <w:tc>
          <w:tcPr>
            <w:tcW w:w="850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  <w:tc>
          <w:tcPr>
            <w:tcW w:w="992" w:type="dxa"/>
            <w:noWrap/>
            <w:vAlign w:val="bottom"/>
            <w:hideMark/>
          </w:tcPr>
          <w:p w:rsidR="005E134D" w:rsidRPr="005F372A" w:rsidRDefault="005E134D" w:rsidP="00667C27">
            <w:pPr>
              <w:pStyle w:val="Tabletext"/>
              <w:jc w:val="center"/>
              <w:rPr>
                <w:sz w:val="20"/>
              </w:rPr>
            </w:pPr>
            <w:r w:rsidRPr="005F372A">
              <w:rPr>
                <w:sz w:val="20"/>
              </w:rPr>
              <w:t>50%</w:t>
            </w:r>
          </w:p>
        </w:tc>
      </w:tr>
    </w:tbl>
    <w:p w:rsidR="005E134D" w:rsidRPr="00875E94" w:rsidRDefault="005E134D" w:rsidP="000F28B7">
      <w:pPr>
        <w:pStyle w:val="Heading3"/>
      </w:pPr>
      <w:bookmarkStart w:id="45" w:name="_Toc446060799"/>
      <w:r w:rsidRPr="00875E94">
        <w:t>8.6.2</w:t>
      </w:r>
      <w:r w:rsidRPr="00875E94">
        <w:tab/>
      </w:r>
      <w:bookmarkEnd w:id="45"/>
      <w:r w:rsidR="000F28B7" w:rsidRPr="00875E94">
        <w:t>Рекламно-пропагандистская деятельность и связь со СМИ</w:t>
      </w:r>
    </w:p>
    <w:p w:rsidR="005E134D" w:rsidRPr="00875E94" w:rsidRDefault="005E134D" w:rsidP="000F28B7">
      <w:pPr>
        <w:pStyle w:val="Heading4"/>
      </w:pPr>
      <w:r w:rsidRPr="00875E94">
        <w:t>8.6.2.1</w:t>
      </w:r>
      <w:r w:rsidRPr="00875E94">
        <w:tab/>
      </w:r>
      <w:r w:rsidR="000F28B7" w:rsidRPr="00875E94">
        <w:t>Взаимодействие со СМИ</w:t>
      </w:r>
      <w:r w:rsidRPr="00875E94">
        <w:t xml:space="preserve"> </w:t>
      </w:r>
    </w:p>
    <w:p w:rsidR="005E134D" w:rsidRPr="00875E94" w:rsidRDefault="000F28B7" w:rsidP="00D27315">
      <w:proofErr w:type="spellStart"/>
      <w:r w:rsidRPr="00875E94">
        <w:t>БР</w:t>
      </w:r>
      <w:proofErr w:type="spellEnd"/>
      <w:r w:rsidRPr="00875E94">
        <w:t xml:space="preserve"> продолжало содействовать выполнению стратегических целей МСЭ-R</w:t>
      </w:r>
      <w:r w:rsidR="00D10E9F" w:rsidRPr="00875E94">
        <w:t xml:space="preserve"> с помощью </w:t>
      </w:r>
      <w:r w:rsidRPr="00875E94">
        <w:t>следующи</w:t>
      </w:r>
      <w:r w:rsidR="00D10E9F" w:rsidRPr="00875E94">
        <w:t>х</w:t>
      </w:r>
      <w:r w:rsidRPr="00875E94">
        <w:t xml:space="preserve"> информационны</w:t>
      </w:r>
      <w:r w:rsidR="00D10E9F" w:rsidRPr="00875E94">
        <w:t>х</w:t>
      </w:r>
      <w:r w:rsidRPr="00875E94">
        <w:t xml:space="preserve"> материал</w:t>
      </w:r>
      <w:r w:rsidR="00D10E9F" w:rsidRPr="00875E94">
        <w:t>ов</w:t>
      </w:r>
      <w:r w:rsidRPr="00875E94">
        <w:t xml:space="preserve">, </w:t>
      </w:r>
      <w:r w:rsidR="00D10E9F" w:rsidRPr="00875E94">
        <w:t>опубликованных</w:t>
      </w:r>
      <w:r w:rsidRPr="00875E94">
        <w:t xml:space="preserve"> через пресс-служб</w:t>
      </w:r>
      <w:r w:rsidR="00D10E9F" w:rsidRPr="00875E94">
        <w:t>у</w:t>
      </w:r>
      <w:r w:rsidRPr="00875E94">
        <w:t xml:space="preserve"> МСЭ, </w:t>
      </w:r>
      <w:proofErr w:type="spellStart"/>
      <w:r w:rsidRPr="00875E94">
        <w:t>хэштег</w:t>
      </w:r>
      <w:proofErr w:type="spellEnd"/>
      <w:r w:rsidRPr="00875E94">
        <w:t xml:space="preserve"> </w:t>
      </w:r>
      <w:r w:rsidR="005E134D" w:rsidRPr="00875E94">
        <w:t>#</w:t>
      </w:r>
      <w:proofErr w:type="spellStart"/>
      <w:r w:rsidR="005E134D" w:rsidRPr="00875E94">
        <w:t>WRC15</w:t>
      </w:r>
      <w:proofErr w:type="spellEnd"/>
      <w:r w:rsidR="005E134D" w:rsidRPr="00875E94">
        <w:t xml:space="preserve"> </w:t>
      </w:r>
      <w:r w:rsidRPr="00875E94">
        <w:t>в</w:t>
      </w:r>
      <w:r w:rsidR="00D27315" w:rsidRPr="00875E94">
        <w:t> </w:t>
      </w:r>
      <w:hyperlink r:id="rId44" w:history="1">
        <w:r w:rsidRPr="00875E94">
          <w:rPr>
            <w:rStyle w:val="Hyperlink"/>
          </w:rPr>
          <w:t>социальных сетях</w:t>
        </w:r>
      </w:hyperlink>
      <w:r w:rsidR="005E134D" w:rsidRPr="00875E94">
        <w:t xml:space="preserve">, </w:t>
      </w:r>
      <w:r w:rsidRPr="00875E94">
        <w:t>Отдел новостей МСЭ</w:t>
      </w:r>
      <w:r w:rsidR="005E134D" w:rsidRPr="00875E94">
        <w:rPr>
          <w:smallCaps/>
        </w:rPr>
        <w:t>-R</w:t>
      </w:r>
      <w:r w:rsidRPr="00875E94">
        <w:rPr>
          <w:smallCaps/>
        </w:rPr>
        <w:t xml:space="preserve"> </w:t>
      </w:r>
      <w:r w:rsidRPr="00875E94">
        <w:t>по адресу:</w:t>
      </w:r>
      <w:r w:rsidR="005E134D" w:rsidRPr="00875E94">
        <w:t xml:space="preserve"> </w:t>
      </w:r>
      <w:hyperlink r:id="rId45" w:history="1">
        <w:r w:rsidR="005E134D" w:rsidRPr="00875E94">
          <w:rPr>
            <w:rStyle w:val="Hyperlink"/>
          </w:rPr>
          <w:t>https://twitter.com/ITU_R</w:t>
        </w:r>
      </w:hyperlink>
      <w:r w:rsidR="005E134D" w:rsidRPr="00875E94">
        <w:t xml:space="preserve"> </w:t>
      </w:r>
      <w:r w:rsidRPr="00875E94">
        <w:t xml:space="preserve">и веб-сайт </w:t>
      </w:r>
      <w:proofErr w:type="spellStart"/>
      <w:r w:rsidRPr="00875E94">
        <w:t>БР</w:t>
      </w:r>
      <w:proofErr w:type="spellEnd"/>
      <w:r w:rsidR="005E134D" w:rsidRPr="00875E94">
        <w:rPr>
          <w:color w:val="1F497D"/>
        </w:rPr>
        <w:t xml:space="preserve">. </w:t>
      </w:r>
      <w:r w:rsidRPr="00875E94">
        <w:t>Основными объектами информационного освещения стали</w:t>
      </w:r>
      <w:r w:rsidR="005E134D" w:rsidRPr="00875E94">
        <w:t>:</w:t>
      </w:r>
    </w:p>
    <w:p w:rsidR="005E134D" w:rsidRPr="00875E94" w:rsidRDefault="00D27315" w:rsidP="00D27315">
      <w:pPr>
        <w:pStyle w:val="enumlev1"/>
        <w:rPr>
          <w:color w:val="1F497D"/>
        </w:rPr>
      </w:pPr>
      <w:r w:rsidRPr="00875E94">
        <w:t>–</w:t>
      </w:r>
      <w:r w:rsidRPr="00875E94">
        <w:tab/>
      </w:r>
      <w:hyperlink r:id="rId46" w:history="1">
        <w:r w:rsidR="000F28B7" w:rsidRPr="00875E94">
          <w:rPr>
            <w:rStyle w:val="Hyperlink"/>
          </w:rPr>
          <w:t>Всемирный день радио 2015 года</w:t>
        </w:r>
      </w:hyperlink>
      <w:r w:rsidR="005E134D" w:rsidRPr="00875E94">
        <w:t xml:space="preserve">, </w:t>
      </w:r>
      <w:r w:rsidR="000F28B7" w:rsidRPr="00875E94">
        <w:t xml:space="preserve">отмечавшийся </w:t>
      </w:r>
      <w:r w:rsidR="005E134D" w:rsidRPr="00875E94">
        <w:t xml:space="preserve">13 </w:t>
      </w:r>
      <w:r w:rsidR="000F28B7" w:rsidRPr="00875E94">
        <w:t xml:space="preserve">февраля </w:t>
      </w:r>
      <w:r w:rsidR="005E134D" w:rsidRPr="00875E94">
        <w:t>2015</w:t>
      </w:r>
      <w:r w:rsidR="000F28B7" w:rsidRPr="00875E94">
        <w:t xml:space="preserve"> года</w:t>
      </w:r>
      <w:r w:rsidR="00FA477C" w:rsidRPr="00875E94">
        <w:t>;</w:t>
      </w:r>
    </w:p>
    <w:p w:rsidR="005E134D" w:rsidRPr="00875E94" w:rsidRDefault="00D27315" w:rsidP="00D27315">
      <w:pPr>
        <w:pStyle w:val="enumlev1"/>
        <w:rPr>
          <w:color w:val="1F497D"/>
        </w:rPr>
      </w:pPr>
      <w:r w:rsidRPr="00875E94">
        <w:t>–</w:t>
      </w:r>
      <w:r w:rsidRPr="00875E94">
        <w:tab/>
      </w:r>
      <w:hyperlink r:id="rId47" w:history="1">
        <w:r w:rsidR="000F28B7" w:rsidRPr="00875E94">
          <w:rPr>
            <w:rStyle w:val="Hyperlink"/>
          </w:rPr>
          <w:t>Симпозиум МСЭ по рассмотрению регуляторных требований для систем связи на базе малых спутников</w:t>
        </w:r>
      </w:hyperlink>
      <w:r w:rsidR="005E134D" w:rsidRPr="00875E94">
        <w:t xml:space="preserve"> (</w:t>
      </w:r>
      <w:r w:rsidR="000F28B7" w:rsidRPr="00875E94">
        <w:t>Прага</w:t>
      </w:r>
      <w:r w:rsidR="005E134D" w:rsidRPr="00875E94">
        <w:t>, 2</w:t>
      </w:r>
      <w:r w:rsidR="000F28B7" w:rsidRPr="00875E94">
        <w:t>–</w:t>
      </w:r>
      <w:r w:rsidR="005E134D" w:rsidRPr="00875E94">
        <w:t xml:space="preserve">4 </w:t>
      </w:r>
      <w:r w:rsidR="000F28B7" w:rsidRPr="00875E94">
        <w:t xml:space="preserve">марта </w:t>
      </w:r>
      <w:r w:rsidR="005E134D" w:rsidRPr="00875E94">
        <w:t>2015</w:t>
      </w:r>
      <w:r w:rsidR="000F28B7" w:rsidRPr="00875E94">
        <w:t xml:space="preserve"> г</w:t>
      </w:r>
      <w:r w:rsidRPr="00875E94">
        <w:t>.</w:t>
      </w:r>
      <w:r w:rsidR="005E134D" w:rsidRPr="00875E94">
        <w:t>)</w:t>
      </w:r>
      <w:r w:rsidR="00FA477C" w:rsidRPr="00875E94">
        <w:t>;</w:t>
      </w:r>
    </w:p>
    <w:p w:rsidR="005E134D" w:rsidRPr="00875E94" w:rsidRDefault="00D27315" w:rsidP="00D27315">
      <w:pPr>
        <w:pStyle w:val="enumlev1"/>
        <w:rPr>
          <w:color w:val="1F497D"/>
        </w:rPr>
      </w:pPr>
      <w:r w:rsidRPr="00875E94">
        <w:t>–</w:t>
      </w:r>
      <w:r w:rsidRPr="00875E94">
        <w:tab/>
      </w:r>
      <w:hyperlink r:id="rId48" w:history="1">
        <w:proofErr w:type="spellStart"/>
        <w:r w:rsidR="000F28B7" w:rsidRPr="00667C27">
          <w:rPr>
            <w:rStyle w:val="Hyperlink"/>
          </w:rPr>
          <w:t>ПСК1</w:t>
        </w:r>
        <w:r w:rsidR="005E134D" w:rsidRPr="00667C27">
          <w:rPr>
            <w:rStyle w:val="Hyperlink"/>
          </w:rPr>
          <w:t>5</w:t>
        </w:r>
        <w:proofErr w:type="spellEnd"/>
        <w:r w:rsidR="005E134D" w:rsidRPr="00667C27">
          <w:rPr>
            <w:rStyle w:val="Hyperlink"/>
          </w:rPr>
          <w:t xml:space="preserve">-2 </w:t>
        </w:r>
        <w:r w:rsidR="000F28B7" w:rsidRPr="00667C27">
          <w:rPr>
            <w:rStyle w:val="Hyperlink"/>
          </w:rPr>
          <w:t xml:space="preserve">для </w:t>
        </w:r>
        <w:proofErr w:type="spellStart"/>
        <w:r w:rsidR="000F28B7" w:rsidRPr="00667C27">
          <w:rPr>
            <w:rStyle w:val="Hyperlink"/>
          </w:rPr>
          <w:t>ВКР</w:t>
        </w:r>
        <w:proofErr w:type="spellEnd"/>
        <w:r w:rsidR="005E134D" w:rsidRPr="00667C27">
          <w:rPr>
            <w:rStyle w:val="Hyperlink"/>
          </w:rPr>
          <w:t>-15</w:t>
        </w:r>
      </w:hyperlink>
      <w:r w:rsidR="005E134D" w:rsidRPr="00875E94">
        <w:t xml:space="preserve"> (</w:t>
      </w:r>
      <w:r w:rsidR="000F28B7" w:rsidRPr="00875E94">
        <w:t>Женева</w:t>
      </w:r>
      <w:r w:rsidR="005E134D" w:rsidRPr="00875E94">
        <w:t xml:space="preserve">, 23 </w:t>
      </w:r>
      <w:r w:rsidR="000F28B7" w:rsidRPr="00875E94">
        <w:t>марта –</w:t>
      </w:r>
      <w:r w:rsidR="005E134D" w:rsidRPr="00875E94">
        <w:t xml:space="preserve"> 2 </w:t>
      </w:r>
      <w:r w:rsidR="000F28B7" w:rsidRPr="00875E94">
        <w:t xml:space="preserve">апреля </w:t>
      </w:r>
      <w:r w:rsidR="005E134D" w:rsidRPr="00875E94">
        <w:t>2015</w:t>
      </w:r>
      <w:r w:rsidR="000F28B7" w:rsidRPr="00875E94">
        <w:t xml:space="preserve"> г</w:t>
      </w:r>
      <w:r w:rsidRPr="00875E94">
        <w:t>.</w:t>
      </w:r>
      <w:r w:rsidR="005E134D" w:rsidRPr="00875E94">
        <w:t>)</w:t>
      </w:r>
      <w:r w:rsidR="00FA477C" w:rsidRPr="00875E94">
        <w:t>;</w:t>
      </w:r>
      <w:r w:rsidR="005E134D" w:rsidRPr="00875E94">
        <w:rPr>
          <w:color w:val="0563C1"/>
          <w:u w:val="single"/>
        </w:rPr>
        <w:t xml:space="preserve"> </w:t>
      </w:r>
    </w:p>
    <w:p w:rsidR="005E134D" w:rsidRPr="00875E94" w:rsidRDefault="00D27315" w:rsidP="00D27315">
      <w:pPr>
        <w:pStyle w:val="enumlev1"/>
        <w:rPr>
          <w:color w:val="1F497D"/>
        </w:rPr>
      </w:pPr>
      <w:r w:rsidRPr="00875E94">
        <w:t>–</w:t>
      </w:r>
      <w:r w:rsidRPr="00875E94">
        <w:tab/>
      </w:r>
      <w:hyperlink r:id="rId49" w:history="1">
        <w:r w:rsidR="000F28B7" w:rsidRPr="00667C27">
          <w:rPr>
            <w:rStyle w:val="Hyperlink"/>
          </w:rPr>
          <w:t>переход от аналогового к цифровому телевидению</w:t>
        </w:r>
      </w:hyperlink>
      <w:r w:rsidR="000F28B7" w:rsidRPr="00875E94">
        <w:t xml:space="preserve"> в </w:t>
      </w:r>
      <w:r w:rsidR="005E134D" w:rsidRPr="00875E94">
        <w:t xml:space="preserve">119 </w:t>
      </w:r>
      <w:r w:rsidR="000F28B7" w:rsidRPr="00875E94">
        <w:t>странах Европы, Африки, Ближнего Востока и Центральной Азии</w:t>
      </w:r>
      <w:r w:rsidR="005E134D" w:rsidRPr="00875E94">
        <w:t xml:space="preserve">, </w:t>
      </w:r>
      <w:r w:rsidR="000F28B7" w:rsidRPr="00875E94">
        <w:t xml:space="preserve">в том числе </w:t>
      </w:r>
      <w:hyperlink r:id="rId50" w:history="1">
        <w:r w:rsidR="000F28B7" w:rsidRPr="00667C27">
          <w:rPr>
            <w:rStyle w:val="Hyperlink"/>
          </w:rPr>
          <w:t>Симпозиум МСЭ в ознаменование перехода от налогового к цифровому телевидению</w:t>
        </w:r>
      </w:hyperlink>
      <w:r w:rsidR="005E134D" w:rsidRPr="00875E94">
        <w:t xml:space="preserve"> (17 </w:t>
      </w:r>
      <w:r w:rsidR="000F28B7" w:rsidRPr="00875E94">
        <w:t xml:space="preserve">июня </w:t>
      </w:r>
      <w:r w:rsidR="005E134D" w:rsidRPr="00875E94">
        <w:t>2015</w:t>
      </w:r>
      <w:r w:rsidR="000F28B7" w:rsidRPr="00875E94">
        <w:t xml:space="preserve"> г</w:t>
      </w:r>
      <w:r w:rsidRPr="00875E94">
        <w:t>.</w:t>
      </w:r>
      <w:r w:rsidR="005E134D" w:rsidRPr="00875E94">
        <w:t>)</w:t>
      </w:r>
      <w:r w:rsidR="00FA477C" w:rsidRPr="00875E94">
        <w:t>;</w:t>
      </w:r>
    </w:p>
    <w:p w:rsidR="000F28B7" w:rsidRPr="00875E94" w:rsidRDefault="00D27315" w:rsidP="00D27315">
      <w:pPr>
        <w:pStyle w:val="enumlev1"/>
      </w:pPr>
      <w:r w:rsidRPr="00875E94">
        <w:t>–</w:t>
      </w:r>
      <w:r w:rsidRPr="00875E94">
        <w:tab/>
      </w:r>
      <w:hyperlink r:id="rId51" w:history="1">
        <w:r w:rsidRPr="00875E94">
          <w:rPr>
            <w:rStyle w:val="Hyperlink"/>
          </w:rPr>
          <w:t>региональные семинары по радиосвязи МСЭ</w:t>
        </w:r>
      </w:hyperlink>
      <w:r w:rsidR="005E134D" w:rsidRPr="00875E94">
        <w:t xml:space="preserve"> (</w:t>
      </w:r>
      <w:r w:rsidR="000F28B7" w:rsidRPr="00875E94">
        <w:t xml:space="preserve">март, апрель, май и июль </w:t>
      </w:r>
      <w:r w:rsidR="005E134D" w:rsidRPr="00875E94">
        <w:t>2015</w:t>
      </w:r>
      <w:r w:rsidRPr="00875E94">
        <w:t xml:space="preserve"> г.</w:t>
      </w:r>
      <w:r w:rsidR="005E134D" w:rsidRPr="00875E94">
        <w:t>)</w:t>
      </w:r>
      <w:r w:rsidR="00FA477C" w:rsidRPr="00875E94">
        <w:t>;</w:t>
      </w:r>
    </w:p>
    <w:p w:rsidR="005E134D" w:rsidRPr="00875E94" w:rsidRDefault="00D27315" w:rsidP="00667C27">
      <w:pPr>
        <w:pStyle w:val="enumlev1"/>
      </w:pPr>
      <w:r w:rsidRPr="00875E94">
        <w:t>–</w:t>
      </w:r>
      <w:r w:rsidRPr="00875E94">
        <w:tab/>
      </w:r>
      <w:r w:rsidR="000F28B7" w:rsidRPr="00875E94">
        <w:t xml:space="preserve">принятие МСЭ </w:t>
      </w:r>
      <w:hyperlink r:id="rId52" w:history="1">
        <w:r w:rsidR="00FA477C" w:rsidRPr="00667C27">
          <w:rPr>
            <w:rStyle w:val="Hyperlink"/>
          </w:rPr>
          <w:t xml:space="preserve">дорожной карты для подвижной связи </w:t>
        </w:r>
        <w:proofErr w:type="spellStart"/>
        <w:r w:rsidR="00FA477C" w:rsidRPr="00667C27">
          <w:rPr>
            <w:rStyle w:val="Hyperlink"/>
          </w:rPr>
          <w:t>5G</w:t>
        </w:r>
        <w:proofErr w:type="spellEnd"/>
        <w:r w:rsidR="00FA477C" w:rsidRPr="00667C27">
          <w:rPr>
            <w:rStyle w:val="Hyperlink"/>
          </w:rPr>
          <w:t xml:space="preserve"> и разработки систем подвижной связи </w:t>
        </w:r>
        <w:proofErr w:type="spellStart"/>
        <w:r w:rsidR="00FA477C" w:rsidRPr="00667C27">
          <w:rPr>
            <w:rStyle w:val="Hyperlink"/>
          </w:rPr>
          <w:t>5G</w:t>
        </w:r>
        <w:proofErr w:type="spellEnd"/>
        <w:r w:rsidR="00FA477C" w:rsidRPr="00667C27">
          <w:rPr>
            <w:rStyle w:val="Hyperlink"/>
          </w:rPr>
          <w:t xml:space="preserve"> или систем </w:t>
        </w:r>
        <w:proofErr w:type="spellStart"/>
        <w:r w:rsidR="00FA477C" w:rsidRPr="00667C27">
          <w:rPr>
            <w:rStyle w:val="Hyperlink"/>
          </w:rPr>
          <w:t>IMT</w:t>
        </w:r>
        <w:proofErr w:type="spellEnd"/>
        <w:r w:rsidR="00FA477C" w:rsidRPr="00667C27">
          <w:rPr>
            <w:rStyle w:val="Hyperlink"/>
          </w:rPr>
          <w:t>-2020</w:t>
        </w:r>
      </w:hyperlink>
      <w:r w:rsidR="00667C27">
        <w:t xml:space="preserve"> (</w:t>
      </w:r>
      <w:r w:rsidR="005E134D" w:rsidRPr="00875E94">
        <w:t xml:space="preserve">19 </w:t>
      </w:r>
      <w:r w:rsidR="00FA477C" w:rsidRPr="00875E94">
        <w:t>июня</w:t>
      </w:r>
      <w:r w:rsidR="005E134D" w:rsidRPr="00875E94">
        <w:t xml:space="preserve"> 2015</w:t>
      </w:r>
      <w:r w:rsidR="00FA477C" w:rsidRPr="00875E94">
        <w:t xml:space="preserve"> г</w:t>
      </w:r>
      <w:r w:rsidRPr="00875E94">
        <w:t>.</w:t>
      </w:r>
      <w:r w:rsidR="005E134D" w:rsidRPr="00875E94">
        <w:t>)</w:t>
      </w:r>
      <w:r w:rsidR="00FA477C" w:rsidRPr="00875E94">
        <w:t>;</w:t>
      </w:r>
    </w:p>
    <w:p w:rsidR="005E134D" w:rsidRPr="00875E94" w:rsidRDefault="00D27315" w:rsidP="00D27315">
      <w:pPr>
        <w:pStyle w:val="enumlev1"/>
      </w:pPr>
      <w:r w:rsidRPr="00875E94">
        <w:t>–</w:t>
      </w:r>
      <w:r w:rsidRPr="00875E94">
        <w:tab/>
        <w:t>о</w:t>
      </w:r>
      <w:r w:rsidR="00FA477C" w:rsidRPr="00875E94">
        <w:t xml:space="preserve">добрение </w:t>
      </w:r>
      <w:hyperlink r:id="rId53" w:history="1">
        <w:r w:rsidR="00FA477C" w:rsidRPr="00667C27">
          <w:rPr>
            <w:rStyle w:val="Hyperlink"/>
          </w:rPr>
          <w:t>Рекомендации МСЭ</w:t>
        </w:r>
        <w:r w:rsidR="005E134D" w:rsidRPr="00667C27">
          <w:rPr>
            <w:rStyle w:val="Hyperlink"/>
          </w:rPr>
          <w:t xml:space="preserve">-R </w:t>
        </w:r>
        <w:proofErr w:type="spellStart"/>
        <w:r w:rsidR="005E134D" w:rsidRPr="00667C27">
          <w:rPr>
            <w:rStyle w:val="Hyperlink"/>
          </w:rPr>
          <w:t>BS</w:t>
        </w:r>
        <w:proofErr w:type="spellEnd"/>
        <w:r w:rsidR="005E134D" w:rsidRPr="00667C27">
          <w:rPr>
            <w:rStyle w:val="Hyperlink"/>
          </w:rPr>
          <w:t>-2008-0</w:t>
        </w:r>
        <w:r w:rsidR="00FA477C" w:rsidRPr="00667C27">
          <w:rPr>
            <w:rStyle w:val="Hyperlink"/>
          </w:rPr>
          <w:t xml:space="preserve"> по передовой технологии звукового радиовещания</w:t>
        </w:r>
      </w:hyperlink>
      <w:r w:rsidR="005E134D" w:rsidRPr="00875E94">
        <w:t xml:space="preserve"> (19 </w:t>
      </w:r>
      <w:r w:rsidR="00FA477C" w:rsidRPr="00875E94">
        <w:t xml:space="preserve">октября </w:t>
      </w:r>
      <w:r w:rsidR="005E134D" w:rsidRPr="00875E94">
        <w:t>2015</w:t>
      </w:r>
      <w:r w:rsidR="00FA477C" w:rsidRPr="00875E94">
        <w:t xml:space="preserve"> г</w:t>
      </w:r>
      <w:r w:rsidRPr="00875E94">
        <w:t>.</w:t>
      </w:r>
      <w:r w:rsidR="005E134D" w:rsidRPr="00875E94">
        <w:t>)</w:t>
      </w:r>
      <w:r w:rsidR="00FA477C" w:rsidRPr="00875E94">
        <w:t>;</w:t>
      </w:r>
    </w:p>
    <w:p w:rsidR="005E134D" w:rsidRPr="00875E94" w:rsidRDefault="00D27315" w:rsidP="00D27315">
      <w:pPr>
        <w:pStyle w:val="enumlev1"/>
      </w:pPr>
      <w:r w:rsidRPr="00875E94">
        <w:t>–</w:t>
      </w:r>
      <w:r w:rsidRPr="00875E94">
        <w:tab/>
      </w:r>
      <w:hyperlink r:id="rId54" w:history="1">
        <w:r w:rsidR="00FA477C" w:rsidRPr="00875E94">
          <w:rPr>
            <w:rStyle w:val="Hyperlink"/>
          </w:rPr>
          <w:t>АР</w:t>
        </w:r>
        <w:r w:rsidR="005E134D" w:rsidRPr="00875E94">
          <w:rPr>
            <w:rStyle w:val="Hyperlink"/>
          </w:rPr>
          <w:t xml:space="preserve">-15 </w:t>
        </w:r>
        <w:r w:rsidR="00FA477C" w:rsidRPr="00875E94">
          <w:rPr>
            <w:rStyle w:val="Hyperlink"/>
          </w:rPr>
          <w:t>и</w:t>
        </w:r>
        <w:r w:rsidR="005E134D" w:rsidRPr="00875E94">
          <w:rPr>
            <w:rStyle w:val="Hyperlink"/>
          </w:rPr>
          <w:t xml:space="preserve"> </w:t>
        </w:r>
        <w:proofErr w:type="spellStart"/>
        <w:r w:rsidR="00FA477C" w:rsidRPr="00875E94">
          <w:rPr>
            <w:rStyle w:val="Hyperlink"/>
          </w:rPr>
          <w:t>ВКР</w:t>
        </w:r>
        <w:proofErr w:type="spellEnd"/>
        <w:r w:rsidR="005E134D" w:rsidRPr="00875E94">
          <w:rPr>
            <w:rStyle w:val="Hyperlink"/>
          </w:rPr>
          <w:t>-15</w:t>
        </w:r>
      </w:hyperlink>
      <w:r w:rsidR="005E134D" w:rsidRPr="00875E94">
        <w:t xml:space="preserve"> (</w:t>
      </w:r>
      <w:r w:rsidR="00FA477C" w:rsidRPr="00875E94">
        <w:t xml:space="preserve">октябрь–ноябрь </w:t>
      </w:r>
      <w:r w:rsidR="005E134D" w:rsidRPr="00875E94">
        <w:t>2015</w:t>
      </w:r>
      <w:r w:rsidR="00FA477C" w:rsidRPr="00875E94">
        <w:t xml:space="preserve"> г</w:t>
      </w:r>
      <w:r w:rsidRPr="00875E94">
        <w:t>.</w:t>
      </w:r>
      <w:r w:rsidR="005E134D" w:rsidRPr="00875E94">
        <w:t>)</w:t>
      </w:r>
      <w:r w:rsidR="00FA477C" w:rsidRPr="00875E94">
        <w:t>.</w:t>
      </w:r>
    </w:p>
    <w:p w:rsidR="005E134D" w:rsidRPr="00875E94" w:rsidRDefault="00FA477C" w:rsidP="00D27315">
      <w:r w:rsidRPr="00875E94">
        <w:t xml:space="preserve">В </w:t>
      </w:r>
      <w:hyperlink r:id="rId55" w:history="1">
        <w:r w:rsidRPr="00667C27">
          <w:rPr>
            <w:rStyle w:val="Hyperlink"/>
          </w:rPr>
          <w:t xml:space="preserve">Отделе новостей </w:t>
        </w:r>
        <w:proofErr w:type="spellStart"/>
        <w:r w:rsidRPr="00667C27">
          <w:rPr>
            <w:rStyle w:val="Hyperlink"/>
          </w:rPr>
          <w:t>ВКР</w:t>
        </w:r>
        <w:proofErr w:type="spellEnd"/>
        <w:r w:rsidRPr="00667C27">
          <w:rPr>
            <w:rStyle w:val="Hyperlink"/>
          </w:rPr>
          <w:t>-15</w:t>
        </w:r>
      </w:hyperlink>
      <w:r w:rsidRPr="00875E94">
        <w:t xml:space="preserve"> был выпущен ряд информационных материалов по Всемирной конференции радиосвязи (</w:t>
      </w:r>
      <w:proofErr w:type="spellStart"/>
      <w:r w:rsidRPr="00875E94">
        <w:t>ВКР</w:t>
      </w:r>
      <w:proofErr w:type="spellEnd"/>
      <w:r w:rsidRPr="00875E94">
        <w:t xml:space="preserve">-15) и Ассамблее радиосвязи (АР-15), в которых содержится полезная базовая информация для делегатов и СМИ. К ним относится </w:t>
      </w:r>
      <w:hyperlink r:id="rId56" w:history="1">
        <w:r w:rsidRPr="00667C27">
          <w:rPr>
            <w:rStyle w:val="Hyperlink"/>
          </w:rPr>
          <w:t xml:space="preserve">Специальное издание журнала "Новости МСЭ", посвященное </w:t>
        </w:r>
        <w:proofErr w:type="spellStart"/>
        <w:r w:rsidRPr="00667C27">
          <w:rPr>
            <w:rStyle w:val="Hyperlink"/>
          </w:rPr>
          <w:t>ВКР</w:t>
        </w:r>
        <w:proofErr w:type="spellEnd"/>
        <w:r w:rsidRPr="00667C27">
          <w:rPr>
            <w:rStyle w:val="Hyperlink"/>
          </w:rPr>
          <w:t>-15</w:t>
        </w:r>
      </w:hyperlink>
      <w:r w:rsidRPr="00875E94">
        <w:t xml:space="preserve">, пресс-релизы по </w:t>
      </w:r>
      <w:hyperlink r:id="rId57" w:history="1">
        <w:r w:rsidRPr="00667C27">
          <w:rPr>
            <w:rStyle w:val="Hyperlink"/>
          </w:rPr>
          <w:t>АР-15</w:t>
        </w:r>
      </w:hyperlink>
      <w:r w:rsidRPr="00875E94">
        <w:t xml:space="preserve">, которая устанавливает направление развития </w:t>
      </w:r>
      <w:r w:rsidRPr="00875E94">
        <w:lastRenderedPageBreak/>
        <w:t xml:space="preserve">технологий беспроводной связи для расширения возможности подключения и доступности в любой точке мира, и по </w:t>
      </w:r>
      <w:hyperlink r:id="rId58" w:history="1">
        <w:proofErr w:type="spellStart"/>
        <w:r w:rsidRPr="00667C27">
          <w:rPr>
            <w:rStyle w:val="Hyperlink"/>
          </w:rPr>
          <w:t>ВКР</w:t>
        </w:r>
        <w:proofErr w:type="spellEnd"/>
        <w:r w:rsidRPr="00667C27">
          <w:rPr>
            <w:rStyle w:val="Hyperlink"/>
          </w:rPr>
          <w:t>-15</w:t>
        </w:r>
      </w:hyperlink>
      <w:r w:rsidRPr="00875E94">
        <w:t xml:space="preserve">, которая распределяет спектр для будущих инноваций и стимулирования долгосрочных инвестиций в отрасль ИКТ. Было получено более 200 вопросов от СМИ, из которых более 70 касались </w:t>
      </w:r>
      <w:proofErr w:type="spellStart"/>
      <w:r w:rsidRPr="00875E94">
        <w:t>ВКР</w:t>
      </w:r>
      <w:proofErr w:type="spellEnd"/>
      <w:r w:rsidRPr="00875E94">
        <w:t xml:space="preserve">-15. Освещение в социальных сетях по </w:t>
      </w:r>
      <w:proofErr w:type="spellStart"/>
      <w:r w:rsidRPr="00875E94">
        <w:t>хэштегу</w:t>
      </w:r>
      <w:proofErr w:type="spellEnd"/>
      <w:r w:rsidRPr="00875E94">
        <w:t xml:space="preserve"> </w:t>
      </w:r>
      <w:hyperlink r:id="rId59" w:history="1">
        <w:r w:rsidR="005E134D" w:rsidRPr="00667C27">
          <w:rPr>
            <w:rStyle w:val="Hyperlink"/>
          </w:rPr>
          <w:t>#</w:t>
        </w:r>
        <w:proofErr w:type="spellStart"/>
        <w:r w:rsidR="005E134D" w:rsidRPr="00667C27">
          <w:rPr>
            <w:rStyle w:val="Hyperlink"/>
          </w:rPr>
          <w:t>WRC15</w:t>
        </w:r>
        <w:proofErr w:type="spellEnd"/>
      </w:hyperlink>
      <w:r w:rsidR="005E134D" w:rsidRPr="00875E94">
        <w:rPr>
          <w:szCs w:val="21"/>
        </w:rPr>
        <w:t xml:space="preserve">, </w:t>
      </w:r>
      <w:r w:rsidRPr="00875E94">
        <w:rPr>
          <w:szCs w:val="21"/>
        </w:rPr>
        <w:t xml:space="preserve">в том числе дистанционное участие (с помощью </w:t>
      </w:r>
      <w:proofErr w:type="spellStart"/>
      <w:r w:rsidR="005E134D" w:rsidRPr="00875E94">
        <w:rPr>
          <w:szCs w:val="21"/>
        </w:rPr>
        <w:t>Twitter</w:t>
      </w:r>
      <w:proofErr w:type="spellEnd"/>
      <w:r w:rsidR="005E134D" w:rsidRPr="00875E94">
        <w:rPr>
          <w:szCs w:val="21"/>
        </w:rPr>
        <w:t xml:space="preserve">) </w:t>
      </w:r>
      <w:r w:rsidRPr="00875E94">
        <w:rPr>
          <w:szCs w:val="21"/>
        </w:rPr>
        <w:t>в пресс-конференциях, привело к публикации более 3708</w:t>
      </w:r>
      <w:r w:rsidR="00D27315" w:rsidRPr="00875E94">
        <w:rPr>
          <w:szCs w:val="21"/>
        </w:rPr>
        <w:t> </w:t>
      </w:r>
      <w:proofErr w:type="spellStart"/>
      <w:r w:rsidRPr="00875E94">
        <w:rPr>
          <w:szCs w:val="21"/>
        </w:rPr>
        <w:t>твитов</w:t>
      </w:r>
      <w:proofErr w:type="spellEnd"/>
      <w:r w:rsidRPr="00875E94">
        <w:rPr>
          <w:szCs w:val="21"/>
        </w:rPr>
        <w:t xml:space="preserve"> 1804 авторами, которые охватили аудиторию в </w:t>
      </w:r>
      <w:r w:rsidR="005E134D" w:rsidRPr="00875E94">
        <w:rPr>
          <w:szCs w:val="21"/>
        </w:rPr>
        <w:t>14</w:t>
      </w:r>
      <w:r w:rsidRPr="00875E94">
        <w:rPr>
          <w:szCs w:val="21"/>
        </w:rPr>
        <w:t>,</w:t>
      </w:r>
      <w:r w:rsidR="005E134D" w:rsidRPr="00875E94">
        <w:rPr>
          <w:szCs w:val="21"/>
        </w:rPr>
        <w:t>58</w:t>
      </w:r>
      <w:r w:rsidRPr="00875E94">
        <w:rPr>
          <w:szCs w:val="21"/>
        </w:rPr>
        <w:t xml:space="preserve"> млн. человек, а количество потенциальных просмотров сообщений </w:t>
      </w:r>
      <w:hyperlink r:id="rId60" w:history="1">
        <w:r w:rsidR="005E134D" w:rsidRPr="00667C27">
          <w:rPr>
            <w:rStyle w:val="Hyperlink"/>
          </w:rPr>
          <w:t>#</w:t>
        </w:r>
        <w:proofErr w:type="spellStart"/>
        <w:r w:rsidR="005E134D" w:rsidRPr="00667C27">
          <w:rPr>
            <w:rStyle w:val="Hyperlink"/>
          </w:rPr>
          <w:t>WRC15</w:t>
        </w:r>
        <w:proofErr w:type="spellEnd"/>
      </w:hyperlink>
      <w:r w:rsidR="005E134D" w:rsidRPr="00875E94">
        <w:rPr>
          <w:szCs w:val="21"/>
        </w:rPr>
        <w:t xml:space="preserve"> (</w:t>
      </w:r>
      <w:proofErr w:type="spellStart"/>
      <w:r w:rsidRPr="00875E94">
        <w:rPr>
          <w:szCs w:val="21"/>
        </w:rPr>
        <w:t>твитов</w:t>
      </w:r>
      <w:proofErr w:type="spellEnd"/>
      <w:r w:rsidR="005E134D" w:rsidRPr="00875E94">
        <w:rPr>
          <w:szCs w:val="21"/>
        </w:rPr>
        <w:t>)</w:t>
      </w:r>
      <w:r w:rsidRPr="00875E94">
        <w:rPr>
          <w:szCs w:val="21"/>
        </w:rPr>
        <w:t xml:space="preserve"> составило 36,49 млн.</w:t>
      </w:r>
      <w:r w:rsidR="005E134D" w:rsidRPr="00875E94">
        <w:rPr>
          <w:szCs w:val="21"/>
        </w:rPr>
        <w:t xml:space="preserve"> </w:t>
      </w:r>
    </w:p>
    <w:p w:rsidR="00B82873" w:rsidRPr="00875E94" w:rsidRDefault="00FA477C" w:rsidP="00D27315">
      <w:pPr>
        <w:pStyle w:val="Heading4"/>
      </w:pPr>
      <w:bookmarkStart w:id="46" w:name="_Toc427075603"/>
      <w:r w:rsidRPr="00875E94">
        <w:t>8</w:t>
      </w:r>
      <w:r w:rsidR="00B82873" w:rsidRPr="00875E94">
        <w:t>.</w:t>
      </w:r>
      <w:r w:rsidRPr="00875E94">
        <w:t>6.2</w:t>
      </w:r>
      <w:r w:rsidR="00B82873" w:rsidRPr="00875E94">
        <w:t>.</w:t>
      </w:r>
      <w:r w:rsidRPr="00875E94">
        <w:t>2</w:t>
      </w:r>
      <w:r w:rsidR="00B82873" w:rsidRPr="00875E94">
        <w:tab/>
        <w:t>Часто задаваемые вопросы (</w:t>
      </w:r>
      <w:proofErr w:type="spellStart"/>
      <w:r w:rsidR="00B82873" w:rsidRPr="00875E94">
        <w:t>FAQ</w:t>
      </w:r>
      <w:proofErr w:type="spellEnd"/>
      <w:r w:rsidR="00B82873" w:rsidRPr="00875E94">
        <w:t>)</w:t>
      </w:r>
      <w:bookmarkEnd w:id="46"/>
    </w:p>
    <w:p w:rsidR="00B82873" w:rsidRPr="00875E94" w:rsidRDefault="00B82873" w:rsidP="00667C27">
      <w:pPr>
        <w:keepNext/>
        <w:keepLines/>
      </w:pPr>
      <w:proofErr w:type="spellStart"/>
      <w:r w:rsidRPr="00875E94">
        <w:t>БР</w:t>
      </w:r>
      <w:proofErr w:type="spellEnd"/>
      <w:r w:rsidRPr="00875E94">
        <w:t xml:space="preserve"> разрабатывает и регулярно обновляет различные наборы </w:t>
      </w:r>
      <w:r w:rsidR="00FA477C" w:rsidRPr="00875E94">
        <w:t>часто задаваемых вопросов (</w:t>
      </w:r>
      <w:proofErr w:type="spellStart"/>
      <w:r w:rsidRPr="00875E94">
        <w:t>FAQ</w:t>
      </w:r>
      <w:proofErr w:type="spellEnd"/>
      <w:r w:rsidR="00FA477C" w:rsidRPr="00875E94">
        <w:t>)</w:t>
      </w:r>
      <w:r w:rsidRPr="00875E94">
        <w:t>. Они доступны для средств массовой информации, отрасли и широкой общественности, и в настоящее время охватывают следующие темы:</w:t>
      </w:r>
    </w:p>
    <w:p w:rsidR="00B82873" w:rsidRPr="001A1EC6" w:rsidRDefault="00B82873" w:rsidP="001A1EC6">
      <w:pPr>
        <w:pStyle w:val="enumlev1"/>
      </w:pPr>
      <w:r w:rsidRPr="00875E94">
        <w:t>–</w:t>
      </w:r>
      <w:r w:rsidRPr="00875E94">
        <w:tab/>
      </w:r>
      <w:proofErr w:type="spellStart"/>
      <w:r w:rsidRPr="00875E94">
        <w:t>РР</w:t>
      </w:r>
      <w:proofErr w:type="spellEnd"/>
      <w:r w:rsidRPr="00875E94">
        <w:t xml:space="preserve">, ИК МСЭ-R, </w:t>
      </w:r>
      <w:proofErr w:type="spellStart"/>
      <w:r w:rsidRPr="00875E94">
        <w:t>РРК</w:t>
      </w:r>
      <w:proofErr w:type="spellEnd"/>
      <w:r w:rsidRPr="00875E94">
        <w:t xml:space="preserve">, </w:t>
      </w:r>
      <w:proofErr w:type="spellStart"/>
      <w:r w:rsidRPr="00875E94">
        <w:t>КГР</w:t>
      </w:r>
      <w:proofErr w:type="spellEnd"/>
      <w:r w:rsidRPr="00875E94">
        <w:t xml:space="preserve">, </w:t>
      </w:r>
      <w:proofErr w:type="spellStart"/>
      <w:r w:rsidRPr="00875E94">
        <w:t>БР</w:t>
      </w:r>
      <w:proofErr w:type="spellEnd"/>
      <w:r w:rsidRPr="00875E94">
        <w:t>;</w:t>
      </w:r>
    </w:p>
    <w:p w:rsidR="00B82873" w:rsidRPr="00875E94" w:rsidRDefault="00B82873" w:rsidP="00FA477C">
      <w:pPr>
        <w:pStyle w:val="enumlev1"/>
      </w:pPr>
      <w:r w:rsidRPr="00875E94">
        <w:t>–</w:t>
      </w:r>
      <w:r w:rsidRPr="00875E94">
        <w:tab/>
      </w:r>
      <w:proofErr w:type="spellStart"/>
      <w:r w:rsidRPr="00875E94">
        <w:t>IMT</w:t>
      </w:r>
      <w:proofErr w:type="spellEnd"/>
      <w:r w:rsidRPr="00875E94">
        <w:t xml:space="preserve"> и беспроводн</w:t>
      </w:r>
      <w:r w:rsidR="00FA477C" w:rsidRPr="00875E94">
        <w:t>ая</w:t>
      </w:r>
      <w:r w:rsidRPr="00875E94">
        <w:t xml:space="preserve"> широкополосн</w:t>
      </w:r>
      <w:r w:rsidR="00FA477C" w:rsidRPr="00875E94">
        <w:t>ая связь</w:t>
      </w:r>
      <w:r w:rsidRPr="00875E94">
        <w:t>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переход к цифровому телевизионному радиовещанию и цифровой дивиденд;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универсальная шкала времени (</w:t>
      </w:r>
      <w:proofErr w:type="spellStart"/>
      <w:r w:rsidRPr="00875E94">
        <w:t>UTC</w:t>
      </w:r>
      <w:proofErr w:type="spellEnd"/>
      <w:r w:rsidRPr="00875E94">
        <w:t>) – дополнительная секунда;</w:t>
      </w:r>
    </w:p>
    <w:p w:rsidR="00B82873" w:rsidRPr="00875E94" w:rsidRDefault="00B82873" w:rsidP="00B82873">
      <w:pPr>
        <w:pStyle w:val="enumlev1"/>
      </w:pPr>
      <w:r w:rsidRPr="00875E94">
        <w:t>–</w:t>
      </w:r>
      <w:r w:rsidRPr="00875E94">
        <w:tab/>
        <w:t>регистрация спутниковых сетей и связанные с ней процедуры.</w:t>
      </w:r>
    </w:p>
    <w:p w:rsidR="00B82873" w:rsidRPr="00875E94" w:rsidRDefault="00B82873" w:rsidP="00A3542E">
      <w:r w:rsidRPr="00875E94">
        <w:t xml:space="preserve">С ними можно ознакомиться </w:t>
      </w:r>
      <w:r w:rsidR="00A3542E" w:rsidRPr="00875E94">
        <w:t xml:space="preserve">в правом верхнем углу </w:t>
      </w:r>
      <w:r w:rsidRPr="00875E94">
        <w:t>веб-страниц</w:t>
      </w:r>
      <w:r w:rsidR="00A3542E" w:rsidRPr="00875E94">
        <w:t>ы</w:t>
      </w:r>
      <w:r w:rsidRPr="00875E94">
        <w:t xml:space="preserve"> МСЭ-R (</w:t>
      </w:r>
      <w:hyperlink r:id="rId61" w:history="1">
        <w:r w:rsidR="00667C27" w:rsidRPr="00EC1EC3">
          <w:rPr>
            <w:rStyle w:val="Hyperlink"/>
            <w:szCs w:val="24"/>
          </w:rPr>
          <w:t>http://www.itu.int/en/ITU</w:t>
        </w:r>
        <w:r w:rsidR="00667C27" w:rsidRPr="00EC1EC3">
          <w:rPr>
            <w:rStyle w:val="Hyperlink"/>
            <w:szCs w:val="24"/>
          </w:rPr>
          <w:noBreakHyphen/>
          <w:t>R/Pages/default.aspx</w:t>
        </w:r>
      </w:hyperlink>
      <w:r w:rsidRPr="00875E94">
        <w:t>).</w:t>
      </w:r>
    </w:p>
    <w:bookmarkEnd w:id="34"/>
    <w:bookmarkEnd w:id="35"/>
    <w:p w:rsidR="00A3542E" w:rsidRPr="00875E94" w:rsidRDefault="00A3542E" w:rsidP="00A3542E">
      <w:pPr>
        <w:pStyle w:val="Heading4"/>
      </w:pPr>
      <w:r w:rsidRPr="00875E94">
        <w:t>8.6.2.3</w:t>
      </w:r>
      <w:r w:rsidRPr="00875E94">
        <w:tab/>
        <w:t xml:space="preserve">Информационное обеспечение </w:t>
      </w:r>
      <w:proofErr w:type="spellStart"/>
      <w:r w:rsidRPr="00875E94">
        <w:t>брендинга</w:t>
      </w:r>
      <w:proofErr w:type="spellEnd"/>
      <w:r w:rsidRPr="00875E94">
        <w:t xml:space="preserve"> </w:t>
      </w:r>
    </w:p>
    <w:p w:rsidR="00A3542E" w:rsidRPr="00875E94" w:rsidRDefault="00A3542E" w:rsidP="00A3542E">
      <w:r w:rsidRPr="00875E94">
        <w:t xml:space="preserve">В 2015 году были подготовлены </w:t>
      </w:r>
      <w:proofErr w:type="spellStart"/>
      <w:r w:rsidRPr="00875E94">
        <w:t>брендированные</w:t>
      </w:r>
      <w:proofErr w:type="spellEnd"/>
      <w:r w:rsidRPr="00875E94">
        <w:t xml:space="preserve"> информационные материалы для </w:t>
      </w:r>
      <w:proofErr w:type="spellStart"/>
      <w:r w:rsidRPr="00875E94">
        <w:t>ПСК15</w:t>
      </w:r>
      <w:proofErr w:type="spellEnd"/>
      <w:r w:rsidRPr="00875E94">
        <w:t xml:space="preserve">-2, </w:t>
      </w:r>
      <w:proofErr w:type="spellStart"/>
      <w:r w:rsidRPr="00875E94">
        <w:t>ВКР</w:t>
      </w:r>
      <w:proofErr w:type="spellEnd"/>
      <w:r w:rsidRPr="00875E94">
        <w:t xml:space="preserve">-15 и АР-15. Эти электронные материалы распространялись с помощью онлайновых электронных средств (веб-сайт) и на электронных экранах в зданиях МСЭ и </w:t>
      </w:r>
      <w:proofErr w:type="spellStart"/>
      <w:r w:rsidRPr="00875E94">
        <w:t>МЦКЖ</w:t>
      </w:r>
      <w:proofErr w:type="spellEnd"/>
      <w:r w:rsidRPr="00875E94">
        <w:t xml:space="preserve"> и были доступны для просмотра более </w:t>
      </w:r>
      <w:r w:rsidR="008210CF" w:rsidRPr="00875E94">
        <w:t xml:space="preserve">чем </w:t>
      </w:r>
      <w:r w:rsidRPr="00875E94">
        <w:t>3300 делегатам и гораздо более широкой аудитории через социальные СМИ.</w:t>
      </w:r>
    </w:p>
    <w:p w:rsidR="00A3542E" w:rsidRPr="00875E94" w:rsidRDefault="00A3542E" w:rsidP="00A3542E">
      <w:pPr>
        <w:pStyle w:val="Heading4"/>
      </w:pPr>
      <w:r w:rsidRPr="00875E94">
        <w:t>8.6.2.4</w:t>
      </w:r>
      <w:r w:rsidRPr="00875E94">
        <w:tab/>
        <w:t>Выставки и демонстрационные программы</w:t>
      </w:r>
    </w:p>
    <w:p w:rsidR="00A3542E" w:rsidRPr="00875E94" w:rsidRDefault="00A3542E" w:rsidP="00A3542E">
      <w:r w:rsidRPr="00875E94">
        <w:t xml:space="preserve">В 2015 году по просьбе членов МСЭ </w:t>
      </w:r>
      <w:proofErr w:type="spellStart"/>
      <w:r w:rsidRPr="00875E94">
        <w:t>БР</w:t>
      </w:r>
      <w:proofErr w:type="spellEnd"/>
      <w:r w:rsidRPr="00875E94">
        <w:t xml:space="preserve"> организовало три выставки. </w:t>
      </w:r>
    </w:p>
    <w:p w:rsidR="00A3542E" w:rsidRPr="00875E94" w:rsidRDefault="003974C6" w:rsidP="003974C6">
      <w:r w:rsidRPr="00875E94">
        <w:rPr>
          <w:b/>
          <w:bCs/>
        </w:rPr>
        <w:t xml:space="preserve">Выставка </w:t>
      </w:r>
      <w:proofErr w:type="spellStart"/>
      <w:r w:rsidR="00A3542E" w:rsidRPr="00875E94">
        <w:rPr>
          <w:b/>
          <w:bCs/>
        </w:rPr>
        <w:t>ВКР</w:t>
      </w:r>
      <w:proofErr w:type="spellEnd"/>
      <w:r w:rsidR="00A3542E" w:rsidRPr="00875E94">
        <w:rPr>
          <w:b/>
          <w:bCs/>
        </w:rPr>
        <w:t>-15 ЭКСПО</w:t>
      </w:r>
      <w:r w:rsidR="00A3542E" w:rsidRPr="00875E94">
        <w:t xml:space="preserve"> (2–27 ноября) привлекла многих посетителей, в основном за счет своего расположения в зоне "</w:t>
      </w:r>
      <w:proofErr w:type="spellStart"/>
      <w:r w:rsidR="00A3542E" w:rsidRPr="00875E94">
        <w:t>Espace</w:t>
      </w:r>
      <w:proofErr w:type="spellEnd"/>
      <w:r w:rsidR="00A3542E" w:rsidRPr="00875E94">
        <w:t xml:space="preserve"> </w:t>
      </w:r>
      <w:proofErr w:type="spellStart"/>
      <w:r w:rsidR="00A3542E" w:rsidRPr="00875E94">
        <w:t>Polyvalent</w:t>
      </w:r>
      <w:proofErr w:type="spellEnd"/>
      <w:r w:rsidR="00A3542E" w:rsidRPr="00875E94">
        <w:t xml:space="preserve">" </w:t>
      </w:r>
      <w:proofErr w:type="spellStart"/>
      <w:r w:rsidR="00A3542E" w:rsidRPr="00875E94">
        <w:t>МЦКЖ</w:t>
      </w:r>
      <w:proofErr w:type="spellEnd"/>
      <w:r w:rsidR="00A3542E" w:rsidRPr="00875E94">
        <w:t xml:space="preserve"> поблизости от места проведения </w:t>
      </w:r>
      <w:proofErr w:type="spellStart"/>
      <w:r w:rsidR="00A3542E" w:rsidRPr="00875E94">
        <w:t>ВКР</w:t>
      </w:r>
      <w:proofErr w:type="spellEnd"/>
      <w:r w:rsidR="00A3542E" w:rsidRPr="00875E94">
        <w:t xml:space="preserve">-15. </w:t>
      </w:r>
      <w:r w:rsidRPr="00875E94">
        <w:t xml:space="preserve">На </w:t>
      </w:r>
      <w:r w:rsidR="00A3542E" w:rsidRPr="00875E94">
        <w:t>это</w:t>
      </w:r>
      <w:r w:rsidRPr="00875E94">
        <w:t>й</w:t>
      </w:r>
      <w:r w:rsidR="00A3542E" w:rsidRPr="00875E94">
        <w:t xml:space="preserve"> выставк</w:t>
      </w:r>
      <w:r w:rsidRPr="00875E94">
        <w:t xml:space="preserve">е были представлены </w:t>
      </w:r>
      <w:proofErr w:type="spellStart"/>
      <w:r w:rsidR="00A3542E" w:rsidRPr="00875E94">
        <w:t>ATDI</w:t>
      </w:r>
      <w:proofErr w:type="spellEnd"/>
      <w:r w:rsidR="00A3542E" w:rsidRPr="00875E94">
        <w:t xml:space="preserve">, </w:t>
      </w:r>
      <w:proofErr w:type="spellStart"/>
      <w:r w:rsidR="00A3542E" w:rsidRPr="00875E94">
        <w:t>ЕРС</w:t>
      </w:r>
      <w:proofErr w:type="spellEnd"/>
      <w:r w:rsidR="00A3542E" w:rsidRPr="00875E94">
        <w:t xml:space="preserve">, </w:t>
      </w:r>
      <w:proofErr w:type="spellStart"/>
      <w:r w:rsidR="00A3542E" w:rsidRPr="00875E94">
        <w:t>ESOA</w:t>
      </w:r>
      <w:proofErr w:type="spellEnd"/>
      <w:r w:rsidR="00A3542E" w:rsidRPr="00875E94">
        <w:t xml:space="preserve">, </w:t>
      </w:r>
      <w:proofErr w:type="spellStart"/>
      <w:r w:rsidR="00A3542E" w:rsidRPr="00875E94">
        <w:t>FACEBOOK</w:t>
      </w:r>
      <w:proofErr w:type="spellEnd"/>
      <w:r w:rsidR="00A3542E" w:rsidRPr="00875E94">
        <w:t xml:space="preserve">, </w:t>
      </w:r>
      <w:proofErr w:type="spellStart"/>
      <w:r w:rsidR="00A3542E" w:rsidRPr="00875E94">
        <w:t>GLOBALSTAR</w:t>
      </w:r>
      <w:proofErr w:type="spellEnd"/>
      <w:r w:rsidR="00A3542E" w:rsidRPr="00875E94">
        <w:t xml:space="preserve">, </w:t>
      </w:r>
      <w:proofErr w:type="spellStart"/>
      <w:r w:rsidR="00A3542E" w:rsidRPr="00875E94">
        <w:t>GOOGLE</w:t>
      </w:r>
      <w:proofErr w:type="spellEnd"/>
      <w:r w:rsidR="00A3542E" w:rsidRPr="00875E94">
        <w:t xml:space="preserve">, </w:t>
      </w:r>
      <w:r w:rsidRPr="00875E94">
        <w:t xml:space="preserve">Ассоциация </w:t>
      </w:r>
      <w:proofErr w:type="spellStart"/>
      <w:r w:rsidR="00A3542E" w:rsidRPr="00875E94">
        <w:t>GSM</w:t>
      </w:r>
      <w:proofErr w:type="spellEnd"/>
      <w:r w:rsidR="00A3542E" w:rsidRPr="00875E94">
        <w:t xml:space="preserve">, </w:t>
      </w:r>
      <w:proofErr w:type="spellStart"/>
      <w:r w:rsidRPr="00875E94">
        <w:t>МСР</w:t>
      </w:r>
      <w:proofErr w:type="spellEnd"/>
      <w:r w:rsidR="00A3542E" w:rsidRPr="00875E94">
        <w:t xml:space="preserve">, </w:t>
      </w:r>
      <w:proofErr w:type="spellStart"/>
      <w:r w:rsidR="00A3542E" w:rsidRPr="00875E94">
        <w:t>LS</w:t>
      </w:r>
      <w:proofErr w:type="spellEnd"/>
      <w:r w:rsidR="00A3542E" w:rsidRPr="00875E94">
        <w:t xml:space="preserve"> </w:t>
      </w:r>
      <w:proofErr w:type="spellStart"/>
      <w:r w:rsidR="00A3542E" w:rsidRPr="00875E94">
        <w:t>TELCOM</w:t>
      </w:r>
      <w:proofErr w:type="spellEnd"/>
      <w:r w:rsidR="00A3542E" w:rsidRPr="00875E94">
        <w:t xml:space="preserve">, </w:t>
      </w:r>
      <w:proofErr w:type="spellStart"/>
      <w:r w:rsidR="00A3542E" w:rsidRPr="00875E94">
        <w:t>Saab</w:t>
      </w:r>
      <w:proofErr w:type="spellEnd"/>
      <w:r w:rsidR="00A3542E" w:rsidRPr="00875E94">
        <w:t xml:space="preserve"> </w:t>
      </w:r>
      <w:proofErr w:type="spellStart"/>
      <w:r w:rsidR="00A3542E" w:rsidRPr="00875E94">
        <w:t>MEDAV</w:t>
      </w:r>
      <w:proofErr w:type="spellEnd"/>
      <w:r w:rsidR="00A3542E" w:rsidRPr="00875E94">
        <w:t xml:space="preserve"> </w:t>
      </w:r>
      <w:proofErr w:type="spellStart"/>
      <w:r w:rsidR="00A3542E" w:rsidRPr="00875E94">
        <w:t>Technologies</w:t>
      </w:r>
      <w:proofErr w:type="spellEnd"/>
      <w:r w:rsidR="00A3542E" w:rsidRPr="00875E94">
        <w:t xml:space="preserve"> </w:t>
      </w:r>
      <w:proofErr w:type="spellStart"/>
      <w:r w:rsidR="00A3542E" w:rsidRPr="00875E94">
        <w:t>GmbH</w:t>
      </w:r>
      <w:proofErr w:type="spellEnd"/>
      <w:r w:rsidRPr="00875E94">
        <w:t xml:space="preserve"> и</w:t>
      </w:r>
      <w:r w:rsidR="00667C27">
        <w:t xml:space="preserve"> </w:t>
      </w:r>
      <w:proofErr w:type="spellStart"/>
      <w:r w:rsidR="00667C27">
        <w:t>SKAO</w:t>
      </w:r>
      <w:proofErr w:type="spellEnd"/>
      <w:r w:rsidR="00667C27">
        <w:t xml:space="preserve"> −</w:t>
      </w:r>
      <w:r w:rsidR="00A3542E" w:rsidRPr="00875E94">
        <w:t xml:space="preserve"> </w:t>
      </w:r>
      <w:proofErr w:type="spellStart"/>
      <w:r w:rsidR="00A3542E" w:rsidRPr="00875E94">
        <w:t>Square</w:t>
      </w:r>
      <w:proofErr w:type="spellEnd"/>
      <w:r w:rsidR="00A3542E" w:rsidRPr="00875E94">
        <w:t xml:space="preserve"> </w:t>
      </w:r>
      <w:proofErr w:type="spellStart"/>
      <w:r w:rsidR="00A3542E" w:rsidRPr="00875E94">
        <w:t>Kilometer</w:t>
      </w:r>
      <w:proofErr w:type="spellEnd"/>
      <w:r w:rsidR="00A3542E" w:rsidRPr="00875E94">
        <w:t xml:space="preserve"> </w:t>
      </w:r>
      <w:proofErr w:type="spellStart"/>
      <w:r w:rsidR="00A3542E" w:rsidRPr="00875E94">
        <w:t>Array</w:t>
      </w:r>
      <w:proofErr w:type="spellEnd"/>
      <w:r w:rsidR="00A3542E" w:rsidRPr="00875E94">
        <w:t xml:space="preserve"> </w:t>
      </w:r>
      <w:proofErr w:type="spellStart"/>
      <w:r w:rsidR="00A3542E" w:rsidRPr="00875E94">
        <w:t>Organization</w:t>
      </w:r>
      <w:proofErr w:type="spellEnd"/>
      <w:r w:rsidR="00A3542E" w:rsidRPr="00875E94">
        <w:t>.</w:t>
      </w:r>
    </w:p>
    <w:p w:rsidR="00A3542E" w:rsidRPr="00875E94" w:rsidRDefault="003974C6" w:rsidP="008210CF">
      <w:r w:rsidRPr="00875E94">
        <w:rPr>
          <w:b/>
          <w:bCs/>
        </w:rPr>
        <w:t xml:space="preserve">Выставка на </w:t>
      </w:r>
      <w:proofErr w:type="spellStart"/>
      <w:r w:rsidRPr="00875E94">
        <w:rPr>
          <w:b/>
          <w:bCs/>
        </w:rPr>
        <w:t>ПСК</w:t>
      </w:r>
      <w:r w:rsidR="00A3542E" w:rsidRPr="00875E94">
        <w:rPr>
          <w:b/>
          <w:bCs/>
        </w:rPr>
        <w:t>15</w:t>
      </w:r>
      <w:proofErr w:type="spellEnd"/>
      <w:r w:rsidR="00A3542E" w:rsidRPr="00875E94">
        <w:rPr>
          <w:b/>
          <w:bCs/>
        </w:rPr>
        <w:t xml:space="preserve">-2 </w:t>
      </w:r>
      <w:r w:rsidRPr="00875E94">
        <w:rPr>
          <w:bCs/>
        </w:rPr>
        <w:t xml:space="preserve">была организована в </w:t>
      </w:r>
      <w:r w:rsidRPr="00875E94">
        <w:t>зоне "</w:t>
      </w:r>
      <w:proofErr w:type="spellStart"/>
      <w:r w:rsidRPr="00875E94">
        <w:t>Espace</w:t>
      </w:r>
      <w:proofErr w:type="spellEnd"/>
      <w:r w:rsidRPr="00875E94">
        <w:t xml:space="preserve"> </w:t>
      </w:r>
      <w:proofErr w:type="spellStart"/>
      <w:r w:rsidRPr="00875E94">
        <w:t>Polyvalent</w:t>
      </w:r>
      <w:proofErr w:type="spellEnd"/>
      <w:r w:rsidRPr="00875E94">
        <w:t xml:space="preserve">" </w:t>
      </w:r>
      <w:proofErr w:type="spellStart"/>
      <w:r w:rsidRPr="00875E94">
        <w:t>МЦКЖ</w:t>
      </w:r>
      <w:proofErr w:type="spellEnd"/>
      <w:r w:rsidRPr="00875E94">
        <w:t>. На ней были представлены следующие Члены Сектора МСЭ</w:t>
      </w:r>
      <w:r w:rsidR="00A3542E" w:rsidRPr="00875E94">
        <w:t xml:space="preserve">-R: </w:t>
      </w:r>
      <w:proofErr w:type="spellStart"/>
      <w:r w:rsidR="00A3542E" w:rsidRPr="00875E94">
        <w:t>CRFS</w:t>
      </w:r>
      <w:proofErr w:type="spellEnd"/>
      <w:r w:rsidR="00A3542E" w:rsidRPr="00875E94">
        <w:t xml:space="preserve">, </w:t>
      </w:r>
      <w:proofErr w:type="spellStart"/>
      <w:r w:rsidR="00A3542E" w:rsidRPr="00875E94">
        <w:t>LSTELCOM</w:t>
      </w:r>
      <w:proofErr w:type="spellEnd"/>
      <w:r w:rsidR="00A3542E" w:rsidRPr="00875E94">
        <w:t xml:space="preserve">, </w:t>
      </w:r>
      <w:r w:rsidRPr="00875E94">
        <w:t>Ассоциаци</w:t>
      </w:r>
      <w:r w:rsidR="008210CF" w:rsidRPr="00875E94">
        <w:t>я</w:t>
      </w:r>
      <w:r w:rsidRPr="00875E94">
        <w:t xml:space="preserve"> </w:t>
      </w:r>
      <w:proofErr w:type="spellStart"/>
      <w:r w:rsidR="00A3542E" w:rsidRPr="00875E94">
        <w:t>GSM</w:t>
      </w:r>
      <w:proofErr w:type="spellEnd"/>
      <w:r w:rsidR="00A3542E" w:rsidRPr="00875E94">
        <w:t xml:space="preserve">, </w:t>
      </w:r>
      <w:proofErr w:type="spellStart"/>
      <w:r w:rsidR="00667C27">
        <w:t>Коспас</w:t>
      </w:r>
      <w:r w:rsidR="00667C27">
        <w:noBreakHyphen/>
      </w:r>
      <w:r w:rsidRPr="00875E94">
        <w:t>Сарсат</w:t>
      </w:r>
      <w:proofErr w:type="spellEnd"/>
      <w:r w:rsidR="00A3542E" w:rsidRPr="00875E94">
        <w:t xml:space="preserve">, </w:t>
      </w:r>
      <w:proofErr w:type="spellStart"/>
      <w:r w:rsidRPr="00875E94">
        <w:t>ЕРС</w:t>
      </w:r>
      <w:proofErr w:type="spellEnd"/>
      <w:r w:rsidR="00A3542E" w:rsidRPr="00875E94">
        <w:t xml:space="preserve">, </w:t>
      </w:r>
      <w:proofErr w:type="spellStart"/>
      <w:r w:rsidR="00A3542E" w:rsidRPr="00875E94">
        <w:t>Airbus</w:t>
      </w:r>
      <w:proofErr w:type="spellEnd"/>
      <w:r w:rsidR="00A3542E" w:rsidRPr="00875E94">
        <w:t xml:space="preserve"> </w:t>
      </w:r>
      <w:proofErr w:type="spellStart"/>
      <w:r w:rsidR="00A3542E" w:rsidRPr="00875E94">
        <w:t>Defense</w:t>
      </w:r>
      <w:proofErr w:type="spellEnd"/>
      <w:r w:rsidR="00A3542E" w:rsidRPr="00875E94">
        <w:t xml:space="preserve"> &amp; </w:t>
      </w:r>
      <w:proofErr w:type="spellStart"/>
      <w:r w:rsidR="00A3542E" w:rsidRPr="00875E94">
        <w:t>Space</w:t>
      </w:r>
      <w:proofErr w:type="spellEnd"/>
      <w:r w:rsidR="00A3542E" w:rsidRPr="00875E94">
        <w:t xml:space="preserve">, </w:t>
      </w:r>
      <w:proofErr w:type="spellStart"/>
      <w:r w:rsidR="00A3542E" w:rsidRPr="00875E94">
        <w:t>Eutelsat</w:t>
      </w:r>
      <w:proofErr w:type="spellEnd"/>
      <w:r w:rsidR="00A3542E" w:rsidRPr="00875E94">
        <w:t xml:space="preserve">, </w:t>
      </w:r>
      <w:proofErr w:type="spellStart"/>
      <w:r w:rsidR="00A3542E" w:rsidRPr="00875E94">
        <w:t>Inmarsat</w:t>
      </w:r>
      <w:proofErr w:type="spellEnd"/>
      <w:r w:rsidR="00A3542E" w:rsidRPr="00875E94">
        <w:t xml:space="preserve">, </w:t>
      </w:r>
      <w:proofErr w:type="spellStart"/>
      <w:r w:rsidR="00A3542E" w:rsidRPr="00875E94">
        <w:t>ViaSat</w:t>
      </w:r>
      <w:proofErr w:type="spellEnd"/>
      <w:r w:rsidR="00A3542E" w:rsidRPr="00875E94">
        <w:t xml:space="preserve">. </w:t>
      </w:r>
    </w:p>
    <w:p w:rsidR="00A3542E" w:rsidRPr="00875E94" w:rsidRDefault="003974C6" w:rsidP="001A1EC6">
      <w:r w:rsidRPr="00875E94">
        <w:rPr>
          <w:b/>
          <w:bCs/>
        </w:rPr>
        <w:t xml:space="preserve">Выставка </w:t>
      </w:r>
      <w:proofErr w:type="spellStart"/>
      <w:r w:rsidR="00A3542E" w:rsidRPr="00875E94">
        <w:rPr>
          <w:b/>
          <w:bCs/>
        </w:rPr>
        <w:t>GE</w:t>
      </w:r>
      <w:proofErr w:type="spellEnd"/>
      <w:r w:rsidR="00A3542E" w:rsidRPr="00875E94">
        <w:rPr>
          <w:b/>
          <w:bCs/>
        </w:rPr>
        <w:t xml:space="preserve">-06 </w:t>
      </w:r>
      <w:r w:rsidRPr="00875E94">
        <w:rPr>
          <w:b/>
          <w:bCs/>
        </w:rPr>
        <w:t>ЭКСПО на</w:t>
      </w:r>
      <w:r w:rsidR="00A3542E" w:rsidRPr="00875E94">
        <w:rPr>
          <w:b/>
          <w:bCs/>
        </w:rPr>
        <w:t xml:space="preserve"> </w:t>
      </w:r>
      <w:r w:rsidRPr="00875E94">
        <w:rPr>
          <w:b/>
          <w:bCs/>
        </w:rPr>
        <w:t xml:space="preserve">Международном симпозиуме МСЭ по переходу на цифровое радиовещание </w:t>
      </w:r>
      <w:r w:rsidR="00A3542E" w:rsidRPr="00875E94">
        <w:t>(17</w:t>
      </w:r>
      <w:r w:rsidRPr="00875E94">
        <w:t xml:space="preserve"> июня </w:t>
      </w:r>
      <w:r w:rsidR="00A3542E" w:rsidRPr="00875E94">
        <w:t>2015</w:t>
      </w:r>
      <w:r w:rsidRPr="00875E94">
        <w:t xml:space="preserve"> года</w:t>
      </w:r>
      <w:r w:rsidR="00A3542E" w:rsidRPr="00875E94">
        <w:t xml:space="preserve">) </w:t>
      </w:r>
      <w:r w:rsidRPr="00875E94">
        <w:t xml:space="preserve">была организована на 2-м цокольном этаже МСЭ. На ней были представлены </w:t>
      </w:r>
      <w:proofErr w:type="spellStart"/>
      <w:r w:rsidRPr="00875E94">
        <w:t>БРЭ</w:t>
      </w:r>
      <w:proofErr w:type="spellEnd"/>
      <w:r w:rsidRPr="00875E94">
        <w:t xml:space="preserve"> МСЭ, </w:t>
      </w:r>
      <w:proofErr w:type="spellStart"/>
      <w:r w:rsidR="00A3542E" w:rsidRPr="00875E94">
        <w:t>DVB</w:t>
      </w:r>
      <w:proofErr w:type="spellEnd"/>
      <w:r w:rsidR="00A3542E" w:rsidRPr="00875E94">
        <w:t>/</w:t>
      </w:r>
      <w:proofErr w:type="spellStart"/>
      <w:r w:rsidR="008210CF" w:rsidRPr="00875E94">
        <w:t>ЕРС</w:t>
      </w:r>
      <w:proofErr w:type="spellEnd"/>
      <w:r w:rsidR="00A3542E" w:rsidRPr="00875E94">
        <w:t xml:space="preserve">, </w:t>
      </w:r>
      <w:proofErr w:type="spellStart"/>
      <w:r w:rsidR="00A3542E" w:rsidRPr="00875E94">
        <w:t>Fraunhofer</w:t>
      </w:r>
      <w:proofErr w:type="spellEnd"/>
      <w:r w:rsidR="00A3542E" w:rsidRPr="00875E94">
        <w:t xml:space="preserve"> </w:t>
      </w:r>
      <w:proofErr w:type="spellStart"/>
      <w:r w:rsidR="00A3542E" w:rsidRPr="00875E94">
        <w:t>IIS</w:t>
      </w:r>
      <w:proofErr w:type="spellEnd"/>
      <w:r w:rsidR="00A3542E" w:rsidRPr="00875E94">
        <w:t xml:space="preserve">, </w:t>
      </w:r>
      <w:proofErr w:type="spellStart"/>
      <w:r w:rsidR="00A3542E" w:rsidRPr="00875E94">
        <w:t>Dolby</w:t>
      </w:r>
      <w:proofErr w:type="spellEnd"/>
      <w:r w:rsidR="00A3542E" w:rsidRPr="00875E94">
        <w:t>-(</w:t>
      </w:r>
      <w:proofErr w:type="spellStart"/>
      <w:r w:rsidR="00A3542E" w:rsidRPr="00875E94">
        <w:t>Atmos</w:t>
      </w:r>
      <w:proofErr w:type="spellEnd"/>
      <w:r w:rsidR="00A3542E" w:rsidRPr="00875E94">
        <w:t xml:space="preserve">), </w:t>
      </w:r>
      <w:proofErr w:type="spellStart"/>
      <w:r w:rsidR="00A3542E" w:rsidRPr="00875E94">
        <w:t>ATDI</w:t>
      </w:r>
      <w:proofErr w:type="spellEnd"/>
      <w:r w:rsidR="00A3542E" w:rsidRPr="00875E94">
        <w:t xml:space="preserve">, </w:t>
      </w:r>
      <w:proofErr w:type="spellStart"/>
      <w:r w:rsidR="00A3542E" w:rsidRPr="00875E94">
        <w:t>LStelcom</w:t>
      </w:r>
      <w:proofErr w:type="spellEnd"/>
      <w:r w:rsidR="00A3542E" w:rsidRPr="00875E94">
        <w:t xml:space="preserve">, </w:t>
      </w:r>
      <w:proofErr w:type="spellStart"/>
      <w:r w:rsidRPr="00875E94">
        <w:t>ЕРС</w:t>
      </w:r>
      <w:proofErr w:type="spellEnd"/>
      <w:r w:rsidRPr="00875E94">
        <w:t xml:space="preserve"> и</w:t>
      </w:r>
      <w:r w:rsidR="00A3542E" w:rsidRPr="00875E94">
        <w:t xml:space="preserve"> </w:t>
      </w:r>
      <w:r w:rsidRPr="00875E94">
        <w:t>Би-</w:t>
      </w:r>
      <w:r w:rsidR="008210CF" w:rsidRPr="00875E94">
        <w:t>би</w:t>
      </w:r>
      <w:r w:rsidRPr="00875E94">
        <w:t>-</w:t>
      </w:r>
      <w:r w:rsidR="008210CF" w:rsidRPr="00875E94">
        <w:t>си, а</w:t>
      </w:r>
      <w:r w:rsidR="001A1EC6">
        <w:t> </w:t>
      </w:r>
      <w:r w:rsidR="008210CF" w:rsidRPr="00875E94">
        <w:t>также</w:t>
      </w:r>
      <w:r w:rsidRPr="00875E94">
        <w:t xml:space="preserve"> состоялся показ опытн</w:t>
      </w:r>
      <w:r w:rsidR="008210CF" w:rsidRPr="00875E94">
        <w:t>ых</w:t>
      </w:r>
      <w:r w:rsidRPr="00875E94">
        <w:t xml:space="preserve"> образц</w:t>
      </w:r>
      <w:r w:rsidR="008210CF" w:rsidRPr="00875E94">
        <w:t>ов</w:t>
      </w:r>
      <w:r w:rsidRPr="00875E94">
        <w:t xml:space="preserve"> передовой техн</w:t>
      </w:r>
      <w:r w:rsidR="008210CF" w:rsidRPr="00875E94">
        <w:t>ики</w:t>
      </w:r>
      <w:r w:rsidR="00A3542E" w:rsidRPr="00875E94">
        <w:t xml:space="preserve">. </w:t>
      </w:r>
    </w:p>
    <w:p w:rsidR="00A3542E" w:rsidRPr="00667C27" w:rsidRDefault="00A3542E" w:rsidP="00667C27">
      <w:r w:rsidRPr="00667C27">
        <w:br w:type="page"/>
      </w:r>
    </w:p>
    <w:p w:rsidR="00A3542E" w:rsidRDefault="003974C6" w:rsidP="00A3542E">
      <w:pPr>
        <w:pStyle w:val="AnnexNo"/>
      </w:pPr>
      <w:r w:rsidRPr="00875E94">
        <w:lastRenderedPageBreak/>
        <w:t>пРИЛОЖЕНИЕ</w:t>
      </w:r>
      <w:r w:rsidR="00A3542E" w:rsidRPr="00875E94">
        <w:t xml:space="preserve">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542E" w:rsidRPr="00875E94" w:rsidTr="005F372A">
        <w:tc>
          <w:tcPr>
            <w:tcW w:w="9634" w:type="dxa"/>
          </w:tcPr>
          <w:p w:rsidR="00A3542E" w:rsidRPr="00875E94" w:rsidRDefault="003974C6" w:rsidP="005B5E54">
            <w:pPr>
              <w:pStyle w:val="Annextitle"/>
              <w:spacing w:before="120" w:after="120"/>
            </w:pPr>
            <w:r w:rsidRPr="00875E94">
              <w:t xml:space="preserve">Отчет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о ходе работы по информационным системам </w:t>
            </w:r>
            <w:r w:rsidR="00113030">
              <w:br/>
            </w:r>
            <w:r w:rsidRPr="00875E94">
              <w:t>для космических служб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3974C6" w:rsidP="005B5E54">
            <w:pPr>
              <w:pStyle w:val="Headingb"/>
              <w:spacing w:before="120" w:after="120"/>
              <w:jc w:val="center"/>
              <w:rPr>
                <w:lang w:val="ru-RU"/>
              </w:rPr>
            </w:pPr>
            <w:r w:rsidRPr="00875E94">
              <w:rPr>
                <w:lang w:val="ru-RU"/>
              </w:rPr>
              <w:t>Этап 2: 1 апреля 2012 года − 31 декабря 2015 года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3974C6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t xml:space="preserve">Обеспечение непрерывности деятельности </w:t>
            </w:r>
            <w:r w:rsidR="00FD7BA1" w:rsidRPr="00875E94">
              <w:rPr>
                <w:lang w:val="ru-RU"/>
              </w:rPr>
              <w:t>и восстановление после бедствий</w:t>
            </w:r>
            <w:r w:rsidR="00A3542E" w:rsidRPr="005F372A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*</w:t>
            </w:r>
          </w:p>
          <w:p w:rsidR="003974C6" w:rsidRPr="00875E94" w:rsidRDefault="003974C6" w:rsidP="00FD7BA1">
            <w:r w:rsidRPr="00875E94">
              <w:t xml:space="preserve">Начиная с января 2015 года Бюро приняло двухэтапный подход (при этом оба этапа выполняются одновременно), для того чтобы определить соответствующие угрозы и уязвимости и смягчить их последствия. С помощью внешних консультантов и Департамента </w:t>
            </w:r>
            <w:proofErr w:type="spellStart"/>
            <w:r w:rsidRPr="00875E94">
              <w:t>IS</w:t>
            </w:r>
            <w:proofErr w:type="spellEnd"/>
            <w:r w:rsidRPr="00875E94">
              <w:t xml:space="preserve"> Бюро провело анализ по оценке инфраструктуры (серверов, ЛВС, баз данных и т.д.), используемой для доступа к базам данных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, как в самом МСЭ, так и за его пределами. Кроме того, Бюро провело свои анализ и </w:t>
            </w:r>
            <w:proofErr w:type="gramStart"/>
            <w:r w:rsidRPr="00875E94">
              <w:t>оценку для составления требуемого плана обеспечения непрерывности деятельности</w:t>
            </w:r>
            <w:proofErr w:type="gramEnd"/>
            <w:r w:rsidRPr="00875E94">
              <w:t xml:space="preserve"> и восстановление после бедствий, с тем чтобы свести к минимуму как риски потери данных, так и задержки, связанные с риском сбоев при обработке заявок на частотные присвоения. Созданная целевая группа разработала план по тестированию процедур резервного копирования и восстановления. Группа составила перечень основных программных приложений, данных и категорий извлекаемых данных (базы данных, файлы …), а также создала план по восстановлению после бедствий для каждой категории. В предстоящий п</w:t>
            </w:r>
            <w:r w:rsidR="006D3018" w:rsidRPr="00875E94">
              <w:t>е</w:t>
            </w:r>
            <w:r w:rsidRPr="00875E94">
              <w:t>р</w:t>
            </w:r>
            <w:r w:rsidR="006D3018" w:rsidRPr="00875E94">
              <w:t>и</w:t>
            </w:r>
            <w:r w:rsidRPr="00875E94">
              <w:t xml:space="preserve">од работа должна быть продолжена вместе с Департаментом </w:t>
            </w:r>
            <w:proofErr w:type="spellStart"/>
            <w:r w:rsidRPr="00875E94">
              <w:t>IS</w:t>
            </w:r>
            <w:proofErr w:type="spellEnd"/>
            <w:r w:rsidR="006D3018" w:rsidRPr="00875E94">
              <w:t>, с тем чтобы з</w:t>
            </w:r>
            <w:r w:rsidRPr="00875E94">
              <w:t>аверш</w:t>
            </w:r>
            <w:r w:rsidR="006D3018" w:rsidRPr="00875E94">
              <w:t>ить тестирование и применить утверж</w:t>
            </w:r>
            <w:r w:rsidR="00BE0AD6">
              <w:t>денные в результате этого меры.</w:t>
            </w:r>
          </w:p>
          <w:p w:rsidR="00A3542E" w:rsidRPr="00875E94" w:rsidRDefault="00A3542E" w:rsidP="005B5E54">
            <w:pPr>
              <w:pStyle w:val="FootnoteText"/>
              <w:spacing w:after="120"/>
              <w:rPr>
                <w:lang w:val="ru-RU"/>
              </w:rPr>
            </w:pPr>
            <w:r w:rsidRPr="00875E94">
              <w:rPr>
                <w:rStyle w:val="FootnoteReference"/>
                <w:lang w:val="ru-RU"/>
              </w:rPr>
              <w:t>*</w:t>
            </w:r>
            <w:r w:rsidR="00FD7BA1" w:rsidRPr="00875E94">
              <w:rPr>
                <w:lang w:val="ru-RU"/>
              </w:rPr>
              <w:tab/>
            </w:r>
            <w:r w:rsidR="003974C6" w:rsidRPr="00875E94">
              <w:rPr>
                <w:lang w:val="ru-RU"/>
              </w:rPr>
              <w:t>Данная работа касается как космических, так и наземных служб.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6D3018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t xml:space="preserve">Переработка традиционного технического программного обеспечения для технического рассмотрения </w:t>
            </w:r>
          </w:p>
          <w:p w:rsidR="00A3542E" w:rsidRPr="00875E94" w:rsidRDefault="00A3542E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6D3018" w:rsidRPr="00875E94">
              <w:t xml:space="preserve">Переработка </w:t>
            </w:r>
            <w:r w:rsidR="00B679EA" w:rsidRPr="00875E94">
              <w:t>функции</w:t>
            </w:r>
            <w:r w:rsidR="006D3018" w:rsidRPr="00875E94">
              <w:t xml:space="preserve"> расчета </w:t>
            </w:r>
            <w:proofErr w:type="spellStart"/>
            <w:r w:rsidR="006D3018" w:rsidRPr="00875E94">
              <w:t>п.п.м</w:t>
            </w:r>
            <w:proofErr w:type="spellEnd"/>
            <w:r w:rsidR="006D3018" w:rsidRPr="00875E94">
              <w:t xml:space="preserve">. для защиты наземных служб: ведется работа </w:t>
            </w:r>
          </w:p>
          <w:p w:rsidR="00A3542E" w:rsidRPr="00875E94" w:rsidRDefault="00A3542E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6D3018" w:rsidRPr="00875E94">
              <w:t xml:space="preserve">Переработка </w:t>
            </w:r>
            <w:r w:rsidR="00B679EA" w:rsidRPr="00875E94">
              <w:t xml:space="preserve">функции </w:t>
            </w:r>
            <w:r w:rsidR="006D3018" w:rsidRPr="00875E94">
              <w:t>расчет</w:t>
            </w:r>
            <w:r w:rsidR="00B679EA" w:rsidRPr="00875E94">
              <w:t>а</w:t>
            </w:r>
            <w:r w:rsidR="006D3018" w:rsidRPr="00875E94">
              <w:t xml:space="preserve"> по </w:t>
            </w:r>
            <w:proofErr w:type="spellStart"/>
            <w:r w:rsidR="006D3018" w:rsidRPr="00875E94">
              <w:t>ПР8</w:t>
            </w:r>
            <w:proofErr w:type="spellEnd"/>
            <w:r w:rsidRPr="00875E94">
              <w:t xml:space="preserve">: </w:t>
            </w:r>
            <w:r w:rsidR="006D3018" w:rsidRPr="00875E94">
              <w:t>ведется работа</w:t>
            </w:r>
          </w:p>
          <w:p w:rsidR="00A3542E" w:rsidRPr="00875E94" w:rsidRDefault="00A3542E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6D3018" w:rsidRPr="00875E94">
              <w:t xml:space="preserve">Переработка </w:t>
            </w:r>
            <w:r w:rsidR="00B679EA" w:rsidRPr="00875E94">
              <w:t xml:space="preserve">функции </w:t>
            </w:r>
            <w:r w:rsidR="006D3018" w:rsidRPr="00875E94">
              <w:t xml:space="preserve">расчета </w:t>
            </w:r>
            <w:proofErr w:type="spellStart"/>
            <w:r w:rsidR="006D3018" w:rsidRPr="00875E94">
              <w:t>п.п.м</w:t>
            </w:r>
            <w:proofErr w:type="spellEnd"/>
            <w:r w:rsidR="006D3018" w:rsidRPr="00875E94">
              <w:t>. для защиты космических служб: начата работа</w:t>
            </w:r>
          </w:p>
          <w:p w:rsidR="00A3542E" w:rsidRPr="00875E94" w:rsidRDefault="00A3542E" w:rsidP="00113030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6D3018" w:rsidRPr="00875E94">
              <w:t xml:space="preserve">Перевод программного обеспечения для технического рассмотрения, написанного на языке </w:t>
            </w:r>
            <w:proofErr w:type="spellStart"/>
            <w:r w:rsidR="006D3018" w:rsidRPr="00875E94">
              <w:t>Fortran</w:t>
            </w:r>
            <w:proofErr w:type="spellEnd"/>
            <w:r w:rsidR="006D3018" w:rsidRPr="00875E94">
              <w:t xml:space="preserve">, из компилирующей программы </w:t>
            </w:r>
            <w:proofErr w:type="spellStart"/>
            <w:r w:rsidR="006D3018" w:rsidRPr="00875E94">
              <w:t>CompaqVisualFortran</w:t>
            </w:r>
            <w:proofErr w:type="spellEnd"/>
            <w:r w:rsidR="006D3018" w:rsidRPr="00875E94">
              <w:t xml:space="preserve"> в</w:t>
            </w:r>
            <w:r w:rsidR="00113030">
              <w:t> </w:t>
            </w:r>
            <w:r w:rsidR="006D3018" w:rsidRPr="00875E94">
              <w:t xml:space="preserve">компилирующую программу </w:t>
            </w:r>
            <w:proofErr w:type="spellStart"/>
            <w:r w:rsidR="006D3018" w:rsidRPr="00875E94">
              <w:t>IntelFortran</w:t>
            </w:r>
            <w:proofErr w:type="spellEnd"/>
          </w:p>
          <w:p w:rsidR="00A3542E" w:rsidRPr="00875E94" w:rsidRDefault="00A3542E" w:rsidP="00FD7BA1">
            <w:pPr>
              <w:pStyle w:val="enumlev2"/>
            </w:pPr>
            <w:r w:rsidRPr="00875E94">
              <w:t>–</w:t>
            </w:r>
            <w:r w:rsidRPr="00875E94">
              <w:tab/>
            </w:r>
            <w:proofErr w:type="spellStart"/>
            <w:r w:rsidR="006D3018" w:rsidRPr="00875E94">
              <w:t>GIBC</w:t>
            </w:r>
            <w:proofErr w:type="spellEnd"/>
            <w:r w:rsidR="006D3018" w:rsidRPr="00875E94">
              <w:t xml:space="preserve">/Приложение </w:t>
            </w:r>
            <w:proofErr w:type="spellStart"/>
            <w:r w:rsidR="006D3018" w:rsidRPr="00875E94">
              <w:t>30B</w:t>
            </w:r>
            <w:proofErr w:type="spellEnd"/>
            <w:r w:rsidR="006D3018" w:rsidRPr="00875E94">
              <w:t xml:space="preserve">, </w:t>
            </w:r>
            <w:proofErr w:type="spellStart"/>
            <w:r w:rsidR="006D3018" w:rsidRPr="00875E94">
              <w:t>Mspace</w:t>
            </w:r>
            <w:proofErr w:type="spellEnd"/>
            <w:r w:rsidR="006D3018" w:rsidRPr="00875E94">
              <w:t xml:space="preserve">, </w:t>
            </w:r>
            <w:proofErr w:type="spellStart"/>
            <w:r w:rsidR="006D3018" w:rsidRPr="00875E94">
              <w:t>GIBC</w:t>
            </w:r>
            <w:proofErr w:type="spellEnd"/>
            <w:r w:rsidR="006D3018" w:rsidRPr="00875E94">
              <w:t>/</w:t>
            </w:r>
            <w:proofErr w:type="spellStart"/>
            <w:r w:rsidR="006D3018" w:rsidRPr="00875E94">
              <w:t>PowerControl</w:t>
            </w:r>
            <w:proofErr w:type="spellEnd"/>
            <w:r w:rsidR="006D3018" w:rsidRPr="00875E94">
              <w:t>: работа завершена</w:t>
            </w:r>
          </w:p>
          <w:p w:rsidR="00A3542E" w:rsidRPr="00875E94" w:rsidRDefault="00A3542E" w:rsidP="00FD7BA1">
            <w:pPr>
              <w:pStyle w:val="enumlev2"/>
            </w:pPr>
            <w:r w:rsidRPr="00875E94">
              <w:t>–</w:t>
            </w:r>
            <w:r w:rsidRPr="00875E94">
              <w:tab/>
            </w:r>
            <w:r w:rsidR="006D3018" w:rsidRPr="00875E94">
              <w:t xml:space="preserve">Компоненты </w:t>
            </w:r>
            <w:proofErr w:type="spellStart"/>
            <w:r w:rsidR="006D3018" w:rsidRPr="00875E94">
              <w:t>GIМC</w:t>
            </w:r>
            <w:proofErr w:type="spellEnd"/>
            <w:r w:rsidR="006D3018" w:rsidRPr="00875E94">
              <w:t>/</w:t>
            </w:r>
            <w:proofErr w:type="spellStart"/>
            <w:r w:rsidR="006D3018" w:rsidRPr="00875E94">
              <w:t>Fortran</w:t>
            </w:r>
            <w:proofErr w:type="spellEnd"/>
            <w:r w:rsidR="006D3018" w:rsidRPr="00875E94">
              <w:t>: работа еще не начата</w:t>
            </w:r>
          </w:p>
          <w:p w:rsidR="00A3542E" w:rsidRPr="00875E94" w:rsidRDefault="00A3542E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proofErr w:type="spellStart"/>
            <w:r w:rsidR="006D3018" w:rsidRPr="00875E94">
              <w:t>Mspace</w:t>
            </w:r>
            <w:proofErr w:type="spellEnd"/>
            <w:r w:rsidR="006D3018" w:rsidRPr="00875E94">
              <w:t xml:space="preserve"> – перевод компонента доступа к данным с </w:t>
            </w:r>
            <w:proofErr w:type="spellStart"/>
            <w:r w:rsidR="006D3018" w:rsidRPr="00875E94">
              <w:t>VB6</w:t>
            </w:r>
            <w:proofErr w:type="spellEnd"/>
            <w:r w:rsidR="006D3018" w:rsidRPr="00875E94">
              <w:t xml:space="preserve"> на </w:t>
            </w:r>
            <w:proofErr w:type="spellStart"/>
            <w:r w:rsidR="006D3018" w:rsidRPr="00875E94">
              <w:t>IntelFortran</w:t>
            </w:r>
            <w:proofErr w:type="spellEnd"/>
            <w:r w:rsidR="006D3018" w:rsidRPr="00875E94">
              <w:t>: работа завершена</w:t>
            </w:r>
          </w:p>
          <w:p w:rsidR="00A3542E" w:rsidRPr="00875E94" w:rsidRDefault="00A3542E" w:rsidP="005B5E54">
            <w:pPr>
              <w:pStyle w:val="enumlev1"/>
              <w:spacing w:after="120"/>
            </w:pPr>
            <w:r w:rsidRPr="00875E94">
              <w:t>•</w:t>
            </w:r>
            <w:r w:rsidRPr="00875E94">
              <w:tab/>
            </w:r>
            <w:proofErr w:type="spellStart"/>
            <w:r w:rsidR="006D3018" w:rsidRPr="00875E94">
              <w:t>GIBC</w:t>
            </w:r>
            <w:proofErr w:type="spellEnd"/>
            <w:r w:rsidR="006D3018" w:rsidRPr="00875E94">
              <w:t>/Приложение 7</w:t>
            </w:r>
            <w:r w:rsidRPr="00875E94">
              <w:t xml:space="preserve">: </w:t>
            </w:r>
            <w:r w:rsidR="006D3018" w:rsidRPr="00875E94">
              <w:t>работа завершена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6D3018" w:rsidP="00FD7BA1">
            <w:pPr>
              <w:pStyle w:val="Headingb"/>
              <w:keepNext w:val="0"/>
              <w:rPr>
                <w:lang w:val="ru-RU"/>
              </w:rPr>
            </w:pPr>
            <w:r w:rsidRPr="00875E94">
              <w:rPr>
                <w:lang w:val="ru-RU"/>
              </w:rPr>
              <w:t xml:space="preserve">Проектирование и разработка информационной системы </w:t>
            </w:r>
            <w:proofErr w:type="spellStart"/>
            <w:r w:rsidRPr="00875E94">
              <w:rPr>
                <w:lang w:val="ru-RU"/>
              </w:rPr>
              <w:t>БР</w:t>
            </w:r>
            <w:proofErr w:type="spellEnd"/>
            <w:r w:rsidRPr="00875E94">
              <w:rPr>
                <w:lang w:val="ru-RU"/>
              </w:rPr>
              <w:t xml:space="preserve"> для космических служб </w:t>
            </w:r>
            <w:r w:rsidR="00A3542E" w:rsidRPr="00875E94">
              <w:rPr>
                <w:lang w:val="ru-RU"/>
              </w:rPr>
              <w:t>(</w:t>
            </w:r>
            <w:proofErr w:type="spellStart"/>
            <w:r w:rsidR="00A3542E" w:rsidRPr="00875E94">
              <w:rPr>
                <w:lang w:val="ru-RU"/>
              </w:rPr>
              <w:t>BR</w:t>
            </w:r>
            <w:proofErr w:type="spellEnd"/>
            <w:r w:rsidR="00FD7BA1" w:rsidRPr="00875E94">
              <w:rPr>
                <w:rFonts w:asciiTheme="minorHAnsi" w:hAnsiTheme="minorHAnsi"/>
                <w:lang w:val="ru-RU"/>
              </w:rPr>
              <w:t> </w:t>
            </w:r>
            <w:proofErr w:type="spellStart"/>
            <w:r w:rsidR="00A3542E" w:rsidRPr="00875E94">
              <w:rPr>
                <w:lang w:val="ru-RU"/>
              </w:rPr>
              <w:t>SIS</w:t>
            </w:r>
            <w:proofErr w:type="spellEnd"/>
            <w:r w:rsidR="00A3542E" w:rsidRPr="00875E94">
              <w:rPr>
                <w:lang w:val="ru-RU"/>
              </w:rPr>
              <w:t>)</w:t>
            </w:r>
          </w:p>
          <w:p w:rsidR="006D3018" w:rsidRPr="00875E94" w:rsidRDefault="006D3018" w:rsidP="00FD7BA1">
            <w:r w:rsidRPr="00875E94">
              <w:t xml:space="preserve">В настоящее время в системе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для космических служб имеется много отдельных приложений, написанных на языках </w:t>
            </w:r>
            <w:proofErr w:type="spellStart"/>
            <w:r w:rsidRPr="00875E94">
              <w:t>VB6</w:t>
            </w:r>
            <w:proofErr w:type="spellEnd"/>
            <w:r w:rsidRPr="00875E94">
              <w:t xml:space="preserve"> и </w:t>
            </w:r>
            <w:proofErr w:type="spellStart"/>
            <w:r w:rsidRPr="00875E94">
              <w:t>VO</w:t>
            </w:r>
            <w:proofErr w:type="spellEnd"/>
            <w:r w:rsidRPr="00875E94">
              <w:t xml:space="preserve">, которые имеют собственные специфические интерфейсы. Цель заключается в создании единого пользовательского интерфейса, который в будущем объединит все услуги системы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для космических служб с помощью современных технологий. </w:t>
            </w:r>
          </w:p>
          <w:p w:rsidR="006D3018" w:rsidRPr="00875E94" w:rsidRDefault="006D3018" w:rsidP="005B5E54">
            <w:pPr>
              <w:spacing w:after="80"/>
            </w:pPr>
            <w:r w:rsidRPr="00875E94">
              <w:t xml:space="preserve">Начато выполнение данной задачи и проверена предложенная архитектура с прототипом на основе </w:t>
            </w:r>
            <w:proofErr w:type="spellStart"/>
            <w:r w:rsidRPr="00875E94">
              <w:t>сервисно</w:t>
            </w:r>
            <w:proofErr w:type="spellEnd"/>
            <w:r w:rsidRPr="00875E94">
              <w:t>-ориентированной архитектуры (</w:t>
            </w:r>
            <w:proofErr w:type="spellStart"/>
            <w:r w:rsidRPr="00875E94">
              <w:t>SOA</w:t>
            </w:r>
            <w:proofErr w:type="spellEnd"/>
            <w:r w:rsidRPr="00875E94">
              <w:t xml:space="preserve">). В </w:t>
            </w:r>
            <w:proofErr w:type="spellStart"/>
            <w:r w:rsidRPr="00875E94">
              <w:t>SOA</w:t>
            </w:r>
            <w:proofErr w:type="spellEnd"/>
            <w:r w:rsidRPr="00875E94">
              <w:t xml:space="preserve"> интерфейс пользователя отделен от реализации услуги. Каждое приложение системы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для космических служб будет доступно как самостоятельная услуга </w:t>
            </w:r>
            <w:proofErr w:type="spellStart"/>
            <w:r w:rsidRPr="00875E94">
              <w:t>WCF</w:t>
            </w:r>
            <w:proofErr w:type="spellEnd"/>
            <w:r w:rsidRPr="00875E94">
              <w:t xml:space="preserve"> (</w:t>
            </w:r>
            <w:proofErr w:type="spellStart"/>
            <w:r w:rsidRPr="00875E94">
              <w:t>Windows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Communication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Foundation</w:t>
            </w:r>
            <w:proofErr w:type="spellEnd"/>
            <w:r w:rsidRPr="00875E94">
              <w:t xml:space="preserve">) и может без труда развертываться в среде </w:t>
            </w:r>
            <w:proofErr w:type="spellStart"/>
            <w:r w:rsidRPr="00875E94">
              <w:t>Windows</w:t>
            </w:r>
            <w:proofErr w:type="spellEnd"/>
            <w:r w:rsidRPr="00875E94">
              <w:t xml:space="preserve"> и на веб-платформах. Для проектирования и разработки пользовательского интерфейса (</w:t>
            </w:r>
            <w:proofErr w:type="spellStart"/>
            <w:r w:rsidRPr="00875E94">
              <w:t>UI</w:t>
            </w:r>
            <w:proofErr w:type="spellEnd"/>
            <w:r w:rsidRPr="00875E94">
              <w:t xml:space="preserve">) используется технология </w:t>
            </w:r>
            <w:proofErr w:type="spellStart"/>
            <w:r w:rsidRPr="00875E94">
              <w:t>WPF</w:t>
            </w:r>
            <w:proofErr w:type="spellEnd"/>
            <w:r w:rsidRPr="00875E94">
              <w:t xml:space="preserve"> (</w:t>
            </w:r>
            <w:proofErr w:type="spellStart"/>
            <w:r w:rsidRPr="00875E94">
              <w:t>Windows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Presentation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Foundation</w:t>
            </w:r>
            <w:proofErr w:type="spellEnd"/>
            <w:r w:rsidRPr="00875E94">
              <w:t xml:space="preserve">), которая является ведущим современным средством проектирования </w:t>
            </w:r>
            <w:proofErr w:type="spellStart"/>
            <w:r w:rsidRPr="00875E94">
              <w:t>UI</w:t>
            </w:r>
            <w:proofErr w:type="spellEnd"/>
            <w:r w:rsidRPr="00875E94">
              <w:t xml:space="preserve">. В </w:t>
            </w:r>
            <w:proofErr w:type="spellStart"/>
            <w:r w:rsidRPr="00875E94">
              <w:t>WPF</w:t>
            </w:r>
            <w:proofErr w:type="spellEnd"/>
            <w:r w:rsidRPr="00875E94">
              <w:t xml:space="preserve"> уровень проектирования представления отделен от уровня логики.</w:t>
            </w:r>
          </w:p>
          <w:p w:rsidR="006D3018" w:rsidRPr="00875E94" w:rsidRDefault="006D3018" w:rsidP="00FD7BA1">
            <w:pPr>
              <w:keepLines/>
            </w:pPr>
            <w:r w:rsidRPr="00875E94">
              <w:lastRenderedPageBreak/>
              <w:t>Во всей системе используется составной шаблон проектирования приложения (</w:t>
            </w:r>
            <w:proofErr w:type="spellStart"/>
            <w:r w:rsidRPr="00875E94">
              <w:t>Prism</w:t>
            </w:r>
            <w:proofErr w:type="spellEnd"/>
            <w:r w:rsidRPr="00875E94">
              <w:t xml:space="preserve"> – Руководство к составному приложению для </w:t>
            </w:r>
            <w:proofErr w:type="spellStart"/>
            <w:r w:rsidRPr="00875E94">
              <w:t>WPF</w:t>
            </w:r>
            <w:proofErr w:type="spellEnd"/>
            <w:r w:rsidRPr="00875E94">
              <w:t xml:space="preserve">). Благодаря этому повышается модульность системы и разработчику предоставляется возможность независимого создания и сопровождения модулей системы. </w:t>
            </w:r>
          </w:p>
          <w:p w:rsidR="00A3542E" w:rsidRPr="00875E94" w:rsidRDefault="006D3018" w:rsidP="005B5E54">
            <w:pPr>
              <w:spacing w:after="120"/>
            </w:pPr>
            <w:proofErr w:type="spellStart"/>
            <w:r w:rsidRPr="00875E94">
              <w:t>SpaceQry</w:t>
            </w:r>
            <w:proofErr w:type="spellEnd"/>
            <w:r w:rsidRPr="00875E94">
              <w:t xml:space="preserve"> станет первым приложением в информационной системе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для космических служб, переработанным в соответствии с вышеописанной архитектурой, и будет использоваться как шаблон для разработки всех приложений программного обеспечения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. Услуга осуществления запроса, разработанная для </w:t>
            </w:r>
            <w:proofErr w:type="spellStart"/>
            <w:r w:rsidRPr="00875E94">
              <w:t>SpaceQry</w:t>
            </w:r>
            <w:proofErr w:type="spellEnd"/>
            <w:r w:rsidRPr="00875E94">
              <w:t xml:space="preserve">, может также использоваться в качестве веб-услуги для будущего приложения </w:t>
            </w:r>
            <w:proofErr w:type="spellStart"/>
            <w:r w:rsidRPr="00875E94">
              <w:t>SNS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Online</w:t>
            </w:r>
            <w:proofErr w:type="spellEnd"/>
            <w:r w:rsidR="00A3542E" w:rsidRPr="00875E94">
              <w:t>.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6D3018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lastRenderedPageBreak/>
              <w:t xml:space="preserve">Переработка приложения </w:t>
            </w:r>
            <w:proofErr w:type="spellStart"/>
            <w:r w:rsidRPr="00875E94">
              <w:rPr>
                <w:lang w:val="ru-RU"/>
              </w:rPr>
              <w:t>SpaceQry</w:t>
            </w:r>
            <w:proofErr w:type="spellEnd"/>
            <w:r w:rsidRPr="00875E94">
              <w:rPr>
                <w:lang w:val="ru-RU"/>
              </w:rPr>
              <w:t xml:space="preserve">, написанного на языке </w:t>
            </w:r>
            <w:proofErr w:type="spellStart"/>
            <w:r w:rsidRPr="00875E94">
              <w:rPr>
                <w:lang w:val="ru-RU"/>
              </w:rPr>
              <w:t>Visual</w:t>
            </w:r>
            <w:proofErr w:type="spellEnd"/>
            <w:r w:rsidRPr="00875E94">
              <w:rPr>
                <w:lang w:val="ru-RU"/>
              </w:rPr>
              <w:t xml:space="preserve"> </w:t>
            </w:r>
            <w:proofErr w:type="spellStart"/>
            <w:r w:rsidRPr="00875E94">
              <w:rPr>
                <w:lang w:val="ru-RU"/>
              </w:rPr>
              <w:t>Objects</w:t>
            </w:r>
            <w:proofErr w:type="spellEnd"/>
            <w:r w:rsidR="00A3542E" w:rsidRPr="00875E94">
              <w:rPr>
                <w:lang w:val="ru-RU"/>
              </w:rPr>
              <w:t xml:space="preserve"> </w:t>
            </w:r>
          </w:p>
          <w:p w:rsidR="00A3542E" w:rsidRPr="00875E94" w:rsidRDefault="00B679EA" w:rsidP="005B5E54">
            <w:pPr>
              <w:spacing w:after="120"/>
            </w:pPr>
            <w:r w:rsidRPr="00875E94">
              <w:t xml:space="preserve">Рабочая версия предоставлена на </w:t>
            </w:r>
            <w:proofErr w:type="spellStart"/>
            <w:r w:rsidRPr="00875E94">
              <w:t>DVD</w:t>
            </w:r>
            <w:proofErr w:type="spellEnd"/>
            <w:r w:rsidRPr="00875E94">
              <w:t xml:space="preserve"> c ИФИК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в апреле 2016 года</w:t>
            </w:r>
            <w:r w:rsidR="00A3542E" w:rsidRPr="00875E94">
              <w:t>.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B679EA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t xml:space="preserve">Переработка приложения </w:t>
            </w:r>
            <w:proofErr w:type="spellStart"/>
            <w:r w:rsidRPr="00875E94">
              <w:rPr>
                <w:lang w:val="ru-RU"/>
              </w:rPr>
              <w:t>SpaceCap</w:t>
            </w:r>
            <w:proofErr w:type="spellEnd"/>
            <w:r w:rsidRPr="00875E94">
              <w:rPr>
                <w:lang w:val="ru-RU"/>
              </w:rPr>
              <w:t xml:space="preserve">, написанного на языке </w:t>
            </w:r>
            <w:proofErr w:type="spellStart"/>
            <w:r w:rsidR="00A3542E" w:rsidRPr="00875E94">
              <w:rPr>
                <w:lang w:val="ru-RU"/>
              </w:rPr>
              <w:t>Visual</w:t>
            </w:r>
            <w:proofErr w:type="spellEnd"/>
            <w:r w:rsidR="00A3542E" w:rsidRPr="00875E94">
              <w:rPr>
                <w:lang w:val="ru-RU"/>
              </w:rPr>
              <w:t xml:space="preserve"> </w:t>
            </w:r>
            <w:proofErr w:type="spellStart"/>
            <w:r w:rsidR="00A3542E" w:rsidRPr="00875E94">
              <w:rPr>
                <w:lang w:val="ru-RU"/>
              </w:rPr>
              <w:t>Basic</w:t>
            </w:r>
            <w:proofErr w:type="spellEnd"/>
            <w:r w:rsidR="00A3542E" w:rsidRPr="00875E94">
              <w:rPr>
                <w:lang w:val="ru-RU"/>
              </w:rPr>
              <w:t xml:space="preserve"> 6</w:t>
            </w:r>
          </w:p>
          <w:p w:rsidR="00A3542E" w:rsidRPr="00875E94" w:rsidRDefault="00B679EA" w:rsidP="005B5E54">
            <w:pPr>
              <w:spacing w:after="120"/>
            </w:pPr>
            <w:r w:rsidRPr="00875E94">
              <w:t xml:space="preserve">Включение приложения </w:t>
            </w:r>
            <w:proofErr w:type="spellStart"/>
            <w:r w:rsidRPr="00875E94">
              <w:t>SpaceCap</w:t>
            </w:r>
            <w:proofErr w:type="spellEnd"/>
            <w:r w:rsidRPr="00875E94">
              <w:t xml:space="preserve"> в </w:t>
            </w:r>
            <w:proofErr w:type="spellStart"/>
            <w:r w:rsidRPr="00875E94">
              <w:t>BR</w:t>
            </w:r>
            <w:proofErr w:type="spellEnd"/>
            <w:r w:rsidR="008210CF" w:rsidRPr="00875E94">
              <w:t xml:space="preserve"> </w:t>
            </w:r>
            <w:proofErr w:type="spellStart"/>
            <w:r w:rsidRPr="00875E94">
              <w:t>SIS</w:t>
            </w:r>
            <w:proofErr w:type="spellEnd"/>
            <w:r w:rsidRPr="00875E94">
              <w:t xml:space="preserve"> началось и будет обеспечено с помощью объединения одного типа заявки за один раз</w:t>
            </w:r>
            <w:r w:rsidR="00A3542E" w:rsidRPr="00875E94">
              <w:t>.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B679EA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t xml:space="preserve">Перевод </w:t>
            </w:r>
            <w:r w:rsidR="008210CF" w:rsidRPr="00875E94">
              <w:rPr>
                <w:lang w:val="ru-RU"/>
              </w:rPr>
              <w:t>файла</w:t>
            </w:r>
            <w:r w:rsidRPr="00875E94">
              <w:rPr>
                <w:lang w:val="ru-RU"/>
              </w:rPr>
              <w:t xml:space="preserve"> </w:t>
            </w:r>
            <w:r w:rsidR="00A3542E" w:rsidRPr="00875E94">
              <w:rPr>
                <w:lang w:val="ru-RU"/>
              </w:rPr>
              <w:t xml:space="preserve">SRS.mdb </w:t>
            </w:r>
            <w:r w:rsidRPr="00875E94">
              <w:rPr>
                <w:lang w:val="ru-RU"/>
              </w:rPr>
              <w:t xml:space="preserve">на более современную технологию </w:t>
            </w:r>
          </w:p>
          <w:p w:rsidR="00A3542E" w:rsidRPr="00875E94" w:rsidRDefault="00B679EA" w:rsidP="00FD7BA1">
            <w:r w:rsidRPr="00875E94">
              <w:t xml:space="preserve">В настоящее время файлы базы данных в ИФИК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имеют формат </w:t>
            </w:r>
            <w:proofErr w:type="spellStart"/>
            <w:r w:rsidRPr="00875E94">
              <w:t>Microsoft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Access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MDB</w:t>
            </w:r>
            <w:proofErr w:type="spellEnd"/>
            <w:r w:rsidRPr="00875E94">
              <w:t xml:space="preserve">, развитие которого </w:t>
            </w:r>
            <w:r w:rsidR="008210CF" w:rsidRPr="00875E94">
              <w:t xml:space="preserve">завершилось на </w:t>
            </w:r>
            <w:r w:rsidRPr="00875E94">
              <w:t>верси</w:t>
            </w:r>
            <w:r w:rsidR="008210CF" w:rsidRPr="00875E94">
              <w:t>и</w:t>
            </w:r>
            <w:r w:rsidRPr="00875E94">
              <w:t xml:space="preserve"> </w:t>
            </w:r>
            <w:proofErr w:type="spellStart"/>
            <w:r w:rsidR="00A3542E" w:rsidRPr="00875E94">
              <w:t>Microsoft</w:t>
            </w:r>
            <w:proofErr w:type="spellEnd"/>
            <w:r w:rsidR="00A3542E" w:rsidRPr="00875E94">
              <w:t xml:space="preserve"> </w:t>
            </w:r>
            <w:proofErr w:type="spellStart"/>
            <w:r w:rsidR="00A3542E" w:rsidRPr="00875E94">
              <w:t>Office</w:t>
            </w:r>
            <w:proofErr w:type="spellEnd"/>
            <w:r w:rsidRPr="00875E94">
              <w:t xml:space="preserve"> 2003</w:t>
            </w:r>
            <w:r w:rsidR="00A3542E" w:rsidRPr="00875E94">
              <w:t xml:space="preserve">. </w:t>
            </w:r>
          </w:p>
          <w:p w:rsidR="00A3542E" w:rsidRPr="00875E94" w:rsidRDefault="00B679EA" w:rsidP="00FD7BA1">
            <w:r w:rsidRPr="00875E94">
              <w:t xml:space="preserve">Была проведена оценка нескольких вариантов, и в качестве технологии для замены файлов </w:t>
            </w:r>
            <w:proofErr w:type="spellStart"/>
            <w:r w:rsidRPr="00875E94">
              <w:t>MDB</w:t>
            </w:r>
            <w:proofErr w:type="spellEnd"/>
            <w:r w:rsidRPr="00875E94">
              <w:t xml:space="preserve"> была выбрана </w:t>
            </w:r>
            <w:proofErr w:type="spellStart"/>
            <w:r w:rsidR="00A3542E" w:rsidRPr="00875E94">
              <w:t>SQLite</w:t>
            </w:r>
            <w:proofErr w:type="spellEnd"/>
            <w:r w:rsidRPr="00875E94">
              <w:t xml:space="preserve">. </w:t>
            </w:r>
            <w:r w:rsidR="00F43E58" w:rsidRPr="00875E94">
              <w:t xml:space="preserve">Связь обеспечивается </w:t>
            </w:r>
            <w:r w:rsidRPr="00875E94">
              <w:t xml:space="preserve">либо с помощью прямых соединений (например, </w:t>
            </w:r>
            <w:r w:rsidR="00F43E58" w:rsidRPr="00875E94">
              <w:t xml:space="preserve">с помощью </w:t>
            </w:r>
            <w:r w:rsidRPr="00875E94">
              <w:t>приложени</w:t>
            </w:r>
            <w:r w:rsidR="00F43E58" w:rsidRPr="00875E94">
              <w:t>й на</w:t>
            </w:r>
            <w:r w:rsidRPr="00875E94">
              <w:t xml:space="preserve"> </w:t>
            </w:r>
            <w:r w:rsidR="00A3542E" w:rsidRPr="00875E94">
              <w:t xml:space="preserve">C++ </w:t>
            </w:r>
            <w:r w:rsidRPr="00875E94">
              <w:t xml:space="preserve">или </w:t>
            </w:r>
            <w:r w:rsidR="00A3542E" w:rsidRPr="00875E94">
              <w:t>.</w:t>
            </w:r>
            <w:proofErr w:type="spellStart"/>
            <w:r w:rsidR="00A3542E" w:rsidRPr="00875E94">
              <w:t>Net</w:t>
            </w:r>
            <w:proofErr w:type="spellEnd"/>
            <w:r w:rsidR="00A3542E" w:rsidRPr="00875E94">
              <w:t>)</w:t>
            </w:r>
            <w:r w:rsidR="008210CF" w:rsidRPr="00875E94">
              <w:t xml:space="preserve">, либо </w:t>
            </w:r>
            <w:r w:rsidRPr="00875E94">
              <w:t xml:space="preserve">через </w:t>
            </w:r>
            <w:proofErr w:type="spellStart"/>
            <w:r w:rsidR="00A3542E" w:rsidRPr="00875E94">
              <w:t>ODBC</w:t>
            </w:r>
            <w:proofErr w:type="spellEnd"/>
            <w:r w:rsidR="00A3542E" w:rsidRPr="00875E94">
              <w:t xml:space="preserve">. </w:t>
            </w:r>
            <w:r w:rsidRPr="00875E94">
              <w:t xml:space="preserve">Тестовые базы данных будут предоставлены внешним пользователям в третьем квартале 2016 года, </w:t>
            </w:r>
            <w:r w:rsidR="008210CF" w:rsidRPr="00875E94">
              <w:t>а</w:t>
            </w:r>
            <w:r w:rsidRPr="00875E94">
              <w:t xml:space="preserve"> </w:t>
            </w:r>
            <w:r w:rsidR="00C54F55" w:rsidRPr="00875E94">
              <w:t xml:space="preserve">совместимость </w:t>
            </w:r>
            <w:r w:rsidRPr="00875E94">
              <w:t>приложени</w:t>
            </w:r>
            <w:r w:rsidR="00C54F55" w:rsidRPr="00875E94">
              <w:t>й</w:t>
            </w:r>
            <w:r w:rsidRPr="00875E94">
              <w:t>, поставляемы</w:t>
            </w:r>
            <w:r w:rsidR="00C54F55" w:rsidRPr="00875E94">
              <w:t>х</w:t>
            </w:r>
            <w:r w:rsidRPr="00875E94">
              <w:t xml:space="preserve"> на </w:t>
            </w:r>
            <w:proofErr w:type="spellStart"/>
            <w:r w:rsidRPr="00875E94">
              <w:t>DVD</w:t>
            </w:r>
            <w:proofErr w:type="spellEnd"/>
            <w:r w:rsidRPr="00875E94">
              <w:t xml:space="preserve"> c ИФИК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, </w:t>
            </w:r>
            <w:r w:rsidR="00C54F55" w:rsidRPr="00875E94">
              <w:t xml:space="preserve">с технологией </w:t>
            </w:r>
            <w:proofErr w:type="spellStart"/>
            <w:r w:rsidR="00A3542E" w:rsidRPr="00875E94">
              <w:t>SQLite</w:t>
            </w:r>
            <w:proofErr w:type="spellEnd"/>
            <w:r w:rsidR="00C54F55" w:rsidRPr="00875E94">
              <w:t xml:space="preserve">, будет обеспечена </w:t>
            </w:r>
            <w:r w:rsidRPr="00875E94">
              <w:t xml:space="preserve">с января </w:t>
            </w:r>
            <w:r w:rsidR="00A3542E" w:rsidRPr="00875E94">
              <w:t>2017</w:t>
            </w:r>
            <w:r w:rsidRPr="00875E94">
              <w:t xml:space="preserve"> года</w:t>
            </w:r>
            <w:r w:rsidR="00A3542E" w:rsidRPr="00875E94">
              <w:t xml:space="preserve">, </w:t>
            </w:r>
            <w:r w:rsidR="00C54F55" w:rsidRPr="00875E94">
              <w:t xml:space="preserve">то есть приурочена к выходу </w:t>
            </w:r>
            <w:r w:rsidR="00F43E58" w:rsidRPr="00875E94">
              <w:t>верси</w:t>
            </w:r>
            <w:r w:rsidR="00C54F55" w:rsidRPr="00875E94">
              <w:t>и</w:t>
            </w:r>
            <w:r w:rsidR="00F43E58" w:rsidRPr="00875E94">
              <w:t xml:space="preserve"> </w:t>
            </w:r>
            <w:r w:rsidR="00A3542E" w:rsidRPr="00875E94">
              <w:t xml:space="preserve">8 </w:t>
            </w:r>
            <w:r w:rsidR="00F43E58" w:rsidRPr="00875E94">
              <w:t xml:space="preserve">базы данных </w:t>
            </w:r>
            <w:proofErr w:type="spellStart"/>
            <w:r w:rsidR="00A3542E" w:rsidRPr="00875E94">
              <w:t>SNS</w:t>
            </w:r>
            <w:proofErr w:type="spellEnd"/>
            <w:r w:rsidR="00A3542E" w:rsidRPr="00875E94">
              <w:t xml:space="preserve">. </w:t>
            </w:r>
          </w:p>
          <w:p w:rsidR="00A3542E" w:rsidRPr="00875E94" w:rsidRDefault="00F43E58" w:rsidP="005B5E54">
            <w:pPr>
              <w:spacing w:after="120"/>
            </w:pPr>
            <w:r w:rsidRPr="00875E94">
              <w:t xml:space="preserve">В обозримом будущем будут сохранены обратная совместимость с форматом </w:t>
            </w:r>
            <w:proofErr w:type="spellStart"/>
            <w:r w:rsidR="00A3542E" w:rsidRPr="00875E94">
              <w:t>MDB</w:t>
            </w:r>
            <w:proofErr w:type="spellEnd"/>
            <w:r w:rsidR="00A3542E" w:rsidRPr="00875E94">
              <w:t xml:space="preserve">, </w:t>
            </w:r>
            <w:r w:rsidRPr="00875E94">
              <w:t>а также инструменты преобразования</w:t>
            </w:r>
            <w:r w:rsidR="00A3542E" w:rsidRPr="00875E94">
              <w:t xml:space="preserve">, </w:t>
            </w:r>
            <w:r w:rsidRPr="00875E94">
              <w:t xml:space="preserve">с тем чтобы внешние пользователи имели достаточно времени для внедрения новой технологии. 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F43E58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t xml:space="preserve">Перевод базы данных </w:t>
            </w:r>
            <w:proofErr w:type="spellStart"/>
            <w:r w:rsidRPr="00875E94">
              <w:rPr>
                <w:lang w:val="ru-RU"/>
              </w:rPr>
              <w:t>SNS</w:t>
            </w:r>
            <w:proofErr w:type="spellEnd"/>
            <w:r w:rsidRPr="00875E94">
              <w:rPr>
                <w:lang w:val="ru-RU"/>
              </w:rPr>
              <w:t xml:space="preserve"> на </w:t>
            </w:r>
            <w:proofErr w:type="spellStart"/>
            <w:r w:rsidRPr="00875E94">
              <w:rPr>
                <w:lang w:val="ru-RU"/>
              </w:rPr>
              <w:t>Ingres</w:t>
            </w:r>
            <w:proofErr w:type="spellEnd"/>
            <w:r w:rsidRPr="00875E94">
              <w:rPr>
                <w:lang w:val="ru-RU"/>
              </w:rPr>
              <w:t xml:space="preserve"> на </w:t>
            </w:r>
            <w:proofErr w:type="spellStart"/>
            <w:r w:rsidRPr="00875E94">
              <w:rPr>
                <w:lang w:val="ru-RU"/>
              </w:rPr>
              <w:t>SQL</w:t>
            </w:r>
            <w:proofErr w:type="spellEnd"/>
            <w:r w:rsidRPr="00875E94">
              <w:rPr>
                <w:lang w:val="ru-RU"/>
              </w:rPr>
              <w:t xml:space="preserve"> </w:t>
            </w:r>
            <w:proofErr w:type="spellStart"/>
            <w:r w:rsidRPr="00875E94">
              <w:rPr>
                <w:lang w:val="ru-RU"/>
              </w:rPr>
              <w:t>Server</w:t>
            </w:r>
            <w:proofErr w:type="spellEnd"/>
            <w:r w:rsidR="00A3542E" w:rsidRPr="00875E94">
              <w:rPr>
                <w:lang w:val="ru-RU"/>
              </w:rPr>
              <w:t xml:space="preserve"> </w:t>
            </w:r>
          </w:p>
          <w:p w:rsidR="00F43E58" w:rsidRPr="00875E94" w:rsidRDefault="00F43E58" w:rsidP="00FD7BA1">
            <w:r w:rsidRPr="00875E94">
              <w:t xml:space="preserve">Ввиду затрат и ресурсов Департамент </w:t>
            </w:r>
            <w:proofErr w:type="spellStart"/>
            <w:r w:rsidRPr="00875E94">
              <w:t>IS</w:t>
            </w:r>
            <w:proofErr w:type="spellEnd"/>
            <w:r w:rsidRPr="00875E94">
              <w:t xml:space="preserve"> переводит свои базы данных </w:t>
            </w:r>
            <w:proofErr w:type="spellStart"/>
            <w:r w:rsidRPr="00875E94">
              <w:t>Ingres</w:t>
            </w:r>
            <w:proofErr w:type="spellEnd"/>
            <w:r w:rsidRPr="00875E94">
              <w:t xml:space="preserve"> на </w:t>
            </w:r>
            <w:proofErr w:type="spellStart"/>
            <w:r w:rsidRPr="00875E94">
              <w:t>SQL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Server</w:t>
            </w:r>
            <w:proofErr w:type="spellEnd"/>
            <w:r w:rsidRPr="00875E94">
              <w:t>, и</w:t>
            </w:r>
            <w:r w:rsidR="00FD7BA1" w:rsidRPr="00875E94">
              <w:t> </w:t>
            </w:r>
            <w:r w:rsidRPr="00875E94">
              <w:t xml:space="preserve">поэтому следует также перевести базу данных </w:t>
            </w:r>
            <w:proofErr w:type="spellStart"/>
            <w:r w:rsidRPr="00875E94">
              <w:t>SNS</w:t>
            </w:r>
            <w:proofErr w:type="spellEnd"/>
            <w:r w:rsidRPr="00875E94">
              <w:t xml:space="preserve"> системы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для космических служб. </w:t>
            </w:r>
          </w:p>
          <w:p w:rsidR="00F43E58" w:rsidRPr="00875E94" w:rsidRDefault="00F43E58" w:rsidP="00FD7BA1">
            <w:r w:rsidRPr="00875E94">
              <w:t xml:space="preserve">Не потребуются какие-либо существенные изменения к приложениям системы </w:t>
            </w:r>
            <w:proofErr w:type="spellStart"/>
            <w:r w:rsidRPr="00875E94">
              <w:t>БР</w:t>
            </w:r>
            <w:proofErr w:type="spellEnd"/>
            <w:r w:rsidRPr="00875E94">
              <w:t xml:space="preserve"> для</w:t>
            </w:r>
            <w:r w:rsidR="00FD7BA1" w:rsidRPr="00875E94">
              <w:t> </w:t>
            </w:r>
            <w:r w:rsidRPr="00875E94">
              <w:t xml:space="preserve">космических служб, использующим </w:t>
            </w:r>
            <w:proofErr w:type="spellStart"/>
            <w:r w:rsidRPr="00875E94">
              <w:t>ODBC</w:t>
            </w:r>
            <w:proofErr w:type="spellEnd"/>
            <w:r w:rsidRPr="00875E94">
              <w:t xml:space="preserve"> для доступа к этой базе данных. Ожидается, что</w:t>
            </w:r>
            <w:r w:rsidR="00FD7BA1" w:rsidRPr="00875E94">
              <w:t> </w:t>
            </w:r>
            <w:r w:rsidRPr="00875E94">
              <w:t>данная работа будет завершена в 2016 году.</w:t>
            </w:r>
          </w:p>
          <w:p w:rsidR="00F43E58" w:rsidRPr="00875E94" w:rsidRDefault="00F43E58" w:rsidP="00FD7BA1">
            <w:r w:rsidRPr="00875E94">
              <w:t xml:space="preserve">Потребуется переработать приложение </w:t>
            </w:r>
            <w:proofErr w:type="spellStart"/>
            <w:r w:rsidRPr="00875E94">
              <w:t>SNS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Online</w:t>
            </w:r>
            <w:proofErr w:type="spellEnd"/>
            <w:r w:rsidRPr="00875E94">
              <w:t xml:space="preserve">, поскольку в настоящее время оно довольно тесно связано с </w:t>
            </w:r>
            <w:proofErr w:type="spellStart"/>
            <w:r w:rsidRPr="00875E94">
              <w:t>Ingres</w:t>
            </w:r>
            <w:proofErr w:type="spellEnd"/>
            <w:r w:rsidRPr="00875E94">
              <w:t xml:space="preserve">. Тем временем можно </w:t>
            </w:r>
            <w:r w:rsidR="00C54F55" w:rsidRPr="00875E94">
              <w:t xml:space="preserve">регулярно </w:t>
            </w:r>
            <w:r w:rsidRPr="00875E94">
              <w:t xml:space="preserve">копировать данные </w:t>
            </w:r>
            <w:proofErr w:type="spellStart"/>
            <w:r w:rsidRPr="00875E94">
              <w:t>SNS</w:t>
            </w:r>
            <w:proofErr w:type="spellEnd"/>
            <w:r w:rsidRPr="00875E94">
              <w:t xml:space="preserve"> с </w:t>
            </w:r>
            <w:proofErr w:type="spellStart"/>
            <w:r w:rsidRPr="00875E94">
              <w:t>SQL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Server</w:t>
            </w:r>
            <w:proofErr w:type="spellEnd"/>
            <w:r w:rsidRPr="00875E94">
              <w:t xml:space="preserve"> в</w:t>
            </w:r>
            <w:r w:rsidR="00FD7BA1" w:rsidRPr="00875E94">
              <w:t> </w:t>
            </w:r>
            <w:r w:rsidRPr="00875E94">
              <w:t xml:space="preserve">базу данных </w:t>
            </w:r>
            <w:proofErr w:type="spellStart"/>
            <w:r w:rsidRPr="00875E94">
              <w:t>SNS</w:t>
            </w:r>
            <w:proofErr w:type="spellEnd"/>
            <w:r w:rsidRPr="00875E94">
              <w:t xml:space="preserve"> на </w:t>
            </w:r>
            <w:proofErr w:type="spellStart"/>
            <w:r w:rsidRPr="00875E94">
              <w:t>Ingres</w:t>
            </w:r>
            <w:proofErr w:type="spellEnd"/>
            <w:r w:rsidRPr="00875E94">
              <w:t>, предназначенную только для чтения.</w:t>
            </w:r>
          </w:p>
          <w:p w:rsidR="00A3542E" w:rsidRPr="00875E94" w:rsidRDefault="00F43E58" w:rsidP="005B5E54">
            <w:pPr>
              <w:spacing w:after="120"/>
            </w:pPr>
            <w:r w:rsidRPr="00875E94">
              <w:t xml:space="preserve">Будущая версия </w:t>
            </w:r>
            <w:r w:rsidR="00C54F55" w:rsidRPr="00875E94">
              <w:t xml:space="preserve">приложения </w:t>
            </w:r>
            <w:proofErr w:type="spellStart"/>
            <w:r w:rsidRPr="00875E94">
              <w:t>SNS</w:t>
            </w:r>
            <w:proofErr w:type="spellEnd"/>
            <w:r w:rsidRPr="00875E94">
              <w:t xml:space="preserve"> </w:t>
            </w:r>
            <w:proofErr w:type="spellStart"/>
            <w:r w:rsidRPr="00875E94">
              <w:t>Online</w:t>
            </w:r>
            <w:proofErr w:type="spellEnd"/>
            <w:r w:rsidRPr="00875E94">
              <w:t xml:space="preserve"> может быть основана на технологии ASP.NET </w:t>
            </w:r>
            <w:proofErr w:type="spellStart"/>
            <w:r w:rsidRPr="00875E94">
              <w:t>MVC</w:t>
            </w:r>
            <w:proofErr w:type="spellEnd"/>
            <w:r w:rsidRPr="00875E94">
              <w:t xml:space="preserve">, которая в настоящее время используется для той части веб-сайта систем космических сетей, которая касается </w:t>
            </w:r>
            <w:r w:rsidR="00C54F55" w:rsidRPr="00875E94">
              <w:t xml:space="preserve">приложения </w:t>
            </w:r>
            <w:proofErr w:type="spellStart"/>
            <w:r w:rsidR="00A3542E" w:rsidRPr="00875E94">
              <w:t>Space</w:t>
            </w:r>
            <w:proofErr w:type="spellEnd"/>
            <w:r w:rsidR="00A3542E" w:rsidRPr="00875E94">
              <w:t xml:space="preserve"> </w:t>
            </w:r>
            <w:proofErr w:type="spellStart"/>
            <w:r w:rsidR="00A3542E" w:rsidRPr="00875E94">
              <w:t>API</w:t>
            </w:r>
            <w:proofErr w:type="spellEnd"/>
            <w:r w:rsidR="00A3542E" w:rsidRPr="00875E94">
              <w:t xml:space="preserve"> </w:t>
            </w:r>
            <w:proofErr w:type="spellStart"/>
            <w:r w:rsidR="00A3542E" w:rsidRPr="00875E94">
              <w:t>Query</w:t>
            </w:r>
            <w:proofErr w:type="spellEnd"/>
            <w:r w:rsidR="00A3542E" w:rsidRPr="00875E94">
              <w:t>.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F43E58" w:rsidP="00FD7BA1">
            <w:pPr>
              <w:pStyle w:val="Headingb"/>
              <w:rPr>
                <w:lang w:val="ru-RU"/>
              </w:rPr>
            </w:pPr>
            <w:r w:rsidRPr="00875E94">
              <w:rPr>
                <w:lang w:val="ru-RU"/>
              </w:rPr>
              <w:t xml:space="preserve">Пересмотр приложения </w:t>
            </w:r>
            <w:proofErr w:type="spellStart"/>
            <w:r w:rsidRPr="00875E94">
              <w:rPr>
                <w:lang w:val="ru-RU"/>
              </w:rPr>
              <w:t>SNTrack</w:t>
            </w:r>
            <w:proofErr w:type="spellEnd"/>
            <w:r w:rsidR="00A3542E" w:rsidRPr="00875E94">
              <w:rPr>
                <w:lang w:val="ru-RU"/>
              </w:rPr>
              <w:t xml:space="preserve"> </w:t>
            </w:r>
          </w:p>
          <w:p w:rsidR="00A3542E" w:rsidRPr="00875E94" w:rsidRDefault="00F43E58" w:rsidP="005B5E54">
            <w:pPr>
              <w:spacing w:after="120"/>
            </w:pPr>
            <w:r w:rsidRPr="00875E94">
              <w:t>Данную задачу следует выполнять в сочетании с разработкой, касающейся Резолюций 907 и</w:t>
            </w:r>
            <w:r w:rsidR="00FD7BA1" w:rsidRPr="00875E94">
              <w:t> </w:t>
            </w:r>
            <w:r w:rsidRPr="00875E94">
              <w:t xml:space="preserve">908. </w:t>
            </w:r>
          </w:p>
        </w:tc>
      </w:tr>
      <w:tr w:rsidR="00A3542E" w:rsidRPr="00875E94" w:rsidTr="005F372A">
        <w:tc>
          <w:tcPr>
            <w:tcW w:w="9634" w:type="dxa"/>
          </w:tcPr>
          <w:p w:rsidR="00A3542E" w:rsidRPr="00875E94" w:rsidRDefault="00F43E58" w:rsidP="00113030">
            <w:pPr>
              <w:pStyle w:val="Headingb"/>
              <w:keepNext w:val="0"/>
              <w:pageBreakBefore/>
              <w:rPr>
                <w:lang w:val="ru-RU"/>
              </w:rPr>
            </w:pPr>
            <w:r w:rsidRPr="00875E94">
              <w:rPr>
                <w:lang w:val="ru-RU"/>
              </w:rPr>
              <w:lastRenderedPageBreak/>
              <w:t xml:space="preserve">Этап </w:t>
            </w:r>
            <w:r w:rsidR="00A3542E" w:rsidRPr="00875E94">
              <w:rPr>
                <w:lang w:val="ru-RU"/>
              </w:rPr>
              <w:t xml:space="preserve">3: 1 </w:t>
            </w:r>
            <w:r w:rsidRPr="00875E94">
              <w:rPr>
                <w:lang w:val="ru-RU"/>
              </w:rPr>
              <w:t>января</w:t>
            </w:r>
            <w:r w:rsidR="00A3542E" w:rsidRPr="00875E94">
              <w:rPr>
                <w:lang w:val="ru-RU"/>
              </w:rPr>
              <w:t xml:space="preserve"> 2016</w:t>
            </w:r>
            <w:r w:rsidRPr="00875E94">
              <w:rPr>
                <w:lang w:val="ru-RU"/>
              </w:rPr>
              <w:t xml:space="preserve"> года</w:t>
            </w:r>
            <w:r w:rsidR="00A3542E" w:rsidRPr="00875E94">
              <w:rPr>
                <w:lang w:val="ru-RU"/>
              </w:rPr>
              <w:t xml:space="preserve"> – 31 </w:t>
            </w:r>
            <w:r w:rsidRPr="00875E94">
              <w:rPr>
                <w:lang w:val="ru-RU"/>
              </w:rPr>
              <w:t xml:space="preserve">декабря </w:t>
            </w:r>
            <w:r w:rsidR="00A3542E" w:rsidRPr="00875E94">
              <w:rPr>
                <w:lang w:val="ru-RU"/>
              </w:rPr>
              <w:t>2018</w:t>
            </w:r>
            <w:r w:rsidRPr="00875E94">
              <w:rPr>
                <w:lang w:val="ru-RU"/>
              </w:rPr>
              <w:t xml:space="preserve"> года</w:t>
            </w:r>
          </w:p>
          <w:p w:rsidR="00A3542E" w:rsidRPr="00875E94" w:rsidRDefault="00F43E58" w:rsidP="00FD7BA1">
            <w:r w:rsidRPr="00875E94">
              <w:t>Основными темами этапа 3 являются</w:t>
            </w:r>
            <w:r w:rsidR="00A3542E" w:rsidRPr="00875E94">
              <w:t>:</w:t>
            </w:r>
          </w:p>
          <w:p w:rsidR="00A3542E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F43E58" w:rsidRPr="00875E94">
              <w:t>Разработка общей концептуальной базы данных для наземных и космических служб</w:t>
            </w:r>
            <w:r w:rsidR="00A3542E" w:rsidRPr="00875E94">
              <w:t>.</w:t>
            </w:r>
          </w:p>
          <w:p w:rsidR="00A3542E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F43E58" w:rsidRPr="00875E94">
              <w:t xml:space="preserve">Определение стандартной среды </w:t>
            </w:r>
            <w:r w:rsidR="000B524D" w:rsidRPr="00875E94">
              <w:t xml:space="preserve">разработки приложений </w:t>
            </w:r>
            <w:r w:rsidR="00F43E58" w:rsidRPr="00875E94">
              <w:t xml:space="preserve">для </w:t>
            </w:r>
            <w:r w:rsidR="00C54F55" w:rsidRPr="00875E94">
              <w:t xml:space="preserve">систем </w:t>
            </w:r>
            <w:r w:rsidR="00F43E58" w:rsidRPr="00875E94">
              <w:t>космических и</w:t>
            </w:r>
            <w:r w:rsidRPr="00875E94">
              <w:t> </w:t>
            </w:r>
            <w:r w:rsidR="00F43E58" w:rsidRPr="00875E94">
              <w:t xml:space="preserve">наземных </w:t>
            </w:r>
            <w:r w:rsidR="00C54F55" w:rsidRPr="00875E94">
              <w:t>служб</w:t>
            </w:r>
            <w:r w:rsidR="00F43E58" w:rsidRPr="00875E94">
              <w:t xml:space="preserve">, в том числе систем морских служб </w:t>
            </w:r>
            <w:r w:rsidR="00A3542E" w:rsidRPr="00875E94">
              <w:t>(</w:t>
            </w:r>
            <w:proofErr w:type="spellStart"/>
            <w:r w:rsidR="00A3542E" w:rsidRPr="00875E94">
              <w:t>MARS</w:t>
            </w:r>
            <w:proofErr w:type="spellEnd"/>
            <w:r w:rsidR="00A3542E" w:rsidRPr="00875E94">
              <w:t xml:space="preserve">) </w:t>
            </w:r>
            <w:r w:rsidR="00F43E58" w:rsidRPr="00875E94">
              <w:t>на основе баз данных МСЭ по морским службам</w:t>
            </w:r>
            <w:r w:rsidR="00A3542E" w:rsidRPr="00875E94">
              <w:t xml:space="preserve">. </w:t>
            </w:r>
          </w:p>
          <w:p w:rsidR="00A3542E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F43E58" w:rsidRPr="00875E94">
              <w:t xml:space="preserve">Переработка </w:t>
            </w:r>
            <w:r w:rsidR="00C54F55" w:rsidRPr="00875E94">
              <w:t xml:space="preserve">системы для </w:t>
            </w:r>
            <w:r w:rsidR="00F43E58" w:rsidRPr="00875E94">
              <w:t>космическ</w:t>
            </w:r>
            <w:r w:rsidR="00C54F55" w:rsidRPr="00875E94">
              <w:t>их</w:t>
            </w:r>
            <w:r w:rsidR="00F43E58" w:rsidRPr="00875E94">
              <w:t xml:space="preserve"> </w:t>
            </w:r>
            <w:r w:rsidR="00C54F55" w:rsidRPr="00875E94">
              <w:t xml:space="preserve">служб </w:t>
            </w:r>
            <w:r w:rsidR="00A3542E" w:rsidRPr="00875E94">
              <w:t>– (</w:t>
            </w:r>
            <w:r w:rsidR="00F43E58" w:rsidRPr="00875E94">
              <w:t xml:space="preserve">применение </w:t>
            </w:r>
            <w:proofErr w:type="spellStart"/>
            <w:r w:rsidR="00F43E58" w:rsidRPr="00875E94">
              <w:t>сервисно</w:t>
            </w:r>
            <w:proofErr w:type="spellEnd"/>
            <w:r w:rsidR="00F43E58" w:rsidRPr="00875E94">
              <w:t xml:space="preserve">-ориентированной </w:t>
            </w:r>
            <w:r w:rsidR="006C0557" w:rsidRPr="00875E94">
              <w:t>архитектуры</w:t>
            </w:r>
            <w:r w:rsidR="00A3542E" w:rsidRPr="00875E94">
              <w:t>).</w:t>
            </w:r>
          </w:p>
          <w:p w:rsidR="00A3542E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6C0557" w:rsidRPr="00875E94">
              <w:t>Рассмотрение возможности централизованного управления рисками, восстановлением и безопасностью.</w:t>
            </w:r>
          </w:p>
          <w:p w:rsidR="00A3542E" w:rsidRPr="00875E94" w:rsidRDefault="00DD69AB" w:rsidP="00FD7BA1">
            <w:r w:rsidRPr="00875E94">
              <w:t>Работа, выполненная на предыдущих этапах, а также выбор проекта и технологии, являются идеальной основой для успешного завершения этапа 3, а именно</w:t>
            </w:r>
            <w:r w:rsidR="00A3542E" w:rsidRPr="00875E94">
              <w:t>:</w:t>
            </w:r>
          </w:p>
          <w:p w:rsidR="00FD7BA1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DD69AB" w:rsidRPr="00875E94">
              <w:t xml:space="preserve">Базы данных космических служб должны быть переведены на платформу </w:t>
            </w:r>
            <w:proofErr w:type="spellStart"/>
            <w:r w:rsidR="00A3542E" w:rsidRPr="00875E94">
              <w:t>SQL</w:t>
            </w:r>
            <w:proofErr w:type="spellEnd"/>
            <w:r w:rsidR="00A3542E" w:rsidRPr="00875E94">
              <w:t xml:space="preserve"> </w:t>
            </w:r>
            <w:proofErr w:type="spellStart"/>
            <w:r w:rsidR="00A3542E" w:rsidRPr="00875E94">
              <w:t>Server</w:t>
            </w:r>
            <w:proofErr w:type="spellEnd"/>
            <w:r w:rsidR="00A3542E" w:rsidRPr="00875E94">
              <w:t xml:space="preserve"> </w:t>
            </w:r>
            <w:r w:rsidR="00DD69AB" w:rsidRPr="00875E94">
              <w:t xml:space="preserve">к концу </w:t>
            </w:r>
            <w:r w:rsidR="00A3542E" w:rsidRPr="00875E94">
              <w:t>2016</w:t>
            </w:r>
            <w:r w:rsidR="00DD69AB" w:rsidRPr="00875E94">
              <w:t xml:space="preserve"> года</w:t>
            </w:r>
            <w:r w:rsidR="00A3542E" w:rsidRPr="00875E94">
              <w:t xml:space="preserve">. </w:t>
            </w:r>
            <w:r w:rsidR="00DD69AB" w:rsidRPr="00875E94">
              <w:t xml:space="preserve">К этому моменту схема базы данных должна быть обновлена до версии 8 для периода после </w:t>
            </w:r>
            <w:proofErr w:type="spellStart"/>
            <w:r w:rsidR="00DD69AB" w:rsidRPr="00875E94">
              <w:t>ВКР</w:t>
            </w:r>
            <w:proofErr w:type="spellEnd"/>
            <w:r w:rsidR="00DD69AB" w:rsidRPr="00875E94">
              <w:t xml:space="preserve">-15 и представлена на </w:t>
            </w:r>
            <w:proofErr w:type="spellStart"/>
            <w:r w:rsidR="00DD69AB" w:rsidRPr="00875E94">
              <w:t>ВСР</w:t>
            </w:r>
            <w:proofErr w:type="spellEnd"/>
            <w:r w:rsidR="00DD69AB" w:rsidRPr="00875E94">
              <w:t>-16; при</w:t>
            </w:r>
            <w:r w:rsidRPr="00875E94">
              <w:t> </w:t>
            </w:r>
            <w:r w:rsidR="00DD69AB" w:rsidRPr="00875E94">
              <w:t>этом в не</w:t>
            </w:r>
            <w:r w:rsidR="00C54F55" w:rsidRPr="00875E94">
              <w:t>й</w:t>
            </w:r>
            <w:r w:rsidR="00DD69AB" w:rsidRPr="00875E94">
              <w:t xml:space="preserve"> предстоит добавить, удалить и изменить ряд полей и таблиц</w:t>
            </w:r>
            <w:r w:rsidR="00A3542E" w:rsidRPr="00875E94">
              <w:t>.</w:t>
            </w:r>
          </w:p>
          <w:p w:rsidR="00A3542E" w:rsidRPr="00875E94" w:rsidRDefault="00FD7BA1" w:rsidP="00FD7BA1">
            <w:pPr>
              <w:pStyle w:val="enumlev1"/>
            </w:pPr>
            <w:r w:rsidRPr="00875E94">
              <w:tab/>
            </w:r>
            <w:r w:rsidR="00DD69AB" w:rsidRPr="00875E94">
              <w:t>Переработка схемы с сохранением эквивалентности данных при условии устранения определенной избыточности и согласования с общим подходом для</w:t>
            </w:r>
            <w:r w:rsidRPr="00875E94">
              <w:t> </w:t>
            </w:r>
            <w:r w:rsidR="00DD69AB" w:rsidRPr="00875E94">
              <w:t xml:space="preserve">космических и наземных служб может быть реализована в срок до </w:t>
            </w:r>
            <w:proofErr w:type="spellStart"/>
            <w:r w:rsidR="00DD69AB" w:rsidRPr="00875E94">
              <w:t>ВСР</w:t>
            </w:r>
            <w:proofErr w:type="spellEnd"/>
            <w:r w:rsidR="00DD69AB" w:rsidRPr="00875E94">
              <w:t>-18.</w:t>
            </w:r>
          </w:p>
          <w:p w:rsidR="00FD7BA1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0B524D" w:rsidRPr="00875E94">
              <w:t>С</w:t>
            </w:r>
            <w:r w:rsidR="00DD69AB" w:rsidRPr="00875E94">
              <w:t>ред</w:t>
            </w:r>
            <w:r w:rsidR="000B524D" w:rsidRPr="00875E94">
              <w:t>ы</w:t>
            </w:r>
            <w:r w:rsidR="00DD69AB" w:rsidRPr="00875E94">
              <w:t xml:space="preserve"> </w:t>
            </w:r>
            <w:r w:rsidR="000B524D" w:rsidRPr="00875E94">
              <w:t xml:space="preserve">разработки приложений </w:t>
            </w:r>
            <w:r w:rsidR="00DD69AB" w:rsidRPr="00875E94">
              <w:t>для настольн</w:t>
            </w:r>
            <w:r w:rsidR="000B524D" w:rsidRPr="00875E94">
              <w:t>ых</w:t>
            </w:r>
            <w:r w:rsidR="00DD69AB" w:rsidRPr="00875E94">
              <w:t xml:space="preserve"> компьютер</w:t>
            </w:r>
            <w:r w:rsidR="000B524D" w:rsidRPr="00875E94">
              <w:t>ов</w:t>
            </w:r>
            <w:r w:rsidR="00DD69AB" w:rsidRPr="00875E94">
              <w:t xml:space="preserve"> для </w:t>
            </w:r>
            <w:r w:rsidR="00C54F55" w:rsidRPr="00875E94">
              <w:t xml:space="preserve">системы </w:t>
            </w:r>
            <w:r w:rsidR="00DD69AB" w:rsidRPr="00875E94">
              <w:t>наземн</w:t>
            </w:r>
            <w:r w:rsidR="000B524D" w:rsidRPr="00875E94">
              <w:t>ых</w:t>
            </w:r>
            <w:r w:rsidR="00C54F55" w:rsidRPr="00875E94">
              <w:t xml:space="preserve"> служб</w:t>
            </w:r>
            <w:r w:rsidR="00DD69AB" w:rsidRPr="00875E94">
              <w:t>, систем</w:t>
            </w:r>
            <w:r w:rsidR="00C54F55" w:rsidRPr="00875E94">
              <w:t>ы космических служб</w:t>
            </w:r>
            <w:r w:rsidR="00DD69AB" w:rsidRPr="00875E94">
              <w:t xml:space="preserve"> и </w:t>
            </w:r>
            <w:proofErr w:type="spellStart"/>
            <w:r w:rsidR="00A3542E" w:rsidRPr="00875E94">
              <w:t>MARS</w:t>
            </w:r>
            <w:proofErr w:type="spellEnd"/>
            <w:r w:rsidR="00A3542E" w:rsidRPr="00875E94">
              <w:t xml:space="preserve"> </w:t>
            </w:r>
            <w:r w:rsidR="00DD69AB" w:rsidRPr="00875E94">
              <w:t xml:space="preserve">традиционно довольно </w:t>
            </w:r>
            <w:r w:rsidR="00C54F55" w:rsidRPr="00875E94">
              <w:t xml:space="preserve">существенно </w:t>
            </w:r>
            <w:r w:rsidR="00DD69AB" w:rsidRPr="00875E94">
              <w:t>раз</w:t>
            </w:r>
            <w:r w:rsidR="00C54F55" w:rsidRPr="00875E94">
              <w:t xml:space="preserve">личались </w:t>
            </w:r>
            <w:r w:rsidR="00DD69AB" w:rsidRPr="00875E94">
              <w:t xml:space="preserve">и </w:t>
            </w:r>
            <w:r w:rsidR="00C54F55" w:rsidRPr="00875E94">
              <w:t xml:space="preserve">некоторое время </w:t>
            </w:r>
            <w:r w:rsidR="00DD69AB" w:rsidRPr="00875E94">
              <w:t xml:space="preserve">могут </w:t>
            </w:r>
            <w:r w:rsidR="00C54F55" w:rsidRPr="00875E94">
              <w:t>сохранять свои различия</w:t>
            </w:r>
            <w:r w:rsidR="00DD69AB" w:rsidRPr="00875E94">
              <w:t>. Необходимость стандартизации одной среды уменьшается по мере обеспечения все большего числа функциональных возможностей с помощью веб-приложений</w:t>
            </w:r>
            <w:r w:rsidR="00A3542E" w:rsidRPr="00875E94">
              <w:t>.</w:t>
            </w:r>
          </w:p>
          <w:p w:rsidR="00FD7BA1" w:rsidRPr="00875E94" w:rsidRDefault="00FD7BA1" w:rsidP="00FD7BA1">
            <w:pPr>
              <w:pStyle w:val="enumlev1"/>
            </w:pPr>
            <w:r w:rsidRPr="00875E94">
              <w:tab/>
            </w:r>
            <w:r w:rsidR="00DD69AB" w:rsidRPr="00875E94">
              <w:t xml:space="preserve">Стандартной средой </w:t>
            </w:r>
            <w:r w:rsidR="000B524D" w:rsidRPr="00875E94">
              <w:t xml:space="preserve">разработки </w:t>
            </w:r>
            <w:r w:rsidR="00DD69AB" w:rsidRPr="00875E94">
              <w:t>веб-приложени</w:t>
            </w:r>
            <w:r w:rsidR="000B524D" w:rsidRPr="00875E94">
              <w:t>й</w:t>
            </w:r>
            <w:r w:rsidR="00DD69AB" w:rsidRPr="00875E94">
              <w:t xml:space="preserve">, используемой для разработки новых систем </w:t>
            </w:r>
            <w:r w:rsidR="00A3542E" w:rsidRPr="00875E94">
              <w:t>(</w:t>
            </w:r>
            <w:r w:rsidR="00DD69AB" w:rsidRPr="00875E94">
              <w:t xml:space="preserve">например, </w:t>
            </w:r>
            <w:proofErr w:type="spellStart"/>
            <w:r w:rsidR="00A3542E" w:rsidRPr="00875E94">
              <w:t>SIRRS</w:t>
            </w:r>
            <w:proofErr w:type="spellEnd"/>
            <w:r w:rsidR="00A3542E" w:rsidRPr="00875E94">
              <w:t xml:space="preserve">) </w:t>
            </w:r>
            <w:r w:rsidR="00DD69AB" w:rsidRPr="00875E94">
              <w:t xml:space="preserve">и для переработки существующих веб-приложений для </w:t>
            </w:r>
            <w:r w:rsidR="00C54F55" w:rsidRPr="00875E94">
              <w:t xml:space="preserve">системы </w:t>
            </w:r>
            <w:r w:rsidR="00DD69AB" w:rsidRPr="00875E94">
              <w:t xml:space="preserve">космических </w:t>
            </w:r>
            <w:r w:rsidR="00C54F55" w:rsidRPr="00875E94">
              <w:t xml:space="preserve">служб </w:t>
            </w:r>
            <w:r w:rsidR="00A3542E" w:rsidRPr="00875E94">
              <w:t>(</w:t>
            </w:r>
            <w:proofErr w:type="spellStart"/>
            <w:r w:rsidR="00A3542E" w:rsidRPr="00875E94">
              <w:t>SNS</w:t>
            </w:r>
            <w:proofErr w:type="spellEnd"/>
            <w:r w:rsidR="00A3542E" w:rsidRPr="00875E94">
              <w:t xml:space="preserve"> </w:t>
            </w:r>
            <w:proofErr w:type="spellStart"/>
            <w:r w:rsidR="00C54F55" w:rsidRPr="00875E94">
              <w:t>Online</w:t>
            </w:r>
            <w:proofErr w:type="spellEnd"/>
            <w:r w:rsidR="00A3542E" w:rsidRPr="00875E94">
              <w:t>)</w:t>
            </w:r>
            <w:r w:rsidR="00DD69AB" w:rsidRPr="00875E94">
              <w:t xml:space="preserve">, должна быть среда </w:t>
            </w:r>
            <w:r w:rsidR="00A3542E" w:rsidRPr="00875E94">
              <w:t xml:space="preserve">ASP.NET </w:t>
            </w:r>
            <w:proofErr w:type="spellStart"/>
            <w:r w:rsidR="00A3542E" w:rsidRPr="00875E94">
              <w:t>MVC</w:t>
            </w:r>
            <w:proofErr w:type="spellEnd"/>
            <w:r w:rsidR="00A3542E" w:rsidRPr="00875E94">
              <w:t xml:space="preserve">, </w:t>
            </w:r>
            <w:r w:rsidR="00DD69AB" w:rsidRPr="00875E94">
              <w:t xml:space="preserve">которая также одобрена и поддерживается Департаментом </w:t>
            </w:r>
            <w:proofErr w:type="spellStart"/>
            <w:r w:rsidR="00A3542E" w:rsidRPr="00875E94">
              <w:t>IS</w:t>
            </w:r>
            <w:proofErr w:type="spellEnd"/>
            <w:r w:rsidR="00A3542E" w:rsidRPr="00875E94">
              <w:t xml:space="preserve"> </w:t>
            </w:r>
            <w:r w:rsidR="00DD69AB" w:rsidRPr="00875E94">
              <w:t xml:space="preserve">и является средой </w:t>
            </w:r>
            <w:r w:rsidR="000B524D" w:rsidRPr="00875E94">
              <w:t xml:space="preserve">разработки </w:t>
            </w:r>
            <w:r w:rsidR="00DD69AB" w:rsidRPr="00875E94">
              <w:t>веб-приложений</w:t>
            </w:r>
            <w:r w:rsidR="000B524D" w:rsidRPr="00875E94">
              <w:t xml:space="preserve">, в которой реализуется проект </w:t>
            </w:r>
            <w:proofErr w:type="spellStart"/>
            <w:r w:rsidR="00A3542E" w:rsidRPr="00875E94">
              <w:t>MARS</w:t>
            </w:r>
            <w:proofErr w:type="spellEnd"/>
            <w:r w:rsidR="00A3542E" w:rsidRPr="00875E94">
              <w:t>.</w:t>
            </w:r>
          </w:p>
          <w:p w:rsidR="00FD7BA1" w:rsidRPr="00875E94" w:rsidRDefault="00FD7BA1" w:rsidP="00FD7BA1">
            <w:pPr>
              <w:pStyle w:val="enumlev1"/>
            </w:pPr>
            <w:r w:rsidRPr="00875E94">
              <w:t>•</w:t>
            </w:r>
            <w:r w:rsidRPr="00875E94">
              <w:tab/>
            </w:r>
            <w:r w:rsidR="000B524D" w:rsidRPr="00875E94">
              <w:t>Внедрение платформы .</w:t>
            </w:r>
            <w:proofErr w:type="spellStart"/>
            <w:r w:rsidR="000B524D" w:rsidRPr="00875E94">
              <w:t>Net</w:t>
            </w:r>
            <w:proofErr w:type="spellEnd"/>
            <w:r w:rsidR="000B524D" w:rsidRPr="00875E94">
              <w:t xml:space="preserve"> и архитектуры проектирования </w:t>
            </w:r>
            <w:proofErr w:type="spellStart"/>
            <w:r w:rsidR="00A3542E" w:rsidRPr="00875E94">
              <w:t>Prism</w:t>
            </w:r>
            <w:proofErr w:type="spellEnd"/>
            <w:r w:rsidR="00A3542E" w:rsidRPr="00875E94">
              <w:t xml:space="preserve"> </w:t>
            </w:r>
            <w:r w:rsidR="000B524D" w:rsidRPr="00875E94">
              <w:t>упростит переход от приложений для настольных компьютеров к веб-приложениям, с учетом того, что</w:t>
            </w:r>
            <w:r w:rsidRPr="00875E94">
              <w:t> </w:t>
            </w:r>
            <w:r w:rsidR="000B524D" w:rsidRPr="00875E94">
              <w:t xml:space="preserve">предпочтительная среда разработки веб-приложений основана на той же базовой технологии и </w:t>
            </w:r>
            <w:r w:rsidR="00C54F55" w:rsidRPr="00875E94">
              <w:t xml:space="preserve">том же </w:t>
            </w:r>
            <w:r w:rsidR="000B524D" w:rsidRPr="00875E94">
              <w:t>языке программирования</w:t>
            </w:r>
            <w:r w:rsidR="00A3542E" w:rsidRPr="00875E94">
              <w:t>.</w:t>
            </w:r>
          </w:p>
          <w:p w:rsidR="00A3542E" w:rsidRPr="00875E94" w:rsidRDefault="00FD7BA1" w:rsidP="005B5E54">
            <w:pPr>
              <w:pStyle w:val="enumlev1"/>
              <w:spacing w:after="120"/>
            </w:pPr>
            <w:r w:rsidRPr="00875E94">
              <w:t>•</w:t>
            </w:r>
            <w:r w:rsidRPr="00875E94">
              <w:tab/>
            </w:r>
            <w:r w:rsidR="000B524D" w:rsidRPr="00875E94">
              <w:t>В настоящее время осуществляется деятельность по централизации и</w:t>
            </w:r>
            <w:r w:rsidRPr="00875E94">
              <w:t> </w:t>
            </w:r>
            <w:r w:rsidR="000B524D" w:rsidRPr="00875E94">
              <w:t>совершенствованию управления рисками, восстановлением и безопасностью.</w:t>
            </w:r>
          </w:p>
        </w:tc>
      </w:tr>
    </w:tbl>
    <w:p w:rsidR="00113030" w:rsidRDefault="00113030" w:rsidP="00565A4B">
      <w:pPr>
        <w:spacing w:before="480"/>
        <w:jc w:val="center"/>
      </w:pPr>
      <w:r>
        <w:t>______________</w:t>
      </w:r>
    </w:p>
    <w:sectPr w:rsidR="00113030" w:rsidSect="005F372A">
      <w:footerReference w:type="default" r:id="rId62"/>
      <w:footerReference w:type="first" r:id="rId63"/>
      <w:pgSz w:w="11907" w:h="16834" w:code="9"/>
      <w:pgMar w:top="1418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4E" w:rsidRDefault="00A6314E">
      <w:r>
        <w:separator/>
      </w:r>
    </w:p>
  </w:endnote>
  <w:endnote w:type="continuationSeparator" w:id="0">
    <w:p w:rsidR="00A6314E" w:rsidRDefault="00A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Pr="00513576" w:rsidRDefault="00A6314E" w:rsidP="00B82873">
    <w:pPr>
      <w:framePr w:wrap="around" w:vAnchor="text" w:hAnchor="margin" w:xAlign="right" w:y="1"/>
      <w:rPr>
        <w:lang w:val="fr-CH"/>
      </w:rPr>
    </w:pPr>
    <w:r>
      <w:fldChar w:fldCharType="begin"/>
    </w:r>
    <w:r w:rsidRPr="005272F5">
      <w:rPr>
        <w:lang w:val="fr-CH"/>
      </w:rPr>
      <w:instrText xml:space="preserve">PAGE  </w:instrText>
    </w:r>
    <w:r>
      <w:fldChar w:fldCharType="separate"/>
    </w:r>
    <w:r w:rsidRPr="005272F5">
      <w:rPr>
        <w:noProof/>
        <w:lang w:val="fr-CH"/>
      </w:rPr>
      <w:t>46</w:t>
    </w:r>
    <w:r>
      <w:fldChar w:fldCharType="end"/>
    </w:r>
  </w:p>
  <w:p w:rsidR="00A6314E" w:rsidRPr="00B75E17" w:rsidRDefault="00A6314E">
    <w:pPr>
      <w:ind w:right="360"/>
      <w:rPr>
        <w:lang w:val="en-US"/>
      </w:rPr>
    </w:pPr>
    <w:r>
      <w:fldChar w:fldCharType="begin"/>
    </w:r>
    <w:r w:rsidRPr="00B75E17">
      <w:rPr>
        <w:lang w:val="en-US"/>
      </w:rPr>
      <w:instrText xml:space="preserve"> FILENAME \p  \* MERGEFORMAT </w:instrText>
    </w:r>
    <w:r>
      <w:fldChar w:fldCharType="separate"/>
    </w:r>
    <w:r w:rsidR="00A83B58">
      <w:rPr>
        <w:noProof/>
        <w:lang w:val="en-US"/>
      </w:rPr>
      <w:t>P:\RUS\ITU-R\AG\RAG\RAG16\000\001REV1R.docx</w:t>
    </w:r>
    <w:r>
      <w:fldChar w:fldCharType="end"/>
    </w:r>
    <w:r w:rsidRPr="00B75E1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rPr>
        <w:noProof/>
      </w:rPr>
      <w:t>22.04.16</w:t>
    </w:r>
    <w:r>
      <w:fldChar w:fldCharType="end"/>
    </w:r>
    <w:r w:rsidRPr="00B75E1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rPr>
        <w:noProof/>
      </w:rPr>
      <w:t>18.04.16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 w:rsidP="00A6314E">
    <w:pPr>
      <w:pStyle w:val="Footer"/>
    </w:pPr>
    <w:fldSimple w:instr=" FILENAME \p  \* MERGEFORMAT ">
      <w:r w:rsidR="00A83B58">
        <w:t>P:\RUS\ITU-R\AG\RAG\RAG16\000\001REV1R.docx</w:t>
      </w:r>
    </w:fldSimple>
    <w:r w:rsidRPr="002E2649">
      <w:t xml:space="preserve"> (</w:t>
    </w:r>
    <w:r>
      <w:t>397276</w:t>
    </w:r>
    <w:r w:rsidRPr="002E2649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 w:rsidP="00A6314E">
    <w:pPr>
      <w:pStyle w:val="Footer"/>
    </w:pPr>
    <w:fldSimple w:instr=" FILENAME \p  \* MERGEFORMAT ">
      <w:r w:rsidR="00A83B58">
        <w:t>P:\RUS\ITU-R\AG\RAG\RAG16\000\001REV1R.docx</w:t>
      </w:r>
    </w:fldSimple>
    <w:r w:rsidRPr="002E2649">
      <w:t xml:space="preserve"> (</w:t>
    </w:r>
    <w:r>
      <w:t>397276</w:t>
    </w:r>
    <w:r w:rsidRPr="002E2649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 w:rsidP="00A6314E">
    <w:pPr>
      <w:pStyle w:val="Footer"/>
      <w:tabs>
        <w:tab w:val="clear" w:pos="5954"/>
        <w:tab w:val="clear" w:pos="9639"/>
        <w:tab w:val="left" w:pos="7371"/>
        <w:tab w:val="right" w:pos="14571"/>
      </w:tabs>
    </w:pPr>
    <w:fldSimple w:instr=" FILENAME \p  \* MERGEFORMAT ">
      <w:r w:rsidR="00A83B58">
        <w:t>P:\RUS\ITU-R\AG\RAG\RAG16\000\001REV1R.docx</w:t>
      </w:r>
    </w:fldSimple>
    <w:r w:rsidRPr="002E2649">
      <w:t xml:space="preserve"> (</w:t>
    </w:r>
    <w:r>
      <w:t>397276</w:t>
    </w:r>
    <w:r w:rsidRPr="002E2649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 w:rsidP="00A6314E">
    <w:pPr>
      <w:pStyle w:val="Footer"/>
      <w:tabs>
        <w:tab w:val="clear" w:pos="5954"/>
        <w:tab w:val="clear" w:pos="9639"/>
        <w:tab w:val="left" w:pos="7371"/>
        <w:tab w:val="right" w:pos="14571"/>
      </w:tabs>
    </w:pPr>
    <w:fldSimple w:instr=" FILENAME \p  \* MERGEFORMAT ">
      <w:r w:rsidR="00A83B58">
        <w:t>P:\RUS\ITU-R\AG\RAG\RAG16\000\001REV1R.docx</w:t>
      </w:r>
    </w:fldSimple>
    <w:r w:rsidRPr="002E2649">
      <w:t xml:space="preserve"> (</w:t>
    </w:r>
    <w:r>
      <w:t>397276</w:t>
    </w:r>
    <w:r w:rsidRPr="002E2649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 w:rsidP="00A6314E">
    <w:pPr>
      <w:pStyle w:val="Footer"/>
      <w:tabs>
        <w:tab w:val="clear" w:pos="5954"/>
        <w:tab w:val="clear" w:pos="9639"/>
        <w:tab w:val="left" w:pos="7371"/>
        <w:tab w:val="right" w:pos="14571"/>
      </w:tabs>
    </w:pPr>
    <w:fldSimple w:instr=" FILENAME \p  \* MERGEFORMAT ">
      <w:r w:rsidR="00A83B58">
        <w:t>P:\RUS\ITU-R\AG\RAG\RAG16\000\001REV1R.docx</w:t>
      </w:r>
    </w:fldSimple>
    <w:r w:rsidRPr="002E2649">
      <w:t xml:space="preserve"> (</w:t>
    </w:r>
    <w:r>
      <w:t>397276</w:t>
    </w:r>
    <w:r w:rsidRPr="002E2649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Pr="00606C8E" w:rsidRDefault="00A6314E" w:rsidP="00A6314E">
    <w:pPr>
      <w:pStyle w:val="Footer"/>
    </w:pPr>
    <w:fldSimple w:instr=" FILENAME \p  \* MERGEFORMAT ">
      <w:r w:rsidR="00A83B58">
        <w:t>P:\RUS\ITU-R\AG\RAG\RAG16\000\001REV1R.docx</w:t>
      </w:r>
    </w:fldSimple>
    <w:r>
      <w:t xml:space="preserve"> (397276)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>
    <w:pPr>
      <w:pStyle w:val="Footer"/>
    </w:pPr>
    <w:fldSimple w:instr=" FILENAME \p  \* MERGEFORMAT ">
      <w:r w:rsidR="00A83B58">
        <w:t>P:\RUS\ITU-R\AG\RAG\RAG16\000\001REV1R.docx</w:t>
      </w:r>
    </w:fldSimple>
    <w:r w:rsidRPr="00421069">
      <w:rPr>
        <w:lang w:val="en-US"/>
      </w:rPr>
      <w:t xml:space="preserve"> (395802)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3B58">
      <w:t>22.04.16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83B58">
      <w:t>18.04.16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4E" w:rsidRDefault="00A6314E">
      <w:r>
        <w:t>____________________</w:t>
      </w:r>
    </w:p>
  </w:footnote>
  <w:footnote w:type="continuationSeparator" w:id="0">
    <w:p w:rsidR="00A6314E" w:rsidRDefault="00A6314E">
      <w:r>
        <w:continuationSeparator/>
      </w:r>
    </w:p>
  </w:footnote>
  <w:footnote w:id="1">
    <w:p w:rsidR="00A6314E" w:rsidRPr="00D018AD" w:rsidRDefault="00A6314E" w:rsidP="00FB0707">
      <w:pPr>
        <w:pStyle w:val="FootnoteText"/>
        <w:rPr>
          <w:rFonts w:cstheme="minorBidi"/>
          <w:lang w:val="ru-RU"/>
        </w:rPr>
      </w:pPr>
      <w:r>
        <w:rPr>
          <w:rStyle w:val="FootnoteReference"/>
        </w:rPr>
        <w:footnoteRef/>
      </w:r>
      <w:r w:rsidRPr="00D018AD">
        <w:rPr>
          <w:lang w:val="ru-RU"/>
        </w:rPr>
        <w:tab/>
      </w:r>
      <w:r w:rsidRPr="00E41EB8">
        <w:rPr>
          <w:lang w:val="ru-RU"/>
        </w:rPr>
        <w:t xml:space="preserve">К ним относятся Справочники МСЭ-R </w:t>
      </w:r>
      <w:r w:rsidRPr="00FB0707">
        <w:rPr>
          <w:lang w:val="ru-RU"/>
        </w:rPr>
        <w:t>по</w:t>
      </w:r>
      <w:r w:rsidRPr="00E41EB8">
        <w:rPr>
          <w:lang w:val="ru-RU"/>
        </w:rPr>
        <w:t xml:space="preserve"> управлению использованием спектра на национальном уровне, по компьютерным технологиям управления использованием радиочастотного спектра и</w:t>
      </w:r>
      <w:r>
        <w:rPr>
          <w:lang w:val="ru-RU"/>
        </w:rPr>
        <w:t> </w:t>
      </w:r>
      <w:r w:rsidRPr="00E41EB8">
        <w:rPr>
          <w:lang w:val="ru-RU"/>
        </w:rPr>
        <w:t>по</w:t>
      </w:r>
      <w:r>
        <w:rPr>
          <w:lang w:val="ru-RU"/>
        </w:rPr>
        <w:t> </w:t>
      </w:r>
      <w:r w:rsidRPr="00E41EB8">
        <w:rPr>
          <w:lang w:val="ru-RU"/>
        </w:rPr>
        <w:t>контролю за использованием спектра</w:t>
      </w:r>
      <w:r w:rsidRPr="00D018AD">
        <w:rPr>
          <w:szCs w:val="24"/>
          <w:lang w:val="ru-RU"/>
        </w:rPr>
        <w:t>.</w:t>
      </w:r>
    </w:p>
  </w:footnote>
  <w:footnote w:id="2">
    <w:p w:rsidR="00A6314E" w:rsidRPr="00566D36" w:rsidRDefault="00A6314E" w:rsidP="005F6F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75E17">
        <w:rPr>
          <w:lang w:val="ru-RU"/>
        </w:rPr>
        <w:t xml:space="preserve"> </w:t>
      </w:r>
      <w:r>
        <w:rPr>
          <w:lang w:val="ru-RU"/>
        </w:rPr>
        <w:tab/>
      </w:r>
      <w:r w:rsidRPr="00566D36">
        <w:rPr>
          <w:lang w:val="ru-RU"/>
        </w:rPr>
        <w:t>До принятия Советом 2013 года Решения 571.</w:t>
      </w:r>
    </w:p>
  </w:footnote>
  <w:footnote w:id="3">
    <w:p w:rsidR="00A6314E" w:rsidRPr="00566D36" w:rsidRDefault="00A6314E" w:rsidP="005F6FDC">
      <w:pPr>
        <w:pStyle w:val="FootnoteText"/>
        <w:rPr>
          <w:lang w:val="ru-RU"/>
        </w:rPr>
      </w:pPr>
      <w:r w:rsidRPr="00566D36">
        <w:rPr>
          <w:rStyle w:val="FootnoteReference"/>
          <w:lang w:val="ru-RU"/>
        </w:rPr>
        <w:footnoteRef/>
      </w:r>
      <w:r w:rsidRPr="00566D36">
        <w:rPr>
          <w:lang w:val="ru-RU"/>
        </w:rPr>
        <w:t xml:space="preserve"> </w:t>
      </w:r>
      <w:r>
        <w:rPr>
          <w:lang w:val="ru-RU"/>
        </w:rPr>
        <w:tab/>
      </w:r>
      <w:r w:rsidRPr="00566D36">
        <w:rPr>
          <w:lang w:val="ru-RU"/>
        </w:rPr>
        <w:t>После принятия Советом 2013 года Решения 571.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4E" w:rsidRDefault="00A6314E" w:rsidP="00B828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14E" w:rsidRDefault="00A6314E" w:rsidP="00B828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14E" w:rsidRDefault="00A6314E" w:rsidP="00B828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896710"/>
      <w:docPartObj>
        <w:docPartGallery w:val="Page Numbers (Top of Page)"/>
        <w:docPartUnique/>
      </w:docPartObj>
    </w:sdtPr>
    <w:sdtEndPr>
      <w:rPr>
        <w:noProof/>
        <w:highlight w:val="yellow"/>
      </w:rPr>
    </w:sdtEndPr>
    <w:sdtContent>
      <w:p w:rsidR="00A6314E" w:rsidRPr="00945A25" w:rsidRDefault="00A6314E" w:rsidP="00B82873">
        <w:pPr>
          <w:pStyle w:val="Header"/>
        </w:pPr>
        <w:r w:rsidRPr="00945A25">
          <w:fldChar w:fldCharType="begin"/>
        </w:r>
        <w:r w:rsidRPr="00945A25">
          <w:instrText xml:space="preserve"> PAGE   \* MERGEFORMAT </w:instrText>
        </w:r>
        <w:r w:rsidRPr="00945A25">
          <w:fldChar w:fldCharType="separate"/>
        </w:r>
        <w:r w:rsidR="00A83B58">
          <w:rPr>
            <w:noProof/>
          </w:rPr>
          <w:t>33</w:t>
        </w:r>
        <w:r w:rsidRPr="00945A25">
          <w:rPr>
            <w:noProof/>
          </w:rPr>
          <w:fldChar w:fldCharType="end"/>
        </w:r>
      </w:p>
      <w:p w:rsidR="00A6314E" w:rsidRPr="00800972" w:rsidRDefault="00A6314E" w:rsidP="00E34D4D">
        <w:pPr>
          <w:pStyle w:val="Header"/>
        </w:pPr>
        <w:proofErr w:type="spellStart"/>
        <w:r>
          <w:t>RAG</w:t>
        </w:r>
        <w:r w:rsidRPr="00945A25">
          <w:t>1</w:t>
        </w:r>
        <w:r>
          <w:t>6</w:t>
        </w:r>
        <w:proofErr w:type="spellEnd"/>
        <w:r w:rsidRPr="00945A25">
          <w:t>/</w:t>
        </w:r>
        <w:r>
          <w:rPr>
            <w:lang w:val="en-US"/>
          </w:rPr>
          <w:t>1(</w:t>
        </w:r>
        <w:proofErr w:type="spellStart"/>
        <w:r>
          <w:rPr>
            <w:lang w:val="en-US"/>
          </w:rPr>
          <w:t>Rev.1</w:t>
        </w:r>
        <w:proofErr w:type="spellEnd"/>
        <w:r>
          <w:rPr>
            <w:lang w:val="en-US"/>
          </w:rPr>
          <w:t>)</w:t>
        </w:r>
        <w:r w:rsidRPr="00945A25">
          <w:t>-</w:t>
        </w:r>
        <w: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7EAC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9E4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C4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0A7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A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E7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0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4A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EB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DC4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2987CCE"/>
    <w:multiLevelType w:val="hybridMultilevel"/>
    <w:tmpl w:val="730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25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37"/>
  </w:num>
  <w:num w:numId="18">
    <w:abstractNumId w:val="39"/>
  </w:num>
  <w:num w:numId="19">
    <w:abstractNumId w:val="32"/>
  </w:num>
  <w:num w:numId="20">
    <w:abstractNumId w:val="28"/>
  </w:num>
  <w:num w:numId="21">
    <w:abstractNumId w:val="38"/>
  </w:num>
  <w:num w:numId="22">
    <w:abstractNumId w:val="27"/>
  </w:num>
  <w:num w:numId="23">
    <w:abstractNumId w:val="10"/>
  </w:num>
  <w:num w:numId="24">
    <w:abstractNumId w:val="17"/>
  </w:num>
  <w:num w:numId="25">
    <w:abstractNumId w:val="18"/>
  </w:num>
  <w:num w:numId="26">
    <w:abstractNumId w:val="24"/>
  </w:num>
  <w:num w:numId="27">
    <w:abstractNumId w:val="41"/>
  </w:num>
  <w:num w:numId="28">
    <w:abstractNumId w:val="29"/>
  </w:num>
  <w:num w:numId="29">
    <w:abstractNumId w:val="30"/>
  </w:num>
  <w:num w:numId="30">
    <w:abstractNumId w:val="13"/>
  </w:num>
  <w:num w:numId="31">
    <w:abstractNumId w:val="26"/>
  </w:num>
  <w:num w:numId="32">
    <w:abstractNumId w:val="15"/>
  </w:num>
  <w:num w:numId="33">
    <w:abstractNumId w:val="45"/>
  </w:num>
  <w:num w:numId="34">
    <w:abstractNumId w:val="22"/>
  </w:num>
  <w:num w:numId="35">
    <w:abstractNumId w:val="35"/>
  </w:num>
  <w:num w:numId="36">
    <w:abstractNumId w:val="40"/>
  </w:num>
  <w:num w:numId="37">
    <w:abstractNumId w:val="23"/>
  </w:num>
  <w:num w:numId="38">
    <w:abstractNumId w:val="21"/>
  </w:num>
  <w:num w:numId="39">
    <w:abstractNumId w:val="44"/>
  </w:num>
  <w:num w:numId="40">
    <w:abstractNumId w:val="36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3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25CE8"/>
    <w:rsid w:val="000311CF"/>
    <w:rsid w:val="00032711"/>
    <w:rsid w:val="000327B6"/>
    <w:rsid w:val="00033004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0FDB"/>
    <w:rsid w:val="000A121E"/>
    <w:rsid w:val="000A400A"/>
    <w:rsid w:val="000A42E6"/>
    <w:rsid w:val="000B03EF"/>
    <w:rsid w:val="000B15E2"/>
    <w:rsid w:val="000B3C3A"/>
    <w:rsid w:val="000B4D42"/>
    <w:rsid w:val="000B50F7"/>
    <w:rsid w:val="000B524D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D3843"/>
    <w:rsid w:val="000D738C"/>
    <w:rsid w:val="000E036E"/>
    <w:rsid w:val="000E2292"/>
    <w:rsid w:val="000E246C"/>
    <w:rsid w:val="000E2C05"/>
    <w:rsid w:val="000E3F5C"/>
    <w:rsid w:val="000F275A"/>
    <w:rsid w:val="000F28B7"/>
    <w:rsid w:val="000F438F"/>
    <w:rsid w:val="000F47E9"/>
    <w:rsid w:val="000F5F8B"/>
    <w:rsid w:val="00101C48"/>
    <w:rsid w:val="001036E4"/>
    <w:rsid w:val="00106A87"/>
    <w:rsid w:val="00107E5A"/>
    <w:rsid w:val="00110829"/>
    <w:rsid w:val="00111B9C"/>
    <w:rsid w:val="00112F9F"/>
    <w:rsid w:val="00113030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3FA3"/>
    <w:rsid w:val="00145723"/>
    <w:rsid w:val="00147382"/>
    <w:rsid w:val="00147B5C"/>
    <w:rsid w:val="00150712"/>
    <w:rsid w:val="00151538"/>
    <w:rsid w:val="00152B3F"/>
    <w:rsid w:val="00152C2B"/>
    <w:rsid w:val="001539C7"/>
    <w:rsid w:val="00156791"/>
    <w:rsid w:val="00156902"/>
    <w:rsid w:val="0015735C"/>
    <w:rsid w:val="001575F8"/>
    <w:rsid w:val="00162A3B"/>
    <w:rsid w:val="00163B42"/>
    <w:rsid w:val="00164043"/>
    <w:rsid w:val="00165EAA"/>
    <w:rsid w:val="001722B2"/>
    <w:rsid w:val="00173D75"/>
    <w:rsid w:val="00174843"/>
    <w:rsid w:val="00175A1D"/>
    <w:rsid w:val="00180A3A"/>
    <w:rsid w:val="001842A5"/>
    <w:rsid w:val="00184DF4"/>
    <w:rsid w:val="00185093"/>
    <w:rsid w:val="00185346"/>
    <w:rsid w:val="0019463F"/>
    <w:rsid w:val="00194AD3"/>
    <w:rsid w:val="001A1EC6"/>
    <w:rsid w:val="001A4F14"/>
    <w:rsid w:val="001A5A4C"/>
    <w:rsid w:val="001A5D06"/>
    <w:rsid w:val="001B00F1"/>
    <w:rsid w:val="001B2877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3D53"/>
    <w:rsid w:val="002052B1"/>
    <w:rsid w:val="002053DF"/>
    <w:rsid w:val="002070E6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87276"/>
    <w:rsid w:val="002931D4"/>
    <w:rsid w:val="00293696"/>
    <w:rsid w:val="002963EF"/>
    <w:rsid w:val="0029707D"/>
    <w:rsid w:val="002A0170"/>
    <w:rsid w:val="002A0B6D"/>
    <w:rsid w:val="002A42BA"/>
    <w:rsid w:val="002A6FC3"/>
    <w:rsid w:val="002A713E"/>
    <w:rsid w:val="002A7323"/>
    <w:rsid w:val="002A78EC"/>
    <w:rsid w:val="002B09B0"/>
    <w:rsid w:val="002B0C94"/>
    <w:rsid w:val="002B224F"/>
    <w:rsid w:val="002B2607"/>
    <w:rsid w:val="002C3725"/>
    <w:rsid w:val="002C7355"/>
    <w:rsid w:val="002C7BCF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17F3B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261A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178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74C6"/>
    <w:rsid w:val="003A0580"/>
    <w:rsid w:val="003A0B83"/>
    <w:rsid w:val="003A4E22"/>
    <w:rsid w:val="003A5C20"/>
    <w:rsid w:val="003B317F"/>
    <w:rsid w:val="003B31B7"/>
    <w:rsid w:val="003B34CB"/>
    <w:rsid w:val="003B55F3"/>
    <w:rsid w:val="003B6621"/>
    <w:rsid w:val="003C02F8"/>
    <w:rsid w:val="003C5141"/>
    <w:rsid w:val="003D0AB2"/>
    <w:rsid w:val="003D2EFD"/>
    <w:rsid w:val="003D5E8D"/>
    <w:rsid w:val="003E056B"/>
    <w:rsid w:val="003E0C1F"/>
    <w:rsid w:val="003E1154"/>
    <w:rsid w:val="003E4819"/>
    <w:rsid w:val="003E4E3F"/>
    <w:rsid w:val="003E5003"/>
    <w:rsid w:val="003E578C"/>
    <w:rsid w:val="003F2683"/>
    <w:rsid w:val="003F459D"/>
    <w:rsid w:val="003F5D6C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16273"/>
    <w:rsid w:val="00420A6B"/>
    <w:rsid w:val="00421069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1D3"/>
    <w:rsid w:val="0045496A"/>
    <w:rsid w:val="00455B66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92435"/>
    <w:rsid w:val="004B2790"/>
    <w:rsid w:val="004B358C"/>
    <w:rsid w:val="004B41F7"/>
    <w:rsid w:val="004B468C"/>
    <w:rsid w:val="004B5692"/>
    <w:rsid w:val="004C01AA"/>
    <w:rsid w:val="004C1537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3D9C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47B9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5A4B"/>
    <w:rsid w:val="00566D36"/>
    <w:rsid w:val="00567628"/>
    <w:rsid w:val="00567C41"/>
    <w:rsid w:val="00572887"/>
    <w:rsid w:val="00576A0F"/>
    <w:rsid w:val="00576CA7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33E7"/>
    <w:rsid w:val="005B4113"/>
    <w:rsid w:val="005B5E54"/>
    <w:rsid w:val="005C08C0"/>
    <w:rsid w:val="005C1745"/>
    <w:rsid w:val="005C190B"/>
    <w:rsid w:val="005C190E"/>
    <w:rsid w:val="005C1B2D"/>
    <w:rsid w:val="005C6338"/>
    <w:rsid w:val="005C6906"/>
    <w:rsid w:val="005D02C2"/>
    <w:rsid w:val="005D0F3F"/>
    <w:rsid w:val="005D3374"/>
    <w:rsid w:val="005D4564"/>
    <w:rsid w:val="005D6AB1"/>
    <w:rsid w:val="005D6EC1"/>
    <w:rsid w:val="005D7FF8"/>
    <w:rsid w:val="005E134D"/>
    <w:rsid w:val="005E1C6A"/>
    <w:rsid w:val="005E3854"/>
    <w:rsid w:val="005E3A4B"/>
    <w:rsid w:val="005E4C53"/>
    <w:rsid w:val="005E4F9C"/>
    <w:rsid w:val="005E5BEE"/>
    <w:rsid w:val="005E5E70"/>
    <w:rsid w:val="005F0730"/>
    <w:rsid w:val="005F07F2"/>
    <w:rsid w:val="005F188A"/>
    <w:rsid w:val="005F372A"/>
    <w:rsid w:val="005F4A85"/>
    <w:rsid w:val="005F6078"/>
    <w:rsid w:val="005F6E04"/>
    <w:rsid w:val="005F6FDC"/>
    <w:rsid w:val="00602EB7"/>
    <w:rsid w:val="00604FFD"/>
    <w:rsid w:val="006067C1"/>
    <w:rsid w:val="00606C8E"/>
    <w:rsid w:val="0060773B"/>
    <w:rsid w:val="00611199"/>
    <w:rsid w:val="00615E55"/>
    <w:rsid w:val="00616C43"/>
    <w:rsid w:val="0061785E"/>
    <w:rsid w:val="00620255"/>
    <w:rsid w:val="006202DD"/>
    <w:rsid w:val="00620453"/>
    <w:rsid w:val="00620CE5"/>
    <w:rsid w:val="00622513"/>
    <w:rsid w:val="00624E06"/>
    <w:rsid w:val="00625DEA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BB4"/>
    <w:rsid w:val="00667C27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5129"/>
    <w:rsid w:val="006B61F7"/>
    <w:rsid w:val="006C0557"/>
    <w:rsid w:val="006C0595"/>
    <w:rsid w:val="006C34A6"/>
    <w:rsid w:val="006C5D18"/>
    <w:rsid w:val="006C5FFB"/>
    <w:rsid w:val="006C6CC6"/>
    <w:rsid w:val="006D0E7C"/>
    <w:rsid w:val="006D2093"/>
    <w:rsid w:val="006D3018"/>
    <w:rsid w:val="006D36FE"/>
    <w:rsid w:val="006D3CED"/>
    <w:rsid w:val="006D5818"/>
    <w:rsid w:val="006E2B68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268E5"/>
    <w:rsid w:val="0073010A"/>
    <w:rsid w:val="007331B2"/>
    <w:rsid w:val="007340E8"/>
    <w:rsid w:val="007341D9"/>
    <w:rsid w:val="00741C71"/>
    <w:rsid w:val="00743DFA"/>
    <w:rsid w:val="007457E2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031A"/>
    <w:rsid w:val="00780C46"/>
    <w:rsid w:val="00782996"/>
    <w:rsid w:val="00782AEA"/>
    <w:rsid w:val="007854A5"/>
    <w:rsid w:val="007873EB"/>
    <w:rsid w:val="00790901"/>
    <w:rsid w:val="007922A7"/>
    <w:rsid w:val="007926CE"/>
    <w:rsid w:val="007955F2"/>
    <w:rsid w:val="00797218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0CF"/>
    <w:rsid w:val="00821D2C"/>
    <w:rsid w:val="008234C5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349AD"/>
    <w:rsid w:val="00842461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66E2D"/>
    <w:rsid w:val="0087115D"/>
    <w:rsid w:val="00875C5A"/>
    <w:rsid w:val="00875E94"/>
    <w:rsid w:val="008809A7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05824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26323"/>
    <w:rsid w:val="0093023C"/>
    <w:rsid w:val="0093036D"/>
    <w:rsid w:val="00930D93"/>
    <w:rsid w:val="0093297F"/>
    <w:rsid w:val="0094022C"/>
    <w:rsid w:val="009431B6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86D50"/>
    <w:rsid w:val="00986E6B"/>
    <w:rsid w:val="00990B31"/>
    <w:rsid w:val="00990E72"/>
    <w:rsid w:val="00995A7E"/>
    <w:rsid w:val="009A3781"/>
    <w:rsid w:val="009A5560"/>
    <w:rsid w:val="009B0131"/>
    <w:rsid w:val="009B113A"/>
    <w:rsid w:val="009B33EA"/>
    <w:rsid w:val="009C0DC9"/>
    <w:rsid w:val="009C16F8"/>
    <w:rsid w:val="009C29B2"/>
    <w:rsid w:val="009C521B"/>
    <w:rsid w:val="009C5560"/>
    <w:rsid w:val="009C5EEF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E32"/>
    <w:rsid w:val="00A0606D"/>
    <w:rsid w:val="00A0632E"/>
    <w:rsid w:val="00A06654"/>
    <w:rsid w:val="00A14551"/>
    <w:rsid w:val="00A16CB2"/>
    <w:rsid w:val="00A202CB"/>
    <w:rsid w:val="00A21A1D"/>
    <w:rsid w:val="00A21ECC"/>
    <w:rsid w:val="00A23258"/>
    <w:rsid w:val="00A23E26"/>
    <w:rsid w:val="00A27ECF"/>
    <w:rsid w:val="00A31978"/>
    <w:rsid w:val="00A326CD"/>
    <w:rsid w:val="00A3455E"/>
    <w:rsid w:val="00A34BB7"/>
    <w:rsid w:val="00A3542E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3927"/>
    <w:rsid w:val="00A56060"/>
    <w:rsid w:val="00A56CFB"/>
    <w:rsid w:val="00A620A1"/>
    <w:rsid w:val="00A6314E"/>
    <w:rsid w:val="00A6373C"/>
    <w:rsid w:val="00A66E4C"/>
    <w:rsid w:val="00A71784"/>
    <w:rsid w:val="00A7469A"/>
    <w:rsid w:val="00A74816"/>
    <w:rsid w:val="00A74F9E"/>
    <w:rsid w:val="00A75460"/>
    <w:rsid w:val="00A77DFB"/>
    <w:rsid w:val="00A823B3"/>
    <w:rsid w:val="00A83B58"/>
    <w:rsid w:val="00A84AEC"/>
    <w:rsid w:val="00A856E1"/>
    <w:rsid w:val="00A8618D"/>
    <w:rsid w:val="00A877A0"/>
    <w:rsid w:val="00A9218A"/>
    <w:rsid w:val="00A9373B"/>
    <w:rsid w:val="00A93DC8"/>
    <w:rsid w:val="00A941E2"/>
    <w:rsid w:val="00A9719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5C1"/>
    <w:rsid w:val="00AA7BBD"/>
    <w:rsid w:val="00AB50C4"/>
    <w:rsid w:val="00AB627B"/>
    <w:rsid w:val="00AB71A7"/>
    <w:rsid w:val="00AC2193"/>
    <w:rsid w:val="00AD0DF1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3D69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679EA"/>
    <w:rsid w:val="00B703BE"/>
    <w:rsid w:val="00B70AC4"/>
    <w:rsid w:val="00B725E7"/>
    <w:rsid w:val="00B72DE9"/>
    <w:rsid w:val="00B72EF3"/>
    <w:rsid w:val="00B75496"/>
    <w:rsid w:val="00B75E17"/>
    <w:rsid w:val="00B820B1"/>
    <w:rsid w:val="00B82873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0989"/>
    <w:rsid w:val="00BA2F16"/>
    <w:rsid w:val="00BB4ADA"/>
    <w:rsid w:val="00BC2E16"/>
    <w:rsid w:val="00BC3C0F"/>
    <w:rsid w:val="00BC72C9"/>
    <w:rsid w:val="00BC7400"/>
    <w:rsid w:val="00BD4758"/>
    <w:rsid w:val="00BD4774"/>
    <w:rsid w:val="00BD4BD4"/>
    <w:rsid w:val="00BD7223"/>
    <w:rsid w:val="00BD7652"/>
    <w:rsid w:val="00BD7C73"/>
    <w:rsid w:val="00BD7DDC"/>
    <w:rsid w:val="00BE0AD6"/>
    <w:rsid w:val="00BE13C6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428"/>
    <w:rsid w:val="00C07CB6"/>
    <w:rsid w:val="00C102CC"/>
    <w:rsid w:val="00C1132C"/>
    <w:rsid w:val="00C11865"/>
    <w:rsid w:val="00C158DA"/>
    <w:rsid w:val="00C15FCB"/>
    <w:rsid w:val="00C20E67"/>
    <w:rsid w:val="00C226F4"/>
    <w:rsid w:val="00C23957"/>
    <w:rsid w:val="00C25047"/>
    <w:rsid w:val="00C251DA"/>
    <w:rsid w:val="00C27791"/>
    <w:rsid w:val="00C30A3C"/>
    <w:rsid w:val="00C30B95"/>
    <w:rsid w:val="00C3101B"/>
    <w:rsid w:val="00C3184E"/>
    <w:rsid w:val="00C338C5"/>
    <w:rsid w:val="00C40BDE"/>
    <w:rsid w:val="00C47142"/>
    <w:rsid w:val="00C53997"/>
    <w:rsid w:val="00C54F55"/>
    <w:rsid w:val="00C602A1"/>
    <w:rsid w:val="00C602AB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2B54"/>
    <w:rsid w:val="00C83B40"/>
    <w:rsid w:val="00C841B9"/>
    <w:rsid w:val="00C87975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36C"/>
    <w:rsid w:val="00CC3661"/>
    <w:rsid w:val="00CC390C"/>
    <w:rsid w:val="00CC4D69"/>
    <w:rsid w:val="00CD107B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0E9F"/>
    <w:rsid w:val="00D115AF"/>
    <w:rsid w:val="00D12322"/>
    <w:rsid w:val="00D1292F"/>
    <w:rsid w:val="00D12C28"/>
    <w:rsid w:val="00D12C7B"/>
    <w:rsid w:val="00D14247"/>
    <w:rsid w:val="00D143F6"/>
    <w:rsid w:val="00D16119"/>
    <w:rsid w:val="00D16A9D"/>
    <w:rsid w:val="00D20CD4"/>
    <w:rsid w:val="00D22517"/>
    <w:rsid w:val="00D22D5C"/>
    <w:rsid w:val="00D2593D"/>
    <w:rsid w:val="00D26E22"/>
    <w:rsid w:val="00D27315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3C05"/>
    <w:rsid w:val="00D55979"/>
    <w:rsid w:val="00D57D8C"/>
    <w:rsid w:val="00D618AC"/>
    <w:rsid w:val="00D63C78"/>
    <w:rsid w:val="00D63CD7"/>
    <w:rsid w:val="00D70AFD"/>
    <w:rsid w:val="00D769B3"/>
    <w:rsid w:val="00D76CF3"/>
    <w:rsid w:val="00D805D1"/>
    <w:rsid w:val="00D80A4C"/>
    <w:rsid w:val="00D8149F"/>
    <w:rsid w:val="00D83773"/>
    <w:rsid w:val="00D83981"/>
    <w:rsid w:val="00D84B84"/>
    <w:rsid w:val="00D869E4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0EBD"/>
    <w:rsid w:val="00DD1384"/>
    <w:rsid w:val="00DD69AB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734"/>
    <w:rsid w:val="00E2683D"/>
    <w:rsid w:val="00E27750"/>
    <w:rsid w:val="00E301FE"/>
    <w:rsid w:val="00E32416"/>
    <w:rsid w:val="00E32463"/>
    <w:rsid w:val="00E32DE7"/>
    <w:rsid w:val="00E330AE"/>
    <w:rsid w:val="00E34D4D"/>
    <w:rsid w:val="00E34DC8"/>
    <w:rsid w:val="00E36BB4"/>
    <w:rsid w:val="00E37220"/>
    <w:rsid w:val="00E37793"/>
    <w:rsid w:val="00E41191"/>
    <w:rsid w:val="00E467A8"/>
    <w:rsid w:val="00E47D5A"/>
    <w:rsid w:val="00E5075A"/>
    <w:rsid w:val="00E50BBE"/>
    <w:rsid w:val="00E51A2E"/>
    <w:rsid w:val="00E528E0"/>
    <w:rsid w:val="00E5332A"/>
    <w:rsid w:val="00E57B2A"/>
    <w:rsid w:val="00E605F0"/>
    <w:rsid w:val="00E66E13"/>
    <w:rsid w:val="00E705E9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26F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E6944"/>
    <w:rsid w:val="00EF5D90"/>
    <w:rsid w:val="00EF6791"/>
    <w:rsid w:val="00EF6E54"/>
    <w:rsid w:val="00EF77EF"/>
    <w:rsid w:val="00F010C2"/>
    <w:rsid w:val="00F01466"/>
    <w:rsid w:val="00F0291C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4005C"/>
    <w:rsid w:val="00F43E58"/>
    <w:rsid w:val="00F463A9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63D1"/>
    <w:rsid w:val="00F77260"/>
    <w:rsid w:val="00F80208"/>
    <w:rsid w:val="00F818E8"/>
    <w:rsid w:val="00F84602"/>
    <w:rsid w:val="00F84FB7"/>
    <w:rsid w:val="00F85331"/>
    <w:rsid w:val="00F85CEF"/>
    <w:rsid w:val="00F87DFC"/>
    <w:rsid w:val="00F90561"/>
    <w:rsid w:val="00F90A14"/>
    <w:rsid w:val="00F94071"/>
    <w:rsid w:val="00F9582A"/>
    <w:rsid w:val="00F95A2A"/>
    <w:rsid w:val="00F97513"/>
    <w:rsid w:val="00FA433B"/>
    <w:rsid w:val="00FA477C"/>
    <w:rsid w:val="00FB0707"/>
    <w:rsid w:val="00FB0B89"/>
    <w:rsid w:val="00FB1E59"/>
    <w:rsid w:val="00FB4951"/>
    <w:rsid w:val="00FB62A3"/>
    <w:rsid w:val="00FB6855"/>
    <w:rsid w:val="00FB6874"/>
    <w:rsid w:val="00FC3D94"/>
    <w:rsid w:val="00FC42B3"/>
    <w:rsid w:val="00FC6084"/>
    <w:rsid w:val="00FD32E2"/>
    <w:rsid w:val="00FD3CA9"/>
    <w:rsid w:val="00FD6111"/>
    <w:rsid w:val="00FD7BA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75E1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75E1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75E1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75E1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75E1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75E1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75E1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75E1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75E1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75E1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B75E1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B75E17"/>
    <w:rPr>
      <w:rFonts w:ascii="Cambria" w:hAnsi="Cambria"/>
      <w:sz w:val="22"/>
      <w:szCs w:val="22"/>
      <w:lang w:val="ru-RU" w:eastAsia="x-none"/>
    </w:rPr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B75E1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B75E1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rsid w:val="00B75E17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B75E17"/>
    <w:rPr>
      <w:rFonts w:ascii="Times New Roman Bold" w:hAnsi="Times New Roman Bold"/>
      <w:b/>
      <w:sz w:val="18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B75E17"/>
    <w:rPr>
      <w:rFonts w:ascii="Times New Roman" w:hAnsi="Times New Roman" w:cs="Times New Roman"/>
      <w:b/>
    </w:rPr>
  </w:style>
  <w:style w:type="character" w:customStyle="1" w:styleId="Appref">
    <w:name w:val="App_ref"/>
    <w:rsid w:val="00B75E17"/>
    <w:rPr>
      <w:rFonts w:cs="Times New Roman"/>
    </w:rPr>
  </w:style>
  <w:style w:type="paragraph" w:customStyle="1" w:styleId="Figure">
    <w:name w:val="Figure"/>
    <w:basedOn w:val="Normal"/>
    <w:next w:val="Normal"/>
    <w:rsid w:val="00B75E17"/>
    <w:pPr>
      <w:keepNext/>
      <w:keepLines/>
      <w:jc w:val="center"/>
    </w:pPr>
  </w:style>
  <w:style w:type="paragraph" w:customStyle="1" w:styleId="FooterQP">
    <w:name w:val="Footer_QP"/>
    <w:basedOn w:val="Normal"/>
    <w:rsid w:val="00B75E1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B75E1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B75E1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75E1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75E1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B75E1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B75E17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rsid w:val="00B75E17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B75E1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B75E1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B75E1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75E17"/>
  </w:style>
  <w:style w:type="character" w:customStyle="1" w:styleId="ChaptitleChar">
    <w:name w:val="Chap_title Char"/>
    <w:link w:val="Chaptitle"/>
    <w:locked/>
    <w:rsid w:val="00B75E17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rsid w:val="00B75E17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75E1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B75E1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B75E17"/>
  </w:style>
  <w:style w:type="paragraph" w:customStyle="1" w:styleId="Questionref">
    <w:name w:val="Question_ref"/>
    <w:basedOn w:val="Recref"/>
    <w:next w:val="Questiondate"/>
    <w:rsid w:val="00B75E17"/>
  </w:style>
  <w:style w:type="paragraph" w:customStyle="1" w:styleId="Recref">
    <w:name w:val="Rec_ref"/>
    <w:basedOn w:val="Rectitle"/>
    <w:next w:val="Normal"/>
    <w:rsid w:val="00B75E17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0"/>
    <w:rsid w:val="00B75E17"/>
  </w:style>
  <w:style w:type="paragraph" w:customStyle="1" w:styleId="Recdate">
    <w:name w:val="Rec_date"/>
    <w:basedOn w:val="Recref"/>
    <w:next w:val="Normalaftertitle0"/>
    <w:rsid w:val="00B75E17"/>
    <w:pPr>
      <w:jc w:val="right"/>
    </w:pPr>
    <w:rPr>
      <w:sz w:val="22"/>
    </w:rPr>
  </w:style>
  <w:style w:type="paragraph" w:customStyle="1" w:styleId="Normalaftertitle0">
    <w:name w:val="Normal after title"/>
    <w:basedOn w:val="Normal"/>
    <w:next w:val="Normal"/>
    <w:link w:val="NormalaftertitleChar"/>
    <w:rsid w:val="00B75E17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B75E17"/>
    <w:rPr>
      <w:rFonts w:ascii="Times New Roman" w:hAnsi="Times New Roman"/>
      <w:sz w:val="22"/>
      <w:lang w:val="ru-RU" w:eastAsia="en-US"/>
    </w:rPr>
  </w:style>
  <w:style w:type="character" w:styleId="EndnoteReference">
    <w:name w:val="endnote reference"/>
    <w:rsid w:val="00B75E1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75E1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rsid w:val="00B75E1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75E17"/>
    <w:pPr>
      <w:ind w:left="1871" w:hanging="737"/>
    </w:pPr>
  </w:style>
  <w:style w:type="character" w:customStyle="1" w:styleId="enumlev2Char">
    <w:name w:val="enumlev2 Char"/>
    <w:link w:val="enumlev2"/>
    <w:locked/>
    <w:rsid w:val="00B75E1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B75E17"/>
    <w:pPr>
      <w:ind w:left="2268" w:hanging="397"/>
    </w:pPr>
  </w:style>
  <w:style w:type="paragraph" w:customStyle="1" w:styleId="Equation">
    <w:name w:val="Equation"/>
    <w:basedOn w:val="Normal"/>
    <w:link w:val="EquationChar"/>
    <w:rsid w:val="00B75E1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B75E17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B75E1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75E17"/>
    <w:pPr>
      <w:ind w:left="1134"/>
    </w:pPr>
  </w:style>
  <w:style w:type="paragraph" w:customStyle="1" w:styleId="Figurelegend">
    <w:name w:val="Figure_legend"/>
    <w:basedOn w:val="Normal"/>
    <w:rsid w:val="00B75E17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B75E17"/>
  </w:style>
  <w:style w:type="paragraph" w:customStyle="1" w:styleId="Repref">
    <w:name w:val="Rep_ref"/>
    <w:basedOn w:val="Recref"/>
    <w:next w:val="Repdate"/>
    <w:rsid w:val="00B75E17"/>
  </w:style>
  <w:style w:type="paragraph" w:customStyle="1" w:styleId="Repdate">
    <w:name w:val="Rep_date"/>
    <w:basedOn w:val="Recdate"/>
    <w:next w:val="Normalaftertitle0"/>
    <w:rsid w:val="00B75E17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B75E17"/>
  </w:style>
  <w:style w:type="paragraph" w:customStyle="1" w:styleId="Resref">
    <w:name w:val="Res_ref"/>
    <w:basedOn w:val="Recref"/>
    <w:next w:val="Resdate"/>
    <w:rsid w:val="00B75E17"/>
  </w:style>
  <w:style w:type="paragraph" w:customStyle="1" w:styleId="Resdate">
    <w:name w:val="Res_date"/>
    <w:basedOn w:val="Recdate"/>
    <w:next w:val="Normalaftertitle0"/>
    <w:rsid w:val="00B75E17"/>
  </w:style>
  <w:style w:type="character" w:customStyle="1" w:styleId="RestitleChar">
    <w:name w:val="Res_title Char"/>
    <w:link w:val="Restitle"/>
    <w:locked/>
    <w:rsid w:val="00B75E1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B75E1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B75E17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B75E17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B75E1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B75E17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B75E1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B75E1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75E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B75E1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75E1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B75E17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link w:val="NoteChar"/>
    <w:rsid w:val="00B75E1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B75E17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B75E1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B75E17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B75E1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B75E1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B75E1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75E17"/>
  </w:style>
  <w:style w:type="paragraph" w:styleId="Index2">
    <w:name w:val="index 2"/>
    <w:basedOn w:val="Normal"/>
    <w:next w:val="Normal"/>
    <w:rsid w:val="00B75E17"/>
    <w:pPr>
      <w:ind w:left="283"/>
    </w:pPr>
  </w:style>
  <w:style w:type="paragraph" w:styleId="Index3">
    <w:name w:val="index 3"/>
    <w:basedOn w:val="Normal"/>
    <w:next w:val="Normal"/>
    <w:rsid w:val="00B75E17"/>
    <w:pPr>
      <w:ind w:left="566"/>
    </w:pPr>
  </w:style>
  <w:style w:type="paragraph" w:customStyle="1" w:styleId="Section2">
    <w:name w:val="Section_2"/>
    <w:basedOn w:val="Section1"/>
    <w:link w:val="Section2Char"/>
    <w:rsid w:val="00B75E17"/>
    <w:rPr>
      <w:b w:val="0"/>
      <w:i/>
    </w:rPr>
  </w:style>
  <w:style w:type="character" w:customStyle="1" w:styleId="Section2Char">
    <w:name w:val="Section_2 Char"/>
    <w:link w:val="Section2"/>
    <w:locked/>
    <w:rsid w:val="00B75E17"/>
    <w:rPr>
      <w:rFonts w:ascii="Times New Roman" w:hAnsi="Times New Roman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B75E17"/>
  </w:style>
  <w:style w:type="paragraph" w:customStyle="1" w:styleId="AnnexNo">
    <w:name w:val="Annex_No"/>
    <w:basedOn w:val="Normal"/>
    <w:next w:val="Normal"/>
    <w:link w:val="AnnexNoChar"/>
    <w:rsid w:val="00B75E1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B75E17"/>
  </w:style>
  <w:style w:type="paragraph" w:customStyle="1" w:styleId="Annexref">
    <w:name w:val="Annex_ref"/>
    <w:basedOn w:val="Normal"/>
    <w:next w:val="Normal"/>
    <w:rsid w:val="00B75E17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B75E17"/>
  </w:style>
  <w:style w:type="paragraph" w:customStyle="1" w:styleId="Annextitle">
    <w:name w:val="Annex_title"/>
    <w:basedOn w:val="Normal"/>
    <w:next w:val="Normal"/>
    <w:link w:val="AnnextitleChar1"/>
    <w:rsid w:val="00B75E1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B75E17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B75E17"/>
  </w:style>
  <w:style w:type="character" w:customStyle="1" w:styleId="Recdef">
    <w:name w:val="Rec_def"/>
    <w:rsid w:val="00B75E17"/>
    <w:rPr>
      <w:rFonts w:cs="Times New Roman"/>
      <w:b/>
    </w:rPr>
  </w:style>
  <w:style w:type="paragraph" w:customStyle="1" w:styleId="Reftext">
    <w:name w:val="Ref_text"/>
    <w:basedOn w:val="Normal"/>
    <w:rsid w:val="00B75E17"/>
    <w:pPr>
      <w:ind w:left="1134" w:hanging="1134"/>
    </w:pPr>
  </w:style>
  <w:style w:type="paragraph" w:customStyle="1" w:styleId="Reftitle">
    <w:name w:val="Ref_title"/>
    <w:basedOn w:val="Normal"/>
    <w:next w:val="Reftext"/>
    <w:rsid w:val="00B75E17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B75E17"/>
  </w:style>
  <w:style w:type="character" w:customStyle="1" w:styleId="Resdef">
    <w:name w:val="Res_def"/>
    <w:rsid w:val="00B75E1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75E17"/>
  </w:style>
  <w:style w:type="character" w:customStyle="1" w:styleId="ResNoChar">
    <w:name w:val="Res_No Char"/>
    <w:link w:val="Res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B75E17"/>
  </w:style>
  <w:style w:type="paragraph" w:customStyle="1" w:styleId="Sectiontitle">
    <w:name w:val="Section_title"/>
    <w:basedOn w:val="Annextitle"/>
    <w:next w:val="Normalaftertitle0"/>
    <w:rsid w:val="00B75E17"/>
  </w:style>
  <w:style w:type="paragraph" w:customStyle="1" w:styleId="Source">
    <w:name w:val="Source"/>
    <w:basedOn w:val="Normal"/>
    <w:next w:val="Normal"/>
    <w:link w:val="SourceChar"/>
    <w:rsid w:val="00B75E1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B75E17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B75E1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B75E17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B75E17"/>
    <w:pPr>
      <w:spacing w:before="120"/>
    </w:pPr>
  </w:style>
  <w:style w:type="paragraph" w:customStyle="1" w:styleId="Tableref">
    <w:name w:val="Table_ref"/>
    <w:basedOn w:val="Normal"/>
    <w:next w:val="Tabletitle"/>
    <w:rsid w:val="00B75E17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809A7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8809A7"/>
    <w:rPr>
      <w:rFonts w:ascii="Times New Roman Bold" w:hAnsi="Times New Roman Bold"/>
      <w:b/>
      <w:sz w:val="22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B75E1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75E1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link w:val="Title1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B75E1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75E17"/>
    <w:rPr>
      <w:b/>
    </w:rPr>
  </w:style>
  <w:style w:type="paragraph" w:customStyle="1" w:styleId="toc0">
    <w:name w:val="toc 0"/>
    <w:basedOn w:val="Normal"/>
    <w:next w:val="TOC1"/>
    <w:rsid w:val="00B75E1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75E1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75E17"/>
    <w:pPr>
      <w:spacing w:before="120"/>
    </w:pPr>
  </w:style>
  <w:style w:type="paragraph" w:styleId="TOC3">
    <w:name w:val="toc 3"/>
    <w:basedOn w:val="TOC2"/>
    <w:rsid w:val="00B75E17"/>
  </w:style>
  <w:style w:type="paragraph" w:styleId="TOC4">
    <w:name w:val="toc 4"/>
    <w:basedOn w:val="TOC3"/>
    <w:rsid w:val="00B75E17"/>
  </w:style>
  <w:style w:type="paragraph" w:styleId="TOC5">
    <w:name w:val="toc 5"/>
    <w:basedOn w:val="TOC4"/>
    <w:rsid w:val="00B75E17"/>
  </w:style>
  <w:style w:type="paragraph" w:styleId="TOC6">
    <w:name w:val="toc 6"/>
    <w:basedOn w:val="TOC4"/>
    <w:rsid w:val="00B75E17"/>
  </w:style>
  <w:style w:type="paragraph" w:styleId="TOC7">
    <w:name w:val="toc 7"/>
    <w:basedOn w:val="TOC4"/>
    <w:rsid w:val="00B75E17"/>
  </w:style>
  <w:style w:type="paragraph" w:styleId="TOC8">
    <w:name w:val="toc 8"/>
    <w:basedOn w:val="TOC4"/>
    <w:rsid w:val="00B75E17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09A7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link w:val="TableNo"/>
    <w:locked/>
    <w:rsid w:val="008809A7"/>
    <w:rPr>
      <w:rFonts w:ascii="Times New Roman" w:hAnsi="Times New Roman"/>
      <w:caps/>
      <w:sz w:val="22"/>
      <w:lang w:val="ru-RU" w:eastAsia="en-US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B75E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4602B"/>
    <w:rPr>
      <w:color w:val="606420"/>
      <w:u w:val="single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B75E17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paragraph" w:customStyle="1" w:styleId="Reasons">
    <w:name w:val="Reasons"/>
    <w:basedOn w:val="Normal"/>
    <w:link w:val="ReasonsChar"/>
    <w:qFormat/>
    <w:rsid w:val="00B75E1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B75E17"/>
    <w:rPr>
      <w:rFonts w:ascii="Times New Roman" w:hAnsi="Times New Roman"/>
      <w:sz w:val="22"/>
      <w:lang w:val="ru-RU" w:eastAsia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paragraph" w:customStyle="1" w:styleId="Agendaitem">
    <w:name w:val="Agenda_item"/>
    <w:basedOn w:val="Title3"/>
    <w:next w:val="Normal"/>
    <w:qFormat/>
    <w:rsid w:val="00B75E17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B75E17"/>
  </w:style>
  <w:style w:type="paragraph" w:customStyle="1" w:styleId="AppArttitle">
    <w:name w:val="App_Art_title"/>
    <w:basedOn w:val="Arttitle"/>
    <w:next w:val="Normal"/>
    <w:qFormat/>
    <w:rsid w:val="00B75E17"/>
  </w:style>
  <w:style w:type="paragraph" w:customStyle="1" w:styleId="AppendixNo">
    <w:name w:val="Appendix_No"/>
    <w:basedOn w:val="AnnexNo"/>
    <w:next w:val="Annexref"/>
    <w:link w:val="AppendixNoCar"/>
    <w:rsid w:val="00B75E17"/>
  </w:style>
  <w:style w:type="character" w:customStyle="1" w:styleId="AppendixNoCar">
    <w:name w:val="Appendix_No Car"/>
    <w:link w:val="AppendixNo"/>
    <w:locked/>
    <w:rsid w:val="00B75E1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75E17"/>
    <w:rPr>
      <w:lang w:val="en-GB"/>
    </w:rPr>
  </w:style>
  <w:style w:type="paragraph" w:customStyle="1" w:styleId="Appendixref">
    <w:name w:val="Appendix_ref"/>
    <w:basedOn w:val="Annexref"/>
    <w:next w:val="Annextitle"/>
    <w:rsid w:val="00B75E17"/>
  </w:style>
  <w:style w:type="paragraph" w:customStyle="1" w:styleId="Appendixtitle">
    <w:name w:val="Appendix_title"/>
    <w:basedOn w:val="Annextitle"/>
    <w:next w:val="Normal"/>
    <w:link w:val="AppendixtitleChar"/>
    <w:rsid w:val="00B75E17"/>
  </w:style>
  <w:style w:type="character" w:customStyle="1" w:styleId="AppendixtitleChar">
    <w:name w:val="Appendix_title Char"/>
    <w:link w:val="Appendixtitle"/>
    <w:locked/>
    <w:rsid w:val="00B75E17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B75E17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B75E1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Figuretitle">
    <w:name w:val="Figure_title"/>
    <w:basedOn w:val="Tabletitle"/>
    <w:next w:val="Normal"/>
    <w:link w:val="FiguretitleChar"/>
    <w:rsid w:val="00B75E17"/>
    <w:pPr>
      <w:spacing w:after="480"/>
    </w:pPr>
  </w:style>
  <w:style w:type="character" w:customStyle="1" w:styleId="FiguretitleChar">
    <w:name w:val="Figure_title Char"/>
    <w:link w:val="Figuretitle"/>
    <w:locked/>
    <w:rsid w:val="00B75E17"/>
    <w:rPr>
      <w:rFonts w:ascii="Times New Roman Bold" w:hAnsi="Times New Roman Bold"/>
      <w:b/>
      <w:sz w:val="18"/>
      <w:lang w:val="ru-RU" w:eastAsia="en-US"/>
    </w:rPr>
  </w:style>
  <w:style w:type="paragraph" w:styleId="Index4">
    <w:name w:val="index 4"/>
    <w:basedOn w:val="Normal"/>
    <w:next w:val="Normal"/>
    <w:rsid w:val="00B75E17"/>
    <w:pPr>
      <w:ind w:left="849"/>
    </w:pPr>
  </w:style>
  <w:style w:type="paragraph" w:styleId="Index5">
    <w:name w:val="index 5"/>
    <w:basedOn w:val="Normal"/>
    <w:next w:val="Normal"/>
    <w:rsid w:val="00B75E17"/>
    <w:pPr>
      <w:ind w:left="1132"/>
    </w:pPr>
  </w:style>
  <w:style w:type="paragraph" w:styleId="Index6">
    <w:name w:val="index 6"/>
    <w:basedOn w:val="Normal"/>
    <w:next w:val="Normal"/>
    <w:rsid w:val="00B75E17"/>
    <w:pPr>
      <w:ind w:left="1415"/>
    </w:pPr>
  </w:style>
  <w:style w:type="paragraph" w:styleId="Index7">
    <w:name w:val="index 7"/>
    <w:basedOn w:val="Normal"/>
    <w:next w:val="Normal"/>
    <w:rsid w:val="00B75E17"/>
    <w:pPr>
      <w:ind w:left="1698"/>
    </w:pPr>
  </w:style>
  <w:style w:type="paragraph" w:styleId="IndexHeading">
    <w:name w:val="index heading"/>
    <w:basedOn w:val="Normal"/>
    <w:next w:val="Index1"/>
    <w:rsid w:val="00B75E17"/>
  </w:style>
  <w:style w:type="character" w:styleId="LineNumber">
    <w:name w:val="line number"/>
    <w:rsid w:val="00B75E17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B75E17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B75E17"/>
    <w:pPr>
      <w:keepNext/>
      <w:spacing w:before="240"/>
    </w:pPr>
  </w:style>
  <w:style w:type="character" w:customStyle="1" w:styleId="ProposalChar">
    <w:name w:val="Proposal Char"/>
    <w:link w:val="Proposal"/>
    <w:locked/>
    <w:rsid w:val="00B75E17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75E17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75E17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75E17"/>
    <w:rPr>
      <w:lang w:val="en-GB"/>
    </w:rPr>
  </w:style>
  <w:style w:type="paragraph" w:customStyle="1" w:styleId="Tablefin">
    <w:name w:val="Table_fin"/>
    <w:basedOn w:val="Normal"/>
    <w:rsid w:val="00B75E17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B75E1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75E1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75E1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B75E17"/>
    <w:pPr>
      <w:jc w:val="center"/>
    </w:pPr>
    <w:rPr>
      <w:b/>
      <w:bCs/>
      <w:sz w:val="26"/>
      <w:szCs w:val="28"/>
      <w:lang w:val="en-GB"/>
    </w:rPr>
  </w:style>
  <w:style w:type="paragraph" w:customStyle="1" w:styleId="Part1">
    <w:name w:val="Part_1"/>
    <w:basedOn w:val="Subsection1"/>
    <w:next w:val="Section1"/>
    <w:qFormat/>
    <w:rsid w:val="00B82873"/>
  </w:style>
  <w:style w:type="paragraph" w:customStyle="1" w:styleId="Default">
    <w:name w:val="Default"/>
    <w:rsid w:val="00B82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287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B8287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observation1">
    <w:name w:val="observation1"/>
    <w:rsid w:val="00B82873"/>
    <w:rPr>
      <w:rFonts w:ascii="Trebuchet MS" w:hAnsi="Trebuchet MS" w:hint="default"/>
      <w:strike w:val="0"/>
      <w:dstrike w:val="0"/>
      <w:color w:val="283C6C"/>
      <w:sz w:val="14"/>
      <w:szCs w:val="14"/>
      <w:u w:val="none"/>
      <w:effect w:val="none"/>
    </w:rPr>
  </w:style>
  <w:style w:type="paragraph" w:customStyle="1" w:styleId="Committee">
    <w:name w:val="Committee"/>
    <w:basedOn w:val="Normal"/>
    <w:qFormat/>
    <w:rsid w:val="00B8287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5E134D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RES-R.4" TargetMode="External"/><Relationship Id="rId18" Type="http://schemas.openxmlformats.org/officeDocument/2006/relationships/hyperlink" Target="http://www.itu.int/pub/R-RES-R.67" TargetMode="External"/><Relationship Id="rId26" Type="http://schemas.openxmlformats.org/officeDocument/2006/relationships/hyperlink" Target="http://www.itu.int/ipr" TargetMode="External"/><Relationship Id="rId39" Type="http://schemas.openxmlformats.org/officeDocument/2006/relationships/footer" Target="footer5.xml"/><Relationship Id="rId21" Type="http://schemas.openxmlformats.org/officeDocument/2006/relationships/hyperlink" Target="http://www.itu.int/md/R15-WRC15-C-0216/" TargetMode="External"/><Relationship Id="rId34" Type="http://schemas.openxmlformats.org/officeDocument/2006/relationships/footer" Target="footer2.xml"/><Relationship Id="rId42" Type="http://schemas.openxmlformats.org/officeDocument/2006/relationships/hyperlink" Target="http://www.itu.int/en/ITU-R" TargetMode="External"/><Relationship Id="rId47" Type="http://schemas.openxmlformats.org/officeDocument/2006/relationships/hyperlink" Target="http://www.itu.int/net/pressoffice/press_releases/2015/CM04.aspx" TargetMode="External"/><Relationship Id="rId50" Type="http://schemas.openxmlformats.org/officeDocument/2006/relationships/hyperlink" Target="http://www.itu.int/net/pressoffice/press_releases/2015/19.aspx" TargetMode="External"/><Relationship Id="rId55" Type="http://schemas.openxmlformats.org/officeDocument/2006/relationships/hyperlink" Target="http://www.itu.int/en/newsroom/wrc15/Pages/default.aspx" TargetMode="External"/><Relationship Id="rId63" Type="http://schemas.openxmlformats.org/officeDocument/2006/relationships/footer" Target="footer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RES-R.65" TargetMode="External"/><Relationship Id="rId20" Type="http://schemas.openxmlformats.org/officeDocument/2006/relationships/hyperlink" Target="http://www.itu.int/pub/R-RES-R.69" TargetMode="External"/><Relationship Id="rId29" Type="http://schemas.openxmlformats.org/officeDocument/2006/relationships/hyperlink" Target="http://www.itu.int/ITUR/go/seminars" TargetMode="External"/><Relationship Id="rId41" Type="http://schemas.openxmlformats.org/officeDocument/2006/relationships/hyperlink" Target="http://www.itu.int/en/ITU-R/terrestrial/workshops/trainingCITEL/Pages/default.aspx" TargetMode="External"/><Relationship Id="rId54" Type="http://schemas.openxmlformats.org/officeDocument/2006/relationships/hyperlink" Target="http://www.itu.int/en/newsroom/wrc15/Pages/default.aspx" TargetMode="External"/><Relationship Id="rId62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" TargetMode="External"/><Relationship Id="rId24" Type="http://schemas.openxmlformats.org/officeDocument/2006/relationships/hyperlink" Target="http://www.itu.int/md/R00-CA-CIR-0226/en" TargetMode="External"/><Relationship Id="rId32" Type="http://schemas.openxmlformats.org/officeDocument/2006/relationships/header" Target="header2.xml"/><Relationship Id="rId37" Type="http://schemas.openxmlformats.org/officeDocument/2006/relationships/hyperlink" Target="http://www.itu.int/ITU-R/go/seminars" TargetMode="External"/><Relationship Id="rId40" Type="http://schemas.openxmlformats.org/officeDocument/2006/relationships/footer" Target="footer6.xml"/><Relationship Id="rId45" Type="http://schemas.openxmlformats.org/officeDocument/2006/relationships/hyperlink" Target="https://twitter.com/ITU_R" TargetMode="External"/><Relationship Id="rId53" Type="http://schemas.openxmlformats.org/officeDocument/2006/relationships/hyperlink" Target="http://www.itu.int/net/pressoffice/press_releases/2015/47.aspx" TargetMode="External"/><Relationship Id="rId58" Type="http://schemas.openxmlformats.org/officeDocument/2006/relationships/hyperlink" Target="http://www.itu.int/net/pressoffice/press_releases/2015/56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RES-R.55" TargetMode="External"/><Relationship Id="rId23" Type="http://schemas.openxmlformats.org/officeDocument/2006/relationships/hyperlink" Target="http://www.itu.int/en/ITUR/conferences/wrc/2015" TargetMode="External"/><Relationship Id="rId28" Type="http://schemas.openxmlformats.org/officeDocument/2006/relationships/hyperlink" Target="https://extranet.itu.int/brdocsearch/" TargetMode="External"/><Relationship Id="rId36" Type="http://schemas.openxmlformats.org/officeDocument/2006/relationships/footer" Target="footer4.xml"/><Relationship Id="rId49" Type="http://schemas.openxmlformats.org/officeDocument/2006/relationships/hyperlink" Target="http://www.itu.int/net/pressoffice/press_releases/2015/25.aspx" TargetMode="External"/><Relationship Id="rId57" Type="http://schemas.openxmlformats.org/officeDocument/2006/relationships/hyperlink" Target="http://www.itu.int/net/pressoffice/press_releases/2015/49.aspx" TargetMode="External"/><Relationship Id="rId61" Type="http://schemas.openxmlformats.org/officeDocument/2006/relationships/hyperlink" Target="http://www.itu.int/en/ITUR/Pages/default.aspx" TargetMode="External"/><Relationship Id="rId10" Type="http://schemas.openxmlformats.org/officeDocument/2006/relationships/hyperlink" Target="http://www.itu.int/md/R00-CA-CIR-0227/en" TargetMode="External"/><Relationship Id="rId19" Type="http://schemas.openxmlformats.org/officeDocument/2006/relationships/hyperlink" Target="http://www.itu.int/pub/R-RES-R.68" TargetMode="External"/><Relationship Id="rId31" Type="http://schemas.openxmlformats.org/officeDocument/2006/relationships/header" Target="header1.xml"/><Relationship Id="rId44" Type="http://schemas.openxmlformats.org/officeDocument/2006/relationships/hyperlink" Target="file:///C:\Users\svechnik\Desktop\&#1089;&#1086;&#1094;&#1080;&#1072;&#1083;&#1100;&#1085;&#1099;&#1093;%20&#1089;&#1077;&#1090;&#1103;&#1093;" TargetMode="External"/><Relationship Id="rId52" Type="http://schemas.openxmlformats.org/officeDocument/2006/relationships/hyperlink" Target="http://www.itu.int/net/pressoffice/press_releases/2015/27.aspx" TargetMode="External"/><Relationship Id="rId60" Type="http://schemas.openxmlformats.org/officeDocument/2006/relationships/hyperlink" Target="https://twitter.com/hashtag/wrc15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pub/R-RES-R.5" TargetMode="External"/><Relationship Id="rId22" Type="http://schemas.openxmlformats.org/officeDocument/2006/relationships/hyperlink" Target="http://www.itu.int/en/ITU-R/conferences/wrc/2015/irwsp/2015/Pages/default.aspx" TargetMode="External"/><Relationship Id="rId27" Type="http://schemas.openxmlformats.org/officeDocument/2006/relationships/hyperlink" Target="http://www.itu.int/pub/R-REG-RRX" TargetMode="External"/><Relationship Id="rId30" Type="http://schemas.openxmlformats.org/officeDocument/2006/relationships/hyperlink" Target="http://www.itu.int/ITUR/go/seminars" TargetMode="External"/><Relationship Id="rId35" Type="http://schemas.openxmlformats.org/officeDocument/2006/relationships/footer" Target="footer3.xml"/><Relationship Id="rId43" Type="http://schemas.openxmlformats.org/officeDocument/2006/relationships/hyperlink" Target="http://www.itu.int/en/ITU-R" TargetMode="External"/><Relationship Id="rId48" Type="http://schemas.openxmlformats.org/officeDocument/2006/relationships/hyperlink" Target="http://www.itu.int/net/pressoffice/press_releases/2015/08.aspx" TargetMode="External"/><Relationship Id="rId56" Type="http://schemas.openxmlformats.org/officeDocument/2006/relationships/hyperlink" Target="http://www.itu.int/en/itunews/Documents/2015_ITUNews05-en.pdf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://www.itu.int/en/ITU-R/seminars/Pages/defaul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en/ITU-R/conferences/RA/2015" TargetMode="External"/><Relationship Id="rId17" Type="http://schemas.openxmlformats.org/officeDocument/2006/relationships/hyperlink" Target="http://www.itu.int/pub/R-RES-R.66" TargetMode="External"/><Relationship Id="rId25" Type="http://schemas.openxmlformats.org/officeDocument/2006/relationships/hyperlink" Target="http://www.itu.int/oth/R0B05000019/en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itu.int/en/ITU-R/space/workshops/2015-prague-small-sat/Documents/Prague%20Declaration.pdf" TargetMode="External"/><Relationship Id="rId46" Type="http://schemas.openxmlformats.org/officeDocument/2006/relationships/hyperlink" Target="http://www.itu.int/net/pressoffice/press_releases/2015/Advisory-01.aspx" TargetMode="External"/><Relationship Id="rId59" Type="http://schemas.openxmlformats.org/officeDocument/2006/relationships/hyperlink" Target="https://twitter.com/hashtag/wrc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060B-6053-4E01-BC3E-FF9C503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39</TotalTime>
  <Pages>33</Pages>
  <Words>12211</Words>
  <Characters>82701</Characters>
  <Application>Microsoft Office Word</Application>
  <DocSecurity>0</DocSecurity>
  <Lines>689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94723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Antipina, Nadezda</cp:lastModifiedBy>
  <cp:revision>4</cp:revision>
  <cp:lastPrinted>2016-04-18T13:32:00Z</cp:lastPrinted>
  <dcterms:created xsi:type="dcterms:W3CDTF">2016-04-22T08:52:00Z</dcterms:created>
  <dcterms:modified xsi:type="dcterms:W3CDTF">2016-04-22T10:22:00Z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