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1526"/>
        <w:gridCol w:w="5245"/>
        <w:gridCol w:w="1559"/>
        <w:gridCol w:w="1559"/>
      </w:tblGrid>
      <w:tr w:rsidR="00D95965" w:rsidTr="00D95965">
        <w:trPr>
          <w:cantSplit/>
        </w:trPr>
        <w:tc>
          <w:tcPr>
            <w:tcW w:w="1526" w:type="dxa"/>
            <w:vAlign w:val="center"/>
          </w:tcPr>
          <w:p w:rsidR="00D95965" w:rsidRPr="002D238A" w:rsidRDefault="00D95965" w:rsidP="00485972">
            <w:pPr>
              <w:shd w:val="solid" w:color="FFFFFF" w:fill="FFFFFF"/>
              <w:tabs>
                <w:tab w:val="clear" w:pos="794"/>
                <w:tab w:val="clear" w:pos="1191"/>
                <w:tab w:val="clear" w:pos="1588"/>
                <w:tab w:val="clear" w:pos="1985"/>
                <w:tab w:val="left" w:pos="510"/>
              </w:tabs>
              <w:spacing w:before="0" w:after="100" w:afterAutospacing="1"/>
              <w:rPr>
                <w:rFonts w:ascii="Verdana" w:hAnsi="Verdana"/>
                <w:b/>
                <w:bCs/>
              </w:rPr>
            </w:pPr>
            <w:r w:rsidRPr="002B0BE0">
              <w:rPr>
                <w:rFonts w:ascii="Verdana" w:hAnsi="Verdana" w:cs="Times New Roman Bold"/>
                <w:b/>
                <w:bCs/>
                <w:noProof/>
                <w:sz w:val="20"/>
                <w:szCs w:val="26"/>
                <w:lang w:val="en-US" w:eastAsia="zh-CN"/>
              </w:rPr>
              <w:drawing>
                <wp:inline distT="0" distB="0" distL="0" distR="0" wp14:anchorId="718357A6" wp14:editId="56C67C2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95965" w:rsidRPr="002D238A" w:rsidRDefault="00D95965" w:rsidP="00485972">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10</w:t>
            </w:r>
            <w:r w:rsidRPr="002D238A">
              <w:rPr>
                <w:rFonts w:ascii="Verdana" w:hAnsi="Verdana"/>
                <w:b/>
                <w:bCs/>
                <w:sz w:val="20"/>
              </w:rPr>
              <w:t>-</w:t>
            </w:r>
            <w:r>
              <w:rPr>
                <w:rFonts w:ascii="Verdana" w:hAnsi="Verdana"/>
                <w:b/>
                <w:bCs/>
                <w:sz w:val="20"/>
              </w:rPr>
              <w:t xml:space="preserve">13 mai </w:t>
            </w:r>
            <w:r w:rsidRPr="002D238A">
              <w:rPr>
                <w:rFonts w:ascii="Verdana" w:hAnsi="Verdana"/>
                <w:b/>
                <w:bCs/>
                <w:sz w:val="20"/>
              </w:rPr>
              <w:t>20</w:t>
            </w:r>
            <w:r>
              <w:rPr>
                <w:rFonts w:ascii="Verdana" w:hAnsi="Verdana"/>
                <w:b/>
                <w:bCs/>
                <w:sz w:val="20"/>
              </w:rPr>
              <w:t>16</w:t>
            </w:r>
          </w:p>
        </w:tc>
        <w:tc>
          <w:tcPr>
            <w:tcW w:w="1559" w:type="dxa"/>
          </w:tcPr>
          <w:p w:rsidR="00D95965" w:rsidRDefault="00D95965" w:rsidP="00485972">
            <w:pPr>
              <w:shd w:val="solid" w:color="FFFFFF" w:fill="FFFFFF"/>
              <w:spacing w:before="0"/>
              <w:jc w:val="right"/>
            </w:pPr>
            <w:r w:rsidRPr="00975D6F">
              <w:rPr>
                <w:rFonts w:cs="Arial"/>
                <w:noProof/>
                <w:lang w:val="en-US" w:eastAsia="zh-CN"/>
              </w:rPr>
              <w:drawing>
                <wp:inline distT="0" distB="0" distL="0" distR="0" wp14:anchorId="1A6006F7" wp14:editId="70F804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2D238A" w:rsidRPr="0051782D">
        <w:trPr>
          <w:cantSplit/>
        </w:trPr>
        <w:tc>
          <w:tcPr>
            <w:tcW w:w="6771" w:type="dxa"/>
            <w:gridSpan w:val="2"/>
            <w:tcBorders>
              <w:bottom w:val="single" w:sz="12" w:space="0" w:color="auto"/>
            </w:tcBorders>
          </w:tcPr>
          <w:p w:rsidR="002D238A" w:rsidRPr="0051782D" w:rsidRDefault="00C72A86" w:rsidP="00485972">
            <w:pPr>
              <w:shd w:val="solid" w:color="FFFFFF" w:fill="FFFFFF"/>
              <w:spacing w:before="0" w:after="48"/>
              <w:rPr>
                <w:rFonts w:ascii="Verdana" w:hAnsi="Verdana" w:cs="Times New Roman Bold"/>
                <w:b/>
                <w:sz w:val="22"/>
                <w:szCs w:val="22"/>
              </w:rPr>
            </w:pPr>
            <w:r w:rsidRPr="00642DBE">
              <w:rPr>
                <w:rFonts w:ascii="Verdana" w:hAnsi="Verdana"/>
                <w:b/>
                <w:bCs/>
                <w:sz w:val="20"/>
              </w:rPr>
              <w:t>UNION INTERNATIONALE DES TÉLÉCOMMUNICATIONS</w:t>
            </w:r>
          </w:p>
        </w:tc>
        <w:tc>
          <w:tcPr>
            <w:tcW w:w="3118" w:type="dxa"/>
            <w:gridSpan w:val="2"/>
            <w:tcBorders>
              <w:bottom w:val="single" w:sz="12" w:space="0" w:color="auto"/>
            </w:tcBorders>
          </w:tcPr>
          <w:p w:rsidR="002D238A" w:rsidRPr="0051782D" w:rsidRDefault="002D238A" w:rsidP="00485972">
            <w:pPr>
              <w:shd w:val="solid" w:color="FFFFFF" w:fill="FFFFFF"/>
              <w:spacing w:before="0" w:after="48"/>
              <w:rPr>
                <w:sz w:val="22"/>
                <w:szCs w:val="22"/>
                <w:lang w:val="en-US"/>
              </w:rPr>
            </w:pPr>
          </w:p>
        </w:tc>
      </w:tr>
      <w:tr w:rsidR="002D238A" w:rsidRPr="00710D66">
        <w:trPr>
          <w:cantSplit/>
        </w:trPr>
        <w:tc>
          <w:tcPr>
            <w:tcW w:w="6771" w:type="dxa"/>
            <w:gridSpan w:val="2"/>
            <w:tcBorders>
              <w:top w:val="single" w:sz="12" w:space="0" w:color="auto"/>
            </w:tcBorders>
          </w:tcPr>
          <w:p w:rsidR="002D238A" w:rsidRPr="0051782D" w:rsidRDefault="002D238A" w:rsidP="00485972">
            <w:pPr>
              <w:shd w:val="solid" w:color="FFFFFF" w:fill="FFFFFF"/>
              <w:spacing w:before="0" w:after="48"/>
              <w:rPr>
                <w:rFonts w:ascii="Verdana" w:hAnsi="Verdana" w:cs="Times New Roman Bold"/>
                <w:bCs/>
                <w:sz w:val="22"/>
                <w:szCs w:val="22"/>
              </w:rPr>
            </w:pPr>
          </w:p>
        </w:tc>
        <w:tc>
          <w:tcPr>
            <w:tcW w:w="3118" w:type="dxa"/>
            <w:gridSpan w:val="2"/>
            <w:tcBorders>
              <w:top w:val="single" w:sz="12" w:space="0" w:color="auto"/>
            </w:tcBorders>
          </w:tcPr>
          <w:p w:rsidR="002D238A" w:rsidRPr="002D238A" w:rsidRDefault="002D238A" w:rsidP="00485972">
            <w:pPr>
              <w:shd w:val="solid" w:color="FFFFFF" w:fill="FFFFFF"/>
              <w:spacing w:before="0" w:after="48"/>
              <w:rPr>
                <w:rFonts w:ascii="Verdana" w:hAnsi="Verdana"/>
                <w:sz w:val="22"/>
                <w:szCs w:val="22"/>
                <w:lang w:val="en-US"/>
              </w:rPr>
            </w:pPr>
          </w:p>
        </w:tc>
      </w:tr>
      <w:tr w:rsidR="002D238A" w:rsidRPr="002A127E">
        <w:trPr>
          <w:cantSplit/>
        </w:trPr>
        <w:tc>
          <w:tcPr>
            <w:tcW w:w="6771" w:type="dxa"/>
            <w:gridSpan w:val="2"/>
            <w:vMerge w:val="restart"/>
          </w:tcPr>
          <w:p w:rsidR="002D238A" w:rsidRDefault="002D238A" w:rsidP="00485972">
            <w:pPr>
              <w:shd w:val="solid" w:color="FFFFFF" w:fill="FFFFFF"/>
              <w:spacing w:after="240"/>
              <w:rPr>
                <w:sz w:val="20"/>
              </w:rPr>
            </w:pPr>
            <w:bookmarkStart w:id="0" w:name="dnum" w:colFirst="1" w:colLast="1"/>
          </w:p>
        </w:tc>
        <w:tc>
          <w:tcPr>
            <w:tcW w:w="3118" w:type="dxa"/>
            <w:gridSpan w:val="2"/>
          </w:tcPr>
          <w:p w:rsidR="002D238A" w:rsidRPr="00485972" w:rsidRDefault="00D5686A" w:rsidP="00485972">
            <w:pPr>
              <w:shd w:val="solid" w:color="FFFFFF" w:fill="FFFFFF"/>
              <w:spacing w:before="0"/>
              <w:rPr>
                <w:rFonts w:ascii="Verdana" w:hAnsi="Verdana"/>
                <w:sz w:val="20"/>
              </w:rPr>
            </w:pPr>
            <w:r>
              <w:rPr>
                <w:rFonts w:ascii="Verdana" w:hAnsi="Verdana"/>
                <w:b/>
                <w:sz w:val="20"/>
              </w:rPr>
              <w:t>Révision 1 du</w:t>
            </w:r>
            <w:r>
              <w:rPr>
                <w:rFonts w:ascii="Verdana" w:hAnsi="Verdana"/>
                <w:b/>
                <w:sz w:val="20"/>
              </w:rPr>
              <w:br/>
            </w:r>
            <w:r w:rsidR="00485972">
              <w:rPr>
                <w:rFonts w:ascii="Verdana" w:hAnsi="Verdana"/>
                <w:b/>
                <w:sz w:val="20"/>
              </w:rPr>
              <w:t>Document RAG16/1-F</w:t>
            </w:r>
          </w:p>
        </w:tc>
      </w:tr>
      <w:tr w:rsidR="002D238A" w:rsidRPr="002A127E">
        <w:trPr>
          <w:cantSplit/>
        </w:trPr>
        <w:tc>
          <w:tcPr>
            <w:tcW w:w="6771" w:type="dxa"/>
            <w:gridSpan w:val="2"/>
            <w:vMerge/>
          </w:tcPr>
          <w:p w:rsidR="002D238A" w:rsidRDefault="002D238A" w:rsidP="00485972">
            <w:pPr>
              <w:spacing w:before="60"/>
              <w:jc w:val="center"/>
              <w:rPr>
                <w:b/>
                <w:smallCaps/>
                <w:sz w:val="32"/>
              </w:rPr>
            </w:pPr>
            <w:bookmarkStart w:id="1" w:name="ddate" w:colFirst="1" w:colLast="1"/>
            <w:bookmarkEnd w:id="0"/>
          </w:p>
        </w:tc>
        <w:tc>
          <w:tcPr>
            <w:tcW w:w="3118" w:type="dxa"/>
            <w:gridSpan w:val="2"/>
          </w:tcPr>
          <w:p w:rsidR="002D238A" w:rsidRPr="00485972" w:rsidRDefault="00D5686A" w:rsidP="00485972">
            <w:pPr>
              <w:shd w:val="solid" w:color="FFFFFF" w:fill="FFFFFF"/>
              <w:spacing w:before="0"/>
              <w:rPr>
                <w:rFonts w:ascii="Verdana" w:hAnsi="Verdana"/>
                <w:sz w:val="20"/>
              </w:rPr>
            </w:pPr>
            <w:r>
              <w:rPr>
                <w:rFonts w:ascii="Verdana" w:hAnsi="Verdana"/>
                <w:b/>
                <w:sz w:val="20"/>
              </w:rPr>
              <w:t>18 avril</w:t>
            </w:r>
            <w:r w:rsidR="00485972">
              <w:rPr>
                <w:rFonts w:ascii="Verdana" w:hAnsi="Verdana"/>
                <w:b/>
                <w:sz w:val="20"/>
              </w:rPr>
              <w:t xml:space="preserve"> 2016</w:t>
            </w:r>
          </w:p>
        </w:tc>
      </w:tr>
      <w:tr w:rsidR="002D238A" w:rsidRPr="002A127E">
        <w:trPr>
          <w:cantSplit/>
        </w:trPr>
        <w:tc>
          <w:tcPr>
            <w:tcW w:w="6771" w:type="dxa"/>
            <w:gridSpan w:val="2"/>
            <w:vMerge/>
          </w:tcPr>
          <w:p w:rsidR="002D238A" w:rsidRDefault="002D238A" w:rsidP="00485972">
            <w:pPr>
              <w:spacing w:before="60"/>
              <w:jc w:val="center"/>
              <w:rPr>
                <w:b/>
                <w:smallCaps/>
                <w:sz w:val="32"/>
              </w:rPr>
            </w:pPr>
            <w:bookmarkStart w:id="2" w:name="dorlang" w:colFirst="1" w:colLast="1"/>
            <w:bookmarkEnd w:id="1"/>
          </w:p>
        </w:tc>
        <w:tc>
          <w:tcPr>
            <w:tcW w:w="3118" w:type="dxa"/>
            <w:gridSpan w:val="2"/>
          </w:tcPr>
          <w:p w:rsidR="002D238A" w:rsidRPr="00485972" w:rsidRDefault="00485972" w:rsidP="00485972">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4"/>
          </w:tcPr>
          <w:p w:rsidR="002D238A" w:rsidRDefault="00485972" w:rsidP="00485972">
            <w:pPr>
              <w:pStyle w:val="Source"/>
            </w:pPr>
            <w:bookmarkStart w:id="3" w:name="dsource" w:colFirst="0" w:colLast="0"/>
            <w:bookmarkEnd w:id="2"/>
            <w:r>
              <w:t>Directeur du Bureau des radiocommunications</w:t>
            </w:r>
          </w:p>
        </w:tc>
      </w:tr>
      <w:tr w:rsidR="002D238A">
        <w:trPr>
          <w:cantSplit/>
        </w:trPr>
        <w:tc>
          <w:tcPr>
            <w:tcW w:w="9889" w:type="dxa"/>
            <w:gridSpan w:val="4"/>
          </w:tcPr>
          <w:p w:rsidR="002D238A" w:rsidRDefault="00485972" w:rsidP="001C1296">
            <w:pPr>
              <w:pStyle w:val="Title1"/>
            </w:pPr>
            <w:bookmarkStart w:id="4" w:name="dtitle1" w:colFirst="0" w:colLast="0"/>
            <w:bookmarkEnd w:id="3"/>
            <w:r>
              <w:t>rapport À la vingt-troisième réunion</w:t>
            </w:r>
            <w:r w:rsidR="001C1296">
              <w:t xml:space="preserve"> </w:t>
            </w:r>
            <w:r>
              <w:t xml:space="preserve">du groupe </w:t>
            </w:r>
            <w:r w:rsidR="001C1296">
              <w:br/>
            </w:r>
            <w:r>
              <w:t>consultatif des radiocommunications</w:t>
            </w:r>
          </w:p>
        </w:tc>
      </w:tr>
    </w:tbl>
    <w:bookmarkEnd w:id="4"/>
    <w:p w:rsidR="00485972" w:rsidRPr="00035DCD" w:rsidRDefault="00485972" w:rsidP="00485972">
      <w:pPr>
        <w:pStyle w:val="Heading1"/>
        <w:rPr>
          <w:lang w:val="fr-CH"/>
        </w:rPr>
      </w:pPr>
      <w:r w:rsidRPr="00035DCD">
        <w:rPr>
          <w:lang w:val="fr-CH"/>
        </w:rPr>
        <w:t>1</w:t>
      </w:r>
      <w:r w:rsidRPr="00035DCD">
        <w:rPr>
          <w:lang w:val="fr-CH"/>
        </w:rPr>
        <w:tab/>
        <w:t>Introduction</w:t>
      </w:r>
    </w:p>
    <w:p w:rsidR="00485972" w:rsidRPr="0015111C" w:rsidRDefault="00485972" w:rsidP="009E42AD">
      <w:r w:rsidRPr="0015111C">
        <w:t xml:space="preserve">Le présent </w:t>
      </w:r>
      <w:r>
        <w:t>document</w:t>
      </w:r>
      <w:r w:rsidRPr="0015111C">
        <w:t xml:space="preserve"> </w:t>
      </w:r>
      <w:r>
        <w:rPr>
          <w:color w:val="000000"/>
        </w:rPr>
        <w:t>vise à faire le point et à donner</w:t>
      </w:r>
      <w:r w:rsidRPr="0015111C">
        <w:t xml:space="preserve"> des informations générales sur certaines questions inscrites à l</w:t>
      </w:r>
      <w:r w:rsidR="00D3135C">
        <w:t>'</w:t>
      </w:r>
      <w:r w:rsidRPr="0015111C">
        <w:t>o</w:t>
      </w:r>
      <w:r>
        <w:t>rdre du jour provisoire de la 23</w:t>
      </w:r>
      <w:r w:rsidRPr="0015111C">
        <w:t>ème réunion du GCR (voir la Circulaire</w:t>
      </w:r>
      <w:r>
        <w:t xml:space="preserve"> administrative </w:t>
      </w:r>
      <w:hyperlink r:id="rId9" w:history="1">
        <w:r w:rsidR="009E42AD" w:rsidRPr="00B46EBC">
          <w:rPr>
            <w:rFonts w:asciiTheme="majorBidi" w:hAnsiTheme="majorBidi" w:cstheme="majorBidi"/>
            <w:color w:val="0000FF"/>
            <w:szCs w:val="24"/>
            <w:u w:val="single"/>
          </w:rPr>
          <w:t>CA/227</w:t>
        </w:r>
      </w:hyperlink>
      <w:r>
        <w:t xml:space="preserve"> </w:t>
      </w:r>
      <w:r w:rsidRPr="0015111C">
        <w:t xml:space="preserve">du </w:t>
      </w:r>
      <w:r>
        <w:t>25 janvier </w:t>
      </w:r>
      <w:r w:rsidRPr="0015111C">
        <w:t>201</w:t>
      </w:r>
      <w:r w:rsidR="00892A45">
        <w:t>6</w:t>
      </w:r>
      <w:r w:rsidRPr="0015111C">
        <w:t>)</w:t>
      </w:r>
      <w:r>
        <w:t>, afin d</w:t>
      </w:r>
      <w:r w:rsidR="00D3135C">
        <w:t>'</w:t>
      </w:r>
      <w:r w:rsidRPr="0015111C">
        <w:t>aider les participants lorsqu</w:t>
      </w:r>
      <w:r w:rsidR="00D3135C">
        <w:t>'</w:t>
      </w:r>
      <w:r>
        <w:t>ils examineront les points </w:t>
      </w:r>
      <w:r w:rsidRPr="0015111C">
        <w:t>correspondants de l</w:t>
      </w:r>
      <w:r w:rsidR="00D3135C">
        <w:t>'</w:t>
      </w:r>
      <w:r w:rsidRPr="0015111C">
        <w:t>ordre du jour.</w:t>
      </w:r>
    </w:p>
    <w:p w:rsidR="00485972" w:rsidRPr="00F55714" w:rsidRDefault="00485972" w:rsidP="00485972">
      <w:pPr>
        <w:rPr>
          <w:lang w:val="fr-CH"/>
        </w:rPr>
      </w:pPr>
      <w:r w:rsidRPr="002B237C">
        <w:rPr>
          <w:lang w:val="fr-CH"/>
        </w:rPr>
        <w:t>Des rapports distincts seront soumis pour certains points de l</w:t>
      </w:r>
      <w:r w:rsidR="00D3135C">
        <w:rPr>
          <w:lang w:val="fr-CH"/>
        </w:rPr>
        <w:t>'</w:t>
      </w:r>
      <w:r>
        <w:rPr>
          <w:lang w:val="fr-CH"/>
        </w:rPr>
        <w:t>ordre du jour.</w:t>
      </w:r>
    </w:p>
    <w:p w:rsidR="00485972" w:rsidRPr="00B650EE" w:rsidRDefault="00485972" w:rsidP="00485972">
      <w:pPr>
        <w:pStyle w:val="Heading1"/>
        <w:rPr>
          <w:lang w:val="fr-CH"/>
        </w:rPr>
      </w:pPr>
      <w:r>
        <w:rPr>
          <w:lang w:val="fr-CH"/>
        </w:rPr>
        <w:t>2</w:t>
      </w:r>
      <w:r>
        <w:rPr>
          <w:lang w:val="fr-CH"/>
        </w:rPr>
        <w:tab/>
        <w:t>Questions relatives au</w:t>
      </w:r>
      <w:r w:rsidRPr="002B237C">
        <w:rPr>
          <w:lang w:val="fr-CH"/>
        </w:rPr>
        <w:t xml:space="preserve"> Conseil</w:t>
      </w:r>
      <w:r>
        <w:rPr>
          <w:lang w:val="fr-CH"/>
        </w:rPr>
        <w:t xml:space="preserve"> </w:t>
      </w:r>
    </w:p>
    <w:p w:rsidR="00485972" w:rsidRPr="00B650EE" w:rsidRDefault="00485972" w:rsidP="00485972">
      <w:pPr>
        <w:rPr>
          <w:lang w:val="fr-CH"/>
        </w:rPr>
      </w:pPr>
      <w:r>
        <w:rPr>
          <w:lang w:val="fr-CH"/>
        </w:rPr>
        <w:t xml:space="preserve">La présente section examine et met à jour les questions traitées par le Conseil à sa session de </w:t>
      </w:r>
      <w:r w:rsidRPr="00B650EE">
        <w:rPr>
          <w:lang w:val="fr-CH"/>
        </w:rPr>
        <w:t>201</w:t>
      </w:r>
      <w:r>
        <w:rPr>
          <w:lang w:val="fr-CH"/>
        </w:rPr>
        <w:t xml:space="preserve">5 (voir le lien: </w:t>
      </w:r>
      <w:hyperlink r:id="rId10" w:history="1">
        <w:r w:rsidR="00892A45">
          <w:rPr>
            <w:rStyle w:val="Hyperlink"/>
            <w:lang w:val="fr-CH"/>
          </w:rPr>
          <w:t>http://www.itu.int/council/</w:t>
        </w:r>
      </w:hyperlink>
      <w:r w:rsidRPr="00497FC2">
        <w:rPr>
          <w:rStyle w:val="Hyperlink"/>
          <w:color w:val="auto"/>
          <w:u w:val="none"/>
          <w:lang w:val="fr-CH"/>
        </w:rPr>
        <w:t>)</w:t>
      </w:r>
      <w:r w:rsidRPr="00D16078">
        <w:rPr>
          <w:lang w:val="fr-CH"/>
        </w:rPr>
        <w:t>.</w:t>
      </w:r>
    </w:p>
    <w:p w:rsidR="00485972" w:rsidRPr="002414F9" w:rsidRDefault="00485972" w:rsidP="00892A45">
      <w:pPr>
        <w:pStyle w:val="Heading2"/>
        <w:rPr>
          <w:lang w:val="fr-CH"/>
        </w:rPr>
      </w:pPr>
      <w:r w:rsidRPr="002414F9">
        <w:rPr>
          <w:lang w:val="fr-CH"/>
        </w:rPr>
        <w:t>2.1</w:t>
      </w:r>
      <w:r w:rsidRPr="002414F9">
        <w:rPr>
          <w:lang w:val="fr-CH"/>
        </w:rPr>
        <w:tab/>
      </w:r>
      <w:r w:rsidR="00892A45">
        <w:rPr>
          <w:lang w:val="fr-CH"/>
        </w:rPr>
        <w:t>Accès en ligne gratuit aux p</w:t>
      </w:r>
      <w:r w:rsidRPr="002414F9">
        <w:rPr>
          <w:lang w:val="fr-CH"/>
        </w:rPr>
        <w:t>ublications</w:t>
      </w:r>
      <w:r w:rsidR="00892A45">
        <w:rPr>
          <w:lang w:val="fr-CH"/>
        </w:rPr>
        <w:t xml:space="preserve"> de l</w:t>
      </w:r>
      <w:r w:rsidR="00D3135C">
        <w:rPr>
          <w:lang w:val="fr-CH"/>
        </w:rPr>
        <w:t>'</w:t>
      </w:r>
      <w:r w:rsidR="00892A45">
        <w:rPr>
          <w:lang w:val="fr-CH"/>
        </w:rPr>
        <w:t>UIT-R</w:t>
      </w:r>
    </w:p>
    <w:p w:rsidR="00485972" w:rsidRPr="002414F9" w:rsidRDefault="00485972" w:rsidP="00485972">
      <w:pPr>
        <w:rPr>
          <w:lang w:val="fr-CH"/>
        </w:rPr>
      </w:pPr>
      <w:r>
        <w:rPr>
          <w:lang w:val="fr-CH"/>
        </w:rPr>
        <w:t>Dans le cadre de la politique</w:t>
      </w:r>
      <w:r w:rsidRPr="00DE5638">
        <w:t xml:space="preserve"> </w:t>
      </w:r>
      <w:r w:rsidRPr="00DE5638">
        <w:rPr>
          <w:lang w:val="fr-CH"/>
        </w:rPr>
        <w:t>d</w:t>
      </w:r>
      <w:r w:rsidR="00D3135C">
        <w:rPr>
          <w:lang w:val="fr-CH"/>
        </w:rPr>
        <w:t>'</w:t>
      </w:r>
      <w:r w:rsidRPr="00DE5638">
        <w:rPr>
          <w:lang w:val="fr-CH"/>
        </w:rPr>
        <w:t>accès en ligne gratuit</w:t>
      </w:r>
      <w:r>
        <w:rPr>
          <w:lang w:val="fr-CH"/>
        </w:rPr>
        <w:t>, on continue de diffuser très largement l</w:t>
      </w:r>
      <w:r w:rsidRPr="00A541E3">
        <w:rPr>
          <w:lang w:val="fr-CH"/>
        </w:rPr>
        <w:t>es normes de l</w:t>
      </w:r>
      <w:r w:rsidR="00D3135C">
        <w:rPr>
          <w:lang w:val="fr-CH"/>
        </w:rPr>
        <w:t>'</w:t>
      </w:r>
      <w:r w:rsidRPr="00A541E3">
        <w:rPr>
          <w:lang w:val="fr-CH"/>
        </w:rPr>
        <w:t>UIT auprès du grand public, notamment dans les pays en développement qui connaissent des difficultés financières</w:t>
      </w:r>
      <w:r>
        <w:rPr>
          <w:lang w:val="fr-CH"/>
        </w:rPr>
        <w:t xml:space="preserve"> ou font face à des contraintes techniques.</w:t>
      </w:r>
      <w:r w:rsidRPr="00A541E3">
        <w:rPr>
          <w:lang w:val="fr-CH"/>
        </w:rPr>
        <w:t xml:space="preserve"> Cette large ouverture favorisée par la gratuité de l</w:t>
      </w:r>
      <w:r w:rsidR="00D3135C">
        <w:rPr>
          <w:lang w:val="fr-CH"/>
        </w:rPr>
        <w:t>'</w:t>
      </w:r>
      <w:r w:rsidRPr="00A541E3">
        <w:rPr>
          <w:lang w:val="fr-CH"/>
        </w:rPr>
        <w:t xml:space="preserve">accès en ligne contribue à mieux </w:t>
      </w:r>
      <w:r>
        <w:rPr>
          <w:lang w:val="fr-CH"/>
        </w:rPr>
        <w:t xml:space="preserve">faire </w:t>
      </w:r>
      <w:r w:rsidRPr="00A541E3">
        <w:rPr>
          <w:lang w:val="fr-CH"/>
        </w:rPr>
        <w:t>connaître la mission et le mandat de l</w:t>
      </w:r>
      <w:r w:rsidR="00D3135C">
        <w:rPr>
          <w:lang w:val="fr-CH"/>
        </w:rPr>
        <w:t>'</w:t>
      </w:r>
      <w:r w:rsidRPr="00A541E3">
        <w:rPr>
          <w:lang w:val="fr-CH"/>
        </w:rPr>
        <w:t>UIT et à renforcer son rôle en tant qu</w:t>
      </w:r>
      <w:r w:rsidR="00D3135C">
        <w:rPr>
          <w:lang w:val="fr-CH"/>
        </w:rPr>
        <w:t>'</w:t>
      </w:r>
      <w:r w:rsidRPr="00A541E3">
        <w:rPr>
          <w:lang w:val="fr-CH"/>
        </w:rPr>
        <w:t>autorité mondiale dans le domaine des télécommunications</w:t>
      </w:r>
      <w:r>
        <w:rPr>
          <w:lang w:val="fr-CH"/>
        </w:rPr>
        <w:t>.</w:t>
      </w:r>
    </w:p>
    <w:p w:rsidR="00485972" w:rsidRPr="002F5CED" w:rsidRDefault="00485972" w:rsidP="001C1296">
      <w:r w:rsidRPr="00803861">
        <w:rPr>
          <w:lang w:val="fr-CH"/>
        </w:rPr>
        <w:t>Par sa Décision</w:t>
      </w:r>
      <w:r>
        <w:rPr>
          <w:lang w:val="fr-CH"/>
        </w:rPr>
        <w:t> 12 (Guadalajara, 2010), la PP-</w:t>
      </w:r>
      <w:r w:rsidRPr="00803861">
        <w:rPr>
          <w:lang w:val="fr-CH"/>
        </w:rPr>
        <w:t xml:space="preserve">10 a </w:t>
      </w:r>
      <w:r>
        <w:rPr>
          <w:lang w:val="fr-CH"/>
        </w:rPr>
        <w:t>adopté une politique d</w:t>
      </w:r>
      <w:r w:rsidR="00D3135C">
        <w:rPr>
          <w:lang w:val="fr-CH"/>
        </w:rPr>
        <w:t>'</w:t>
      </w:r>
      <w:r w:rsidRPr="00803861">
        <w:rPr>
          <w:lang w:val="fr-CH"/>
        </w:rPr>
        <w:t>accès en ligne gratuit</w:t>
      </w:r>
      <w:r>
        <w:rPr>
          <w:lang w:val="fr-CH"/>
        </w:rPr>
        <w:t xml:space="preserve">, </w:t>
      </w:r>
      <w:r w:rsidR="00721AE5">
        <w:rPr>
          <w:lang w:val="fr-CH"/>
        </w:rPr>
        <w:t>applicable notamment</w:t>
      </w:r>
      <w:r>
        <w:rPr>
          <w:lang w:val="fr-CH"/>
        </w:rPr>
        <w:t xml:space="preserve"> </w:t>
      </w:r>
      <w:r w:rsidRPr="00803861">
        <w:rPr>
          <w:lang w:val="fr-CH"/>
        </w:rPr>
        <w:t>aux Recommandations et</w:t>
      </w:r>
      <w:r>
        <w:rPr>
          <w:lang w:val="fr-CH"/>
        </w:rPr>
        <w:t xml:space="preserve"> aux </w:t>
      </w:r>
      <w:r w:rsidR="001C1296">
        <w:rPr>
          <w:lang w:val="fr-CH"/>
        </w:rPr>
        <w:t>R</w:t>
      </w:r>
      <w:r w:rsidRPr="00803861">
        <w:rPr>
          <w:lang w:val="fr-CH"/>
        </w:rPr>
        <w:t>apports de l</w:t>
      </w:r>
      <w:r w:rsidR="00D3135C">
        <w:rPr>
          <w:lang w:val="fr-CH"/>
        </w:rPr>
        <w:t>'</w:t>
      </w:r>
      <w:r w:rsidRPr="00803861">
        <w:rPr>
          <w:lang w:val="fr-CH"/>
        </w:rPr>
        <w:t>UIT-R.</w:t>
      </w:r>
      <w:r>
        <w:rPr>
          <w:lang w:val="fr-CH"/>
        </w:rPr>
        <w:t xml:space="preserve"> L</w:t>
      </w:r>
      <w:r w:rsidRPr="00DD7629">
        <w:rPr>
          <w:lang w:val="fr-CH"/>
        </w:rPr>
        <w:t>e Conseil</w:t>
      </w:r>
      <w:r>
        <w:rPr>
          <w:lang w:val="fr-CH"/>
        </w:rPr>
        <w:t xml:space="preserve"> à sa session de </w:t>
      </w:r>
      <w:r w:rsidRPr="00DD7629">
        <w:rPr>
          <w:lang w:val="fr-CH"/>
        </w:rPr>
        <w:t xml:space="preserve">2012 </w:t>
      </w:r>
      <w:r>
        <w:rPr>
          <w:rFonts w:asciiTheme="majorBidi" w:hAnsiTheme="majorBidi" w:cstheme="majorBidi"/>
          <w:spacing w:val="-2"/>
          <w:lang w:val="fr-CH"/>
        </w:rPr>
        <w:t xml:space="preserve">a </w:t>
      </w:r>
      <w:r>
        <w:rPr>
          <w:color w:val="000000"/>
        </w:rPr>
        <w:t xml:space="preserve">élargi le cadre de cette politique </w:t>
      </w:r>
      <w:r>
        <w:rPr>
          <w:lang w:val="fr-CH"/>
        </w:rPr>
        <w:t xml:space="preserve">en vertu de </w:t>
      </w:r>
      <w:r w:rsidRPr="00DD7629">
        <w:rPr>
          <w:lang w:val="fr-CH"/>
        </w:rPr>
        <w:t xml:space="preserve">sa </w:t>
      </w:r>
      <w:r w:rsidRPr="00DD7629">
        <w:rPr>
          <w:rFonts w:asciiTheme="majorBidi" w:hAnsiTheme="majorBidi" w:cstheme="majorBidi"/>
          <w:spacing w:val="-2"/>
          <w:lang w:val="fr-CH"/>
        </w:rPr>
        <w:t>D</w:t>
      </w:r>
      <w:r>
        <w:rPr>
          <w:rFonts w:asciiTheme="majorBidi" w:hAnsiTheme="majorBidi" w:cstheme="majorBidi"/>
          <w:spacing w:val="-2"/>
          <w:lang w:val="fr-CH"/>
        </w:rPr>
        <w:t>écision </w:t>
      </w:r>
      <w:r w:rsidRPr="00DD7629">
        <w:rPr>
          <w:rFonts w:asciiTheme="majorBidi" w:hAnsiTheme="majorBidi" w:cstheme="majorBidi"/>
          <w:spacing w:val="-2"/>
          <w:lang w:val="fr-CH"/>
        </w:rPr>
        <w:t>571</w:t>
      </w:r>
      <w:r>
        <w:rPr>
          <w:rFonts w:asciiTheme="majorBidi" w:hAnsiTheme="majorBidi" w:cstheme="majorBidi"/>
          <w:spacing w:val="-2"/>
          <w:lang w:val="fr-CH"/>
        </w:rPr>
        <w:t xml:space="preserve">, qui a été </w:t>
      </w:r>
      <w:r w:rsidR="00892A45">
        <w:rPr>
          <w:rFonts w:asciiTheme="majorBidi" w:hAnsiTheme="majorBidi" w:cstheme="majorBidi"/>
          <w:spacing w:val="-2"/>
          <w:lang w:val="fr-CH"/>
        </w:rPr>
        <w:t>modifiée</w:t>
      </w:r>
      <w:r w:rsidR="00721AE5">
        <w:rPr>
          <w:rFonts w:asciiTheme="majorBidi" w:hAnsiTheme="majorBidi" w:cstheme="majorBidi"/>
          <w:spacing w:val="-2"/>
          <w:lang w:val="fr-CH"/>
        </w:rPr>
        <w:t xml:space="preserve"> par le Conseil à ses sessions de 2013 et </w:t>
      </w:r>
      <w:r w:rsidR="00892A45">
        <w:rPr>
          <w:rFonts w:asciiTheme="majorBidi" w:hAnsiTheme="majorBidi" w:cstheme="majorBidi"/>
          <w:spacing w:val="-2"/>
          <w:lang w:val="fr-CH"/>
        </w:rPr>
        <w:t>2014</w:t>
      </w:r>
      <w:r>
        <w:rPr>
          <w:rFonts w:asciiTheme="majorBidi" w:hAnsiTheme="majorBidi" w:cstheme="majorBidi"/>
          <w:spacing w:val="-2"/>
          <w:lang w:val="fr-CH"/>
        </w:rPr>
        <w:t xml:space="preserve"> et confirmée par</w:t>
      </w:r>
      <w:r>
        <w:rPr>
          <w:lang w:val="fr-CH"/>
        </w:rPr>
        <w:t xml:space="preserve"> </w:t>
      </w:r>
      <w:r w:rsidR="00721AE5">
        <w:rPr>
          <w:color w:val="000000"/>
        </w:rPr>
        <w:t>la PP-14 en vertu de</w:t>
      </w:r>
      <w:r>
        <w:rPr>
          <w:color w:val="000000"/>
        </w:rPr>
        <w:t xml:space="preserve"> la Décision 12 révisée, par laquelle il a été </w:t>
      </w:r>
      <w:r>
        <w:rPr>
          <w:rFonts w:asciiTheme="majorBidi" w:hAnsiTheme="majorBidi" w:cstheme="majorBidi"/>
          <w:spacing w:val="-2"/>
          <w:lang w:val="fr-CH"/>
        </w:rPr>
        <w:t>décidé</w:t>
      </w:r>
      <w:r w:rsidRPr="00DD7629">
        <w:rPr>
          <w:rFonts w:asciiTheme="majorBidi" w:hAnsiTheme="majorBidi" w:cstheme="majorBidi"/>
          <w:spacing w:val="-2"/>
          <w:lang w:val="fr-CH"/>
        </w:rPr>
        <w:t xml:space="preserve"> de fournir au grand pu</w:t>
      </w:r>
      <w:r>
        <w:rPr>
          <w:rFonts w:asciiTheme="majorBidi" w:hAnsiTheme="majorBidi" w:cstheme="majorBidi"/>
          <w:spacing w:val="-2"/>
          <w:lang w:val="fr-CH"/>
        </w:rPr>
        <w:t>blic un accès en ligne gratuit</w:t>
      </w:r>
      <w:r>
        <w:rPr>
          <w:color w:val="000000"/>
        </w:rPr>
        <w:t xml:space="preserve">, à titre permanent, aux Recommandations et </w:t>
      </w:r>
      <w:r w:rsidR="001C1296">
        <w:rPr>
          <w:color w:val="000000"/>
        </w:rPr>
        <w:t>R</w:t>
      </w:r>
      <w:r>
        <w:rPr>
          <w:color w:val="000000"/>
        </w:rPr>
        <w:t>apports de l</w:t>
      </w:r>
      <w:r w:rsidR="00D3135C">
        <w:rPr>
          <w:color w:val="000000"/>
        </w:rPr>
        <w:t>'</w:t>
      </w:r>
      <w:r>
        <w:rPr>
          <w:color w:val="000000"/>
        </w:rPr>
        <w:t>UIT-R, de l</w:t>
      </w:r>
      <w:r w:rsidR="00D3135C">
        <w:rPr>
          <w:color w:val="000000"/>
        </w:rPr>
        <w:t>'</w:t>
      </w:r>
      <w:r>
        <w:rPr>
          <w:color w:val="000000"/>
        </w:rPr>
        <w:t>UIT-T et de l</w:t>
      </w:r>
      <w:r w:rsidR="00D3135C">
        <w:rPr>
          <w:color w:val="000000"/>
        </w:rPr>
        <w:t>'</w:t>
      </w:r>
      <w:r>
        <w:rPr>
          <w:color w:val="000000"/>
        </w:rPr>
        <w:t>UIT-D,</w:t>
      </w:r>
      <w:r w:rsidR="00721AE5">
        <w:rPr>
          <w:color w:val="000000"/>
        </w:rPr>
        <w:t xml:space="preserve"> </w:t>
      </w:r>
      <w:r>
        <w:rPr>
          <w:color w:val="000000"/>
        </w:rPr>
        <w:t>aux</w:t>
      </w:r>
      <w:r w:rsidRPr="002F5CED">
        <w:t xml:space="preserve"> </w:t>
      </w:r>
      <w:r>
        <w:t>M</w:t>
      </w:r>
      <w:r w:rsidRPr="002F5CED">
        <w:t>anuels de l</w:t>
      </w:r>
      <w:r w:rsidR="00D3135C">
        <w:t>'</w:t>
      </w:r>
      <w:r w:rsidRPr="002F5CED">
        <w:t>UIT</w:t>
      </w:r>
      <w:r>
        <w:t>-</w:t>
      </w:r>
      <w:r w:rsidRPr="002F5CED">
        <w:t>R sur la gestion du spectre des fréquences radioélectriques</w:t>
      </w:r>
      <w:r>
        <w:rPr>
          <w:rStyle w:val="FootnoteReference"/>
        </w:rPr>
        <w:footnoteReference w:id="1"/>
      </w:r>
      <w:r w:rsidRPr="002F5CED">
        <w:t>, aux publications de l</w:t>
      </w:r>
      <w:r w:rsidR="00D3135C">
        <w:t>'</w:t>
      </w:r>
      <w:r w:rsidRPr="002F5CED">
        <w:t>UIT relatives à l</w:t>
      </w:r>
      <w:r w:rsidR="00D3135C">
        <w:t>'</w:t>
      </w:r>
      <w:r w:rsidRPr="002F5CED">
        <w:t>utilisation des télécommunications/TIC au service de la préparation en prévision des catastrophes, de l</w:t>
      </w:r>
      <w:r w:rsidR="00D3135C">
        <w:t>'</w:t>
      </w:r>
      <w:r w:rsidRPr="002F5CED">
        <w:t xml:space="preserve">alerte </w:t>
      </w:r>
      <w:r w:rsidRPr="002F5CED">
        <w:lastRenderedPageBreak/>
        <w:t>avancée, de l</w:t>
      </w:r>
      <w:r w:rsidR="00D3135C">
        <w:t>'</w:t>
      </w:r>
      <w:r w:rsidRPr="002F5CED">
        <w:t>atténuation des effets des catastrophes, des interventions et des opérations de secours et de sauvetage en cas de catastrophe, au Règlement des télécommunications internationales</w:t>
      </w:r>
      <w:r>
        <w:t xml:space="preserve"> (RTI)</w:t>
      </w:r>
      <w:r w:rsidRPr="002F5CED">
        <w:t xml:space="preserve">, au Règlement des radiocommunications, aux </w:t>
      </w:r>
      <w:r>
        <w:t>R</w:t>
      </w:r>
      <w:r w:rsidRPr="002F5CED">
        <w:t>ègles de procédure, aux textes fondamentaux de l</w:t>
      </w:r>
      <w:r w:rsidR="00D3135C">
        <w:t>'</w:t>
      </w:r>
      <w:r w:rsidRPr="002F5CED">
        <w:t>Union (Constitution, Convention, Règles générales régissant les conférences, assemblées et réunions de l</w:t>
      </w:r>
      <w:r w:rsidR="00D3135C">
        <w:t>'</w:t>
      </w:r>
      <w:r w:rsidRPr="002F5CED">
        <w:t xml:space="preserve">Union, décisions, </w:t>
      </w:r>
      <w:r w:rsidR="00892A45">
        <w:t>R</w:t>
      </w:r>
      <w:r w:rsidRPr="002F5CED">
        <w:t xml:space="preserve">ésolutions et </w:t>
      </w:r>
      <w:r w:rsidR="00892A45">
        <w:t>R</w:t>
      </w:r>
      <w:r w:rsidRPr="002F5CED">
        <w:t>ecommandations), aux Actes finals des Conférences de plénipotent</w:t>
      </w:r>
      <w:r>
        <w:t>iaires, aux rapports finals des </w:t>
      </w:r>
      <w:r w:rsidRPr="002F5CED">
        <w:t xml:space="preserve">CMDT, aux </w:t>
      </w:r>
      <w:r w:rsidR="00892A45">
        <w:t>R</w:t>
      </w:r>
      <w:r w:rsidRPr="002F5CED">
        <w:t xml:space="preserve">ésolutions et </w:t>
      </w:r>
      <w:r w:rsidR="00892A45">
        <w:t>D</w:t>
      </w:r>
      <w:r w:rsidR="00721AE5">
        <w:t>écisions du Conseil de </w:t>
      </w:r>
      <w:r w:rsidRPr="002F5CED">
        <w:t>l</w:t>
      </w:r>
      <w:r w:rsidR="00D3135C">
        <w:t>'</w:t>
      </w:r>
      <w:r w:rsidRPr="002F5CED">
        <w:t>UIT, aux Actes finals des conférences mondiales et régionales des radiocommunications ainsi qu</w:t>
      </w:r>
      <w:r w:rsidR="00D3135C">
        <w:t>'</w:t>
      </w:r>
      <w:r w:rsidRPr="002F5CED">
        <w:t>aux Actes finals des conférences mondiales des tél</w:t>
      </w:r>
      <w:r>
        <w:t>écommunications internationales.</w:t>
      </w:r>
    </w:p>
    <w:p w:rsidR="00485972" w:rsidRPr="00C66726" w:rsidRDefault="00485972" w:rsidP="001C1296">
      <w:pPr>
        <w:rPr>
          <w:lang w:val="fr-CH"/>
        </w:rPr>
      </w:pPr>
      <w:r>
        <w:rPr>
          <w:lang w:val="fr-CH"/>
        </w:rPr>
        <w:t xml:space="preserve">Les incidences de ces Décisions </w:t>
      </w:r>
      <w:r>
        <w:t xml:space="preserve">transparaissent clairement dans le nombre </w:t>
      </w:r>
      <w:r w:rsidR="00721AE5">
        <w:t>important</w:t>
      </w:r>
      <w:r w:rsidRPr="00FC32E5">
        <w:rPr>
          <w:lang w:val="fr-CH"/>
        </w:rPr>
        <w:t xml:space="preserve"> de publications</w:t>
      </w:r>
      <w:r>
        <w:rPr>
          <w:lang w:val="fr-CH"/>
        </w:rPr>
        <w:t xml:space="preserve"> téléchargées</w:t>
      </w:r>
      <w:r w:rsidRPr="00FC32E5">
        <w:rPr>
          <w:lang w:val="fr-CH"/>
        </w:rPr>
        <w:t xml:space="preserve">, comme </w:t>
      </w:r>
      <w:r w:rsidR="00892A45">
        <w:rPr>
          <w:lang w:val="fr-CH"/>
        </w:rPr>
        <w:t>indiqué au</w:t>
      </w:r>
      <w:r>
        <w:rPr>
          <w:lang w:val="fr-CH"/>
        </w:rPr>
        <w:t xml:space="preserve"> § </w:t>
      </w:r>
      <w:r w:rsidRPr="00E702BD">
        <w:rPr>
          <w:lang w:val="fr-CH"/>
        </w:rPr>
        <w:t>8.1.4</w:t>
      </w:r>
      <w:r w:rsidR="00721AE5">
        <w:rPr>
          <w:lang w:val="fr-CH"/>
        </w:rPr>
        <w:t>.</w:t>
      </w:r>
    </w:p>
    <w:p w:rsidR="00721AE5" w:rsidRPr="008653E6" w:rsidRDefault="00721AE5" w:rsidP="00721AE5">
      <w:pPr>
        <w:pStyle w:val="Heading2"/>
        <w:rPr>
          <w:lang w:val="fr-CH"/>
        </w:rPr>
      </w:pPr>
      <w:r w:rsidRPr="008653E6">
        <w:rPr>
          <w:lang w:val="fr-CH"/>
        </w:rPr>
        <w:t>2.2</w:t>
      </w:r>
      <w:r w:rsidRPr="008653E6">
        <w:rPr>
          <w:lang w:val="fr-CH"/>
        </w:rPr>
        <w:tab/>
        <w:t>Recouvrement des coûts pour le traitement des fiches de notification des réseaux à satellite</w:t>
      </w:r>
    </w:p>
    <w:p w:rsidR="00721AE5" w:rsidRPr="008653E6" w:rsidRDefault="00721AE5" w:rsidP="00721AE5">
      <w:pPr>
        <w:rPr>
          <w:lang w:val="fr-CH"/>
        </w:rPr>
      </w:pPr>
      <w:r w:rsidRPr="008653E6">
        <w:t>La mise en oeuvre par le Bureau des radiocommunications de la Décision 482 (modifiée en 2012) et de la Décision 482 (modifiée en 2013) n</w:t>
      </w:r>
      <w:r w:rsidR="00D3135C">
        <w:t>'</w:t>
      </w:r>
      <w:r w:rsidRPr="008653E6">
        <w:t>a soulevé aucune difficulté et n</w:t>
      </w:r>
      <w:r w:rsidR="00D3135C">
        <w:t>'</w:t>
      </w:r>
      <w:r w:rsidRPr="008653E6">
        <w:t>a posé aucun problème, aussi bien en interne qu</w:t>
      </w:r>
      <w:r w:rsidR="00D3135C">
        <w:t>'</w:t>
      </w:r>
      <w:r w:rsidRPr="008653E6">
        <w:t>avec les administrations ayant notifié des réseaux à satellite.</w:t>
      </w:r>
    </w:p>
    <w:p w:rsidR="00721AE5" w:rsidRPr="008653E6" w:rsidRDefault="00721AE5" w:rsidP="00721AE5">
      <w:pPr>
        <w:pStyle w:val="Heading2"/>
        <w:rPr>
          <w:lang w:val="fr-CH"/>
        </w:rPr>
      </w:pPr>
      <w:r w:rsidRPr="008653E6">
        <w:rPr>
          <w:lang w:val="fr-CH"/>
        </w:rPr>
        <w:t>2.3</w:t>
      </w:r>
      <w:r w:rsidRPr="008653E6">
        <w:rPr>
          <w:lang w:val="fr-CH"/>
        </w:rPr>
        <w:tab/>
        <w:t>Conformité et interopérabilité (C&amp;I)</w:t>
      </w:r>
    </w:p>
    <w:p w:rsidR="00721AE5" w:rsidRPr="008653E6" w:rsidRDefault="00721AE5" w:rsidP="00721AE5">
      <w:pPr>
        <w:rPr>
          <w:rFonts w:asciiTheme="majorBidi" w:hAnsiTheme="majorBidi" w:cstheme="majorBidi"/>
          <w:bCs/>
          <w:szCs w:val="24"/>
          <w:lang w:val="fr-CH"/>
        </w:rPr>
      </w:pPr>
      <w:r w:rsidRPr="008653E6">
        <w:t>Par sa Résolution 177 (Rév. Busan, 2014), la Conférence de plénipotentiaires a entériné les objectifs énoncés dans la Résolution 76 de l</w:t>
      </w:r>
      <w:r w:rsidR="00D3135C">
        <w:t>'</w:t>
      </w:r>
      <w:r w:rsidRPr="008653E6">
        <w:t>AMNT-12, la Résolution 62 de l</w:t>
      </w:r>
      <w:r w:rsidR="00D3135C">
        <w:t>'</w:t>
      </w:r>
      <w:r w:rsidRPr="008653E6">
        <w:t>AR-12 et la Résolution 47 de la CMDT-14. Elle a reconnu «que la conformité et l</w:t>
      </w:r>
      <w:r w:rsidR="00D3135C">
        <w:t>'</w:t>
      </w:r>
      <w:r w:rsidRPr="008653E6">
        <w:t>interopérabilité généralisées des équipements et systèmes reposant sur les télécommunications et les technologies de l</w:t>
      </w:r>
      <w:r w:rsidR="00D3135C">
        <w:t>'</w:t>
      </w:r>
      <w:r w:rsidRPr="008653E6">
        <w:t>information et de la communication (TIC) par le biais de la mise en oeuvre de programmes, politiques et décisions pertinents peuvent élargir les débouchés commerciaux, renforcer la fiabilité et encourager l</w:t>
      </w:r>
      <w:r w:rsidR="00D3135C">
        <w:t>'</w:t>
      </w:r>
      <w:r w:rsidRPr="008653E6">
        <w:t>intégration et le commerce à l</w:t>
      </w:r>
      <w:r w:rsidR="00D3135C">
        <w:t>'</w:t>
      </w:r>
      <w:r w:rsidRPr="008653E6">
        <w:t>échelle mondiale» et a décidé de poursuive la mise en oeuvre du Plan d</w:t>
      </w:r>
      <w:r w:rsidR="00D3135C">
        <w:t>'</w:t>
      </w:r>
      <w:r w:rsidRPr="008653E6">
        <w:t>action de l</w:t>
      </w:r>
      <w:r w:rsidR="00D3135C">
        <w:t>'</w:t>
      </w:r>
      <w:r w:rsidRPr="008653E6">
        <w:t>UIT sur la conformité et l</w:t>
      </w:r>
      <w:r w:rsidR="00D3135C">
        <w:t>'</w:t>
      </w:r>
      <w:r w:rsidRPr="008653E6">
        <w:t>interopérabilité qui a été réexaminé par le Conseil de l</w:t>
      </w:r>
      <w:r w:rsidR="00D3135C">
        <w:t>'</w:t>
      </w:r>
      <w:r w:rsidRPr="008653E6">
        <w:t>UIT.</w:t>
      </w:r>
    </w:p>
    <w:p w:rsidR="00721AE5" w:rsidRPr="008653E6" w:rsidRDefault="00721AE5" w:rsidP="001C1296">
      <w:r w:rsidRPr="001C1296">
        <w:t>Le Programme de l</w:t>
      </w:r>
      <w:r w:rsidR="00D3135C" w:rsidRPr="001C1296">
        <w:t>'</w:t>
      </w:r>
      <w:r w:rsidRPr="001C1296">
        <w:t>UIT sur la conformité et l</w:t>
      </w:r>
      <w:r w:rsidR="00D3135C" w:rsidRPr="001C1296">
        <w:t>'</w:t>
      </w:r>
      <w:r w:rsidRPr="001C1296">
        <w:t xml:space="preserve">interopérabilité </w:t>
      </w:r>
      <w:r w:rsidRPr="008653E6">
        <w:t xml:space="preserve">(C&amp;I), </w:t>
      </w:r>
      <w:r w:rsidRPr="001C1296">
        <w:t xml:space="preserve">défini en application de la Résolution 177 (Rév. Busan, 2014) de la Conférence de plénipotentiaires, repose toujours sur quatre piliers, à savoir: Pilier 1) </w:t>
      </w:r>
      <w:r w:rsidRPr="008653E6">
        <w:t>évaluation de la conformité (CA); Pilier </w:t>
      </w:r>
      <w:r>
        <w:t xml:space="preserve">2) </w:t>
      </w:r>
      <w:r w:rsidRPr="008653E6">
        <w:t>réunions sur l</w:t>
      </w:r>
      <w:r w:rsidR="00D3135C">
        <w:t>'</w:t>
      </w:r>
      <w:r w:rsidRPr="008653E6">
        <w:t>interopérabilité; Pilier </w:t>
      </w:r>
      <w:r>
        <w:t xml:space="preserve">3) </w:t>
      </w:r>
      <w:r w:rsidRPr="008653E6">
        <w:t>renforcement des capacités des ressources humaines; et Pilier 4)</w:t>
      </w:r>
      <w:r>
        <w:t xml:space="preserve"> </w:t>
      </w:r>
      <w:r w:rsidRPr="008653E6">
        <w:t>assistance pour l</w:t>
      </w:r>
      <w:r w:rsidR="00D3135C">
        <w:t>'</w:t>
      </w:r>
      <w:r w:rsidRPr="008653E6">
        <w:t>établissement de centres de test et de programmes C&amp;I dans les pays en développement.</w:t>
      </w:r>
    </w:p>
    <w:p w:rsidR="00721AE5" w:rsidRPr="008653E6" w:rsidRDefault="00721AE5" w:rsidP="00721AE5">
      <w:r w:rsidRPr="008653E6">
        <w:t>Les</w:t>
      </w:r>
      <w:r>
        <w:t xml:space="preserve"> activités relatives aux</w:t>
      </w:r>
      <w:r w:rsidRPr="008653E6">
        <w:t xml:space="preserve"> Piliers 1 et 2 relèvent de la responsabilité du Bureau de la normalisation des télécommunications (TSB), tandis que</w:t>
      </w:r>
      <w:r>
        <w:t xml:space="preserve"> celles concernant</w:t>
      </w:r>
      <w:r w:rsidRPr="008653E6">
        <w:t xml:space="preserve"> les Piliers 3 et 4 relèvent de </w:t>
      </w:r>
      <w:r>
        <w:t>la responsabilité</w:t>
      </w:r>
      <w:r w:rsidRPr="008653E6">
        <w:t xml:space="preserve"> du Bureau de développement des télécommunications (BDT). L</w:t>
      </w:r>
      <w:r w:rsidR="00D3135C">
        <w:t>'</w:t>
      </w:r>
      <w:r w:rsidRPr="008653E6">
        <w:t>UIT-R continue de collaborer avec l</w:t>
      </w:r>
      <w:r w:rsidR="00D3135C">
        <w:t>'</w:t>
      </w:r>
      <w:r w:rsidRPr="008653E6">
        <w:t>UIT-T et l</w:t>
      </w:r>
      <w:r w:rsidR="00D3135C">
        <w:t>'</w:t>
      </w:r>
      <w:r w:rsidRPr="008653E6">
        <w:t>UIT-D en ce qui concerne les tests de conformité et d</w:t>
      </w:r>
      <w:r w:rsidR="00D3135C">
        <w:t>'</w:t>
      </w:r>
      <w:r w:rsidRPr="008653E6">
        <w:t>interopérabilité, et à fournir des informations à ces Secteurs lorsqu</w:t>
      </w:r>
      <w:r w:rsidR="00D3135C">
        <w:t>'</w:t>
      </w:r>
      <w:r w:rsidRPr="008653E6">
        <w:t xml:space="preserve">ils le lui demandent, comme indiqué dans le </w:t>
      </w:r>
      <w:r w:rsidRPr="008653E6">
        <w:rPr>
          <w:i/>
          <w:iCs/>
        </w:rPr>
        <w:t>décide</w:t>
      </w:r>
      <w:r w:rsidRPr="008653E6">
        <w:t xml:space="preserve"> de la Résolution UIT-R 62. Aucune contribution sur cette question n</w:t>
      </w:r>
      <w:r w:rsidR="00D3135C">
        <w:t>'</w:t>
      </w:r>
      <w:r w:rsidRPr="008653E6">
        <w:t>a été soumise aux commissions d</w:t>
      </w:r>
      <w:r w:rsidR="00D3135C">
        <w:t>'</w:t>
      </w:r>
      <w:r w:rsidRPr="008653E6">
        <w:t>études de l</w:t>
      </w:r>
      <w:r w:rsidR="00D3135C">
        <w:t>'</w:t>
      </w:r>
      <w:r w:rsidRPr="008653E6">
        <w:t>UIT-R dep</w:t>
      </w:r>
      <w:r>
        <w:t>uis la dernière réunion du GCR.</w:t>
      </w:r>
    </w:p>
    <w:p w:rsidR="00721AE5" w:rsidRPr="008653E6" w:rsidRDefault="00721AE5" w:rsidP="00721AE5">
      <w:pPr>
        <w:pStyle w:val="Heading2"/>
        <w:rPr>
          <w:color w:val="000000"/>
        </w:rPr>
      </w:pPr>
      <w:r w:rsidRPr="008653E6">
        <w:t>2.4</w:t>
      </w:r>
      <w:r w:rsidRPr="008653E6">
        <w:tab/>
      </w:r>
      <w:r w:rsidRPr="008653E6">
        <w:rPr>
          <w:color w:val="000000"/>
        </w:rPr>
        <w:t>Protocole portant sur les biens spatiaux</w:t>
      </w:r>
    </w:p>
    <w:p w:rsidR="00721AE5" w:rsidRPr="008653E6" w:rsidRDefault="00721AE5" w:rsidP="001C1296">
      <w:r w:rsidRPr="008653E6">
        <w:t xml:space="preserve">Le Conseil à sa session de 2015 a continué </w:t>
      </w:r>
      <w:r>
        <w:t>d</w:t>
      </w:r>
      <w:r w:rsidR="00D3135C">
        <w:t>'</w:t>
      </w:r>
      <w:r>
        <w:t>exprimer de l</w:t>
      </w:r>
      <w:r w:rsidR="00D3135C">
        <w:t>'</w:t>
      </w:r>
      <w:r>
        <w:t>intérêt</w:t>
      </w:r>
      <w:r w:rsidRPr="008653E6">
        <w:t xml:space="preserve"> pour que l</w:t>
      </w:r>
      <w:r w:rsidR="00D3135C">
        <w:t>'</w:t>
      </w:r>
      <w:r w:rsidRPr="008653E6">
        <w:t>UIT assume le rôle d</w:t>
      </w:r>
      <w:r w:rsidR="00D3135C">
        <w:t>'</w:t>
      </w:r>
      <w:r w:rsidRPr="008653E6">
        <w:t>Autorité de surveillance du système international d</w:t>
      </w:r>
      <w:r w:rsidR="00D3135C">
        <w:t>'</w:t>
      </w:r>
      <w:r w:rsidRPr="008653E6">
        <w:t>inscription pour les biens spatiaux, conformément au Protocole portant sur les biens spatiaux, et a indiqué qu</w:t>
      </w:r>
      <w:r w:rsidR="00D3135C">
        <w:t>'</w:t>
      </w:r>
      <w:r w:rsidRPr="008653E6">
        <w:t>il était temps de prendre une décision sur la question quant au fond. Toutefois, certains éléments qui auraient permis au Conseil de prendre une décision en toute connaissance de cause n</w:t>
      </w:r>
      <w:r w:rsidR="00D3135C">
        <w:t>'</w:t>
      </w:r>
      <w:r w:rsidRPr="008653E6">
        <w:t xml:space="preserve">avaient pas encore été établis sous </w:t>
      </w:r>
      <w:r>
        <w:t>leur forme finale, de sorte que</w:t>
      </w:r>
      <w:r w:rsidRPr="008653E6">
        <w:t xml:space="preserve"> le Conseil à sa session de 2015 a reporté sa décision sur la question à sa prochaine session, en gardant à l</w:t>
      </w:r>
      <w:r w:rsidR="00D3135C">
        <w:t>'</w:t>
      </w:r>
      <w:r w:rsidRPr="008653E6">
        <w:t>esprit que la décision finale serait prise par la PP-18.</w:t>
      </w:r>
    </w:p>
    <w:p w:rsidR="00721AE5" w:rsidRPr="008653E6" w:rsidRDefault="00721AE5" w:rsidP="001C1296">
      <w:pPr>
        <w:rPr>
          <w:rFonts w:asciiTheme="majorBidi" w:hAnsiTheme="majorBidi" w:cstheme="majorBidi"/>
          <w:lang w:val="fr-CH"/>
        </w:rPr>
      </w:pPr>
      <w:r w:rsidRPr="008653E6">
        <w:rPr>
          <w:rFonts w:asciiTheme="majorBidi" w:hAnsiTheme="majorBidi" w:cstheme="majorBidi"/>
          <w:lang w:val="fr-CH"/>
        </w:rPr>
        <w:t>Conformément à ses décisions antérieures,</w:t>
      </w:r>
      <w:r>
        <w:rPr>
          <w:rFonts w:asciiTheme="majorBidi" w:hAnsiTheme="majorBidi" w:cstheme="majorBidi"/>
          <w:lang w:val="fr-CH"/>
        </w:rPr>
        <w:t xml:space="preserve"> le Conseil à sa session de 2015</w:t>
      </w:r>
      <w:r w:rsidRPr="008653E6">
        <w:rPr>
          <w:rFonts w:asciiTheme="majorBidi" w:hAnsiTheme="majorBidi" w:cstheme="majorBidi"/>
          <w:lang w:val="fr-CH"/>
        </w:rPr>
        <w:t xml:space="preserve"> a pris note des renseignements que lui avait soumis le secrétariat et a autorisé </w:t>
      </w:r>
      <w:r w:rsidRPr="008653E6">
        <w:rPr>
          <w:lang w:val="fr-CH"/>
        </w:rPr>
        <w:t>le Secrétaire général à continuer d</w:t>
      </w:r>
      <w:r w:rsidR="00D3135C">
        <w:rPr>
          <w:lang w:val="fr-CH"/>
        </w:rPr>
        <w:t>'</w:t>
      </w:r>
      <w:r w:rsidRPr="008653E6">
        <w:rPr>
          <w:lang w:val="fr-CH"/>
        </w:rPr>
        <w:t>exprimer l</w:t>
      </w:r>
      <w:r w:rsidR="00D3135C">
        <w:rPr>
          <w:lang w:val="fr-CH"/>
        </w:rPr>
        <w:t>'</w:t>
      </w:r>
      <w:r w:rsidRPr="008653E6">
        <w:rPr>
          <w:lang w:val="fr-CH"/>
        </w:rPr>
        <w:t>intérêt de l</w:t>
      </w:r>
      <w:r w:rsidR="00D3135C">
        <w:rPr>
          <w:lang w:val="fr-CH"/>
        </w:rPr>
        <w:t>'</w:t>
      </w:r>
      <w:r w:rsidRPr="008653E6">
        <w:rPr>
          <w:lang w:val="fr-CH"/>
        </w:rPr>
        <w:t>Union pour que l</w:t>
      </w:r>
      <w:r w:rsidR="00D3135C">
        <w:rPr>
          <w:lang w:val="fr-CH"/>
        </w:rPr>
        <w:t>'</w:t>
      </w:r>
      <w:r w:rsidRPr="008653E6">
        <w:rPr>
          <w:lang w:val="fr-CH"/>
        </w:rPr>
        <w:t>UIT devienne l</w:t>
      </w:r>
      <w:r w:rsidR="00D3135C">
        <w:rPr>
          <w:lang w:val="fr-CH"/>
        </w:rPr>
        <w:t>'</w:t>
      </w:r>
      <w:r w:rsidRPr="008653E6">
        <w:rPr>
          <w:lang w:val="fr-CH"/>
        </w:rPr>
        <w:t>Autorité de surveillance, notant qu</w:t>
      </w:r>
      <w:r w:rsidR="00D3135C">
        <w:rPr>
          <w:lang w:val="fr-CH"/>
        </w:rPr>
        <w:t>'</w:t>
      </w:r>
      <w:r w:rsidRPr="008653E6">
        <w:rPr>
          <w:lang w:val="fr-CH"/>
        </w:rPr>
        <w:t>il n</w:t>
      </w:r>
      <w:r w:rsidR="00D3135C">
        <w:rPr>
          <w:lang w:val="fr-CH"/>
        </w:rPr>
        <w:t>'</w:t>
      </w:r>
      <w:r w:rsidRPr="008653E6">
        <w:rPr>
          <w:lang w:val="fr-CH"/>
        </w:rPr>
        <w:t>y avait pas lieu au stade actuel de préjuger la question de savoir si l</w:t>
      </w:r>
      <w:r w:rsidR="00D3135C">
        <w:rPr>
          <w:lang w:val="fr-CH"/>
        </w:rPr>
        <w:t>'</w:t>
      </w:r>
      <w:r w:rsidRPr="008653E6">
        <w:rPr>
          <w:lang w:val="fr-CH"/>
        </w:rPr>
        <w:t>UIT pourrait ou non être l</w:t>
      </w:r>
      <w:r w:rsidR="00D3135C">
        <w:rPr>
          <w:lang w:val="fr-CH"/>
        </w:rPr>
        <w:t>'</w:t>
      </w:r>
      <w:r w:rsidRPr="008653E6">
        <w:rPr>
          <w:lang w:val="fr-CH"/>
        </w:rPr>
        <w:t>Autorité de surveillance.</w:t>
      </w:r>
      <w:r w:rsidRPr="008653E6">
        <w:rPr>
          <w:rFonts w:asciiTheme="majorBidi" w:hAnsiTheme="majorBidi" w:cstheme="majorBidi"/>
          <w:lang w:val="fr-CH"/>
        </w:rPr>
        <w:t xml:space="preserve"> </w:t>
      </w:r>
      <w:r w:rsidRPr="008653E6">
        <w:rPr>
          <w:bCs/>
          <w:szCs w:val="24"/>
          <w:lang w:val="fr-CH"/>
        </w:rPr>
        <w:t>En outre, le Conseil a autorisé le Secrétaire général, ou son représentant, à continuer de participer à titre d</w:t>
      </w:r>
      <w:r w:rsidR="00D3135C">
        <w:rPr>
          <w:bCs/>
          <w:szCs w:val="24"/>
          <w:lang w:val="fr-CH"/>
        </w:rPr>
        <w:t>'</w:t>
      </w:r>
      <w:r w:rsidRPr="008653E6">
        <w:rPr>
          <w:bCs/>
          <w:szCs w:val="24"/>
          <w:lang w:val="fr-CH"/>
        </w:rPr>
        <w:t>observateur aux travaux de la Commission préparatoire et de ses groupes de travail, conformément</w:t>
      </w:r>
      <w:r>
        <w:rPr>
          <w:bCs/>
          <w:szCs w:val="24"/>
          <w:lang w:val="fr-CH"/>
        </w:rPr>
        <w:t xml:space="preserve"> à la décision pertinente prise</w:t>
      </w:r>
      <w:r w:rsidRPr="008653E6">
        <w:rPr>
          <w:bCs/>
          <w:szCs w:val="24"/>
          <w:lang w:val="fr-CH"/>
        </w:rPr>
        <w:t xml:space="preserve"> par la PP</w:t>
      </w:r>
      <w:r w:rsidR="001C1296">
        <w:rPr>
          <w:bCs/>
          <w:szCs w:val="24"/>
          <w:lang w:val="fr-CH"/>
        </w:rPr>
        <w:noBreakHyphen/>
      </w:r>
      <w:r w:rsidRPr="008653E6">
        <w:rPr>
          <w:bCs/>
          <w:szCs w:val="24"/>
          <w:lang w:val="fr-CH"/>
        </w:rPr>
        <w:t>14.</w:t>
      </w:r>
    </w:p>
    <w:p w:rsidR="00721AE5" w:rsidRPr="008653E6" w:rsidRDefault="00721AE5" w:rsidP="001C1296">
      <w:r w:rsidRPr="008653E6">
        <w:t>La quatrième session de la Commission préparatoire chargée de l</w:t>
      </w:r>
      <w:r w:rsidR="00D3135C">
        <w:t>'</w:t>
      </w:r>
      <w:r w:rsidRPr="008653E6">
        <w:t>établissement du Registre international pour les biens spatiaux conformément au Protocole portant sur les biens spatiaux s</w:t>
      </w:r>
      <w:r w:rsidR="00D3135C">
        <w:t>'</w:t>
      </w:r>
      <w:r w:rsidRPr="008653E6">
        <w:t>est tenue au siège d</w:t>
      </w:r>
      <w:r w:rsidR="00D3135C">
        <w:t>'</w:t>
      </w:r>
      <w:r w:rsidRPr="008653E6">
        <w:t>UNIDROIT à Ro</w:t>
      </w:r>
      <w:r w:rsidR="00090BDA">
        <w:t>me les 10 et 11 décembre 2015</w:t>
      </w:r>
      <w:r w:rsidRPr="008653E6">
        <w:t>. Après examen de la Note explicative relative au projet révisé de Règlement sur les biens spatiaux et de la Note relative aux biens spatiaux reliés établie par Sir</w:t>
      </w:r>
      <w:r w:rsidR="00090BDA">
        <w:t xml:space="preserve"> Roy Goode, ainsi que de</w:t>
      </w:r>
      <w:r w:rsidRPr="008653E6">
        <w:t xml:space="preserve"> modifications complémentaires proposées par la dé</w:t>
      </w:r>
      <w:r w:rsidR="00090BDA">
        <w:t xml:space="preserve">légation allemande, le projet </w:t>
      </w:r>
      <w:r w:rsidRPr="008653E6">
        <w:t>de Règle</w:t>
      </w:r>
      <w:r w:rsidR="00090BDA">
        <w:t xml:space="preserve">ment sur les biens spatiaux </w:t>
      </w:r>
      <w:r w:rsidRPr="008653E6">
        <w:t>a été approuvé</w:t>
      </w:r>
      <w:r w:rsidR="00090BDA">
        <w:t xml:space="preserve"> à l</w:t>
      </w:r>
      <w:r w:rsidR="00D3135C">
        <w:t>'</w:t>
      </w:r>
      <w:r w:rsidR="00090BDA">
        <w:t xml:space="preserve">unanimité. Pour ce qui est de la </w:t>
      </w:r>
      <w:r w:rsidRPr="008653E6">
        <w:t>demande de propositions concernant la sélection d</w:t>
      </w:r>
      <w:r w:rsidR="00D3135C">
        <w:t>'</w:t>
      </w:r>
      <w:r w:rsidRPr="008653E6">
        <w:t>un Conservateur du Registre, la Commissi</w:t>
      </w:r>
      <w:r w:rsidR="00090BDA">
        <w:t xml:space="preserve">on préparatoire a approuvé une </w:t>
      </w:r>
      <w:r w:rsidRPr="008653E6">
        <w:t>approche simplifiée et plus efficace pour engager les discussions avec les deux Conservateurs</w:t>
      </w:r>
      <w:r w:rsidR="00090BDA">
        <w:t xml:space="preserve"> des instruments actuels (</w:t>
      </w:r>
      <w:r w:rsidRPr="008653E6">
        <w:t>Protocoles aéronautique et ferroviaire)</w:t>
      </w:r>
      <w:r>
        <w:t>.</w:t>
      </w:r>
      <w:r w:rsidRPr="008653E6">
        <w:t xml:space="preserve"> Le projet de Règles de procédure applicable</w:t>
      </w:r>
      <w:r>
        <w:t>s</w:t>
      </w:r>
      <w:r w:rsidRPr="008653E6">
        <w:t xml:space="preserve"> à la Commission d</w:t>
      </w:r>
      <w:r w:rsidR="00D3135C">
        <w:t>'</w:t>
      </w:r>
      <w:r w:rsidRPr="008653E6">
        <w:t>experts de l</w:t>
      </w:r>
      <w:r w:rsidR="00D3135C">
        <w:t>'</w:t>
      </w:r>
      <w:r w:rsidRPr="008653E6">
        <w:t>Autorité de surveillance établie en vertu du Protoco</w:t>
      </w:r>
      <w:r w:rsidR="00090BDA">
        <w:t>le a été examiné puis approuvé</w:t>
      </w:r>
      <w:r w:rsidRPr="008653E6">
        <w:t xml:space="preserve"> par correspondance</w:t>
      </w:r>
      <w:r w:rsidR="00090BDA">
        <w:t>.</w:t>
      </w:r>
    </w:p>
    <w:p w:rsidR="00721AE5" w:rsidRPr="008653E6" w:rsidRDefault="00721AE5" w:rsidP="001C1296">
      <w:pPr>
        <w:rPr>
          <w:rFonts w:asciiTheme="majorBidi" w:hAnsiTheme="majorBidi" w:cstheme="majorBidi"/>
        </w:rPr>
      </w:pPr>
      <w:r w:rsidRPr="008653E6">
        <w:rPr>
          <w:lang w:eastAsia="fr-FR"/>
        </w:rPr>
        <w:t>La Com</w:t>
      </w:r>
      <w:r w:rsidR="00090BDA">
        <w:rPr>
          <w:lang w:eastAsia="fr-FR"/>
        </w:rPr>
        <w:t xml:space="preserve">mission préparatoire, </w:t>
      </w:r>
      <w:r w:rsidRPr="008653E6">
        <w:rPr>
          <w:lang w:eastAsia="fr-FR"/>
        </w:rPr>
        <w:t xml:space="preserve">établie conformément à la Résolution 1 de la Conférence diplomatique tenue à Berlin en février 2012, </w:t>
      </w:r>
      <w:bookmarkStart w:id="5" w:name="lt_pId029"/>
      <w:r w:rsidRPr="008653E6">
        <w:t xml:space="preserve">a achevé tous les travaux préliminaires liés à </w:t>
      </w:r>
      <w:r w:rsidR="00090BDA">
        <w:t>l</w:t>
      </w:r>
      <w:r w:rsidR="00D3135C">
        <w:t>'</w:t>
      </w:r>
      <w:r w:rsidR="00090BDA">
        <w:t xml:space="preserve">adoption du premier Règlement, </w:t>
      </w:r>
      <w:r w:rsidRPr="008653E6">
        <w:t>à l</w:t>
      </w:r>
      <w:r w:rsidR="00D3135C">
        <w:t>'</w:t>
      </w:r>
      <w:r w:rsidRPr="008653E6">
        <w:t>engagement de</w:t>
      </w:r>
      <w:r>
        <w:t>s</w:t>
      </w:r>
      <w:r w:rsidRPr="008653E6">
        <w:t xml:space="preserve"> </w:t>
      </w:r>
      <w:r w:rsidRPr="008653E6">
        <w:rPr>
          <w:rFonts w:cs="Verdana"/>
          <w:lang w:val="fr-CH"/>
        </w:rPr>
        <w:t>négociation</w:t>
      </w:r>
      <w:r>
        <w:rPr>
          <w:rFonts w:cs="Verdana"/>
          <w:lang w:val="fr-CH"/>
        </w:rPr>
        <w:t>s</w:t>
      </w:r>
      <w:r w:rsidRPr="008653E6">
        <w:rPr>
          <w:rFonts w:cs="Verdana"/>
          <w:lang w:val="fr-CH"/>
        </w:rPr>
        <w:t xml:space="preserve"> </w:t>
      </w:r>
      <w:r>
        <w:rPr>
          <w:rFonts w:cs="Verdana"/>
          <w:lang w:val="fr-CH"/>
        </w:rPr>
        <w:t>sur le</w:t>
      </w:r>
      <w:r w:rsidRPr="008653E6">
        <w:rPr>
          <w:rFonts w:cs="Verdana"/>
          <w:lang w:val="fr-CH"/>
        </w:rPr>
        <w:t xml:space="preserve"> contrat visant à établir et à tenir le Registre et à nommer le premier Conservateur</w:t>
      </w:r>
      <w:bookmarkEnd w:id="5"/>
      <w:r>
        <w:rPr>
          <w:rFonts w:cs="Verdana"/>
          <w:lang w:val="fr-CH"/>
        </w:rPr>
        <w:t>.</w:t>
      </w:r>
      <w:r w:rsidRPr="008653E6">
        <w:t xml:space="preserve"> La Commission préparatoire, investie de tous les pouvoirs nécessaires pour faire fonction d</w:t>
      </w:r>
      <w:r w:rsidR="00D3135C">
        <w:t>'</w:t>
      </w:r>
      <w:r w:rsidRPr="008653E6">
        <w:t>Autor</w:t>
      </w:r>
      <w:r w:rsidR="00090BDA">
        <w:t>ité provisoire de surveillance,</w:t>
      </w:r>
      <w:r w:rsidRPr="008653E6">
        <w:t xml:space="preserve"> poursuit ses travaux </w:t>
      </w:r>
      <w:r w:rsidRPr="008653E6">
        <w:rPr>
          <w:color w:val="000000"/>
          <w:lang w:val="fr-CH"/>
        </w:rPr>
        <w:t>en partant de l</w:t>
      </w:r>
      <w:r w:rsidR="00D3135C">
        <w:rPr>
          <w:color w:val="000000"/>
          <w:lang w:val="fr-CH"/>
        </w:rPr>
        <w:t>'</w:t>
      </w:r>
      <w:r w:rsidRPr="008653E6">
        <w:rPr>
          <w:color w:val="000000"/>
          <w:lang w:val="fr-CH"/>
        </w:rPr>
        <w:t>hypothèse</w:t>
      </w:r>
      <w:r w:rsidRPr="008653E6">
        <w:t>, confor</w:t>
      </w:r>
      <w:r w:rsidR="00090BDA">
        <w:t xml:space="preserve">mément à la Résolution </w:t>
      </w:r>
      <w:r w:rsidRPr="008653E6">
        <w:t xml:space="preserve">2 de </w:t>
      </w:r>
      <w:r w:rsidRPr="008653E6">
        <w:rPr>
          <w:color w:val="000000"/>
          <w:lang w:val="fr-CH"/>
        </w:rPr>
        <w:t>la Conférence diplomatique de 2012, que l</w:t>
      </w:r>
      <w:r w:rsidR="00D3135C">
        <w:rPr>
          <w:color w:val="000000"/>
          <w:lang w:val="fr-CH"/>
        </w:rPr>
        <w:t>'</w:t>
      </w:r>
      <w:r w:rsidRPr="008653E6">
        <w:rPr>
          <w:color w:val="000000"/>
          <w:lang w:val="fr-CH"/>
        </w:rPr>
        <w:t>UIT exercerait les fonctions</w:t>
      </w:r>
      <w:r w:rsidR="00090BDA">
        <w:rPr>
          <w:color w:val="000000"/>
          <w:lang w:val="fr-CH"/>
        </w:rPr>
        <w:t xml:space="preserve"> d</w:t>
      </w:r>
      <w:r w:rsidR="00D3135C">
        <w:rPr>
          <w:color w:val="000000"/>
          <w:lang w:val="fr-CH"/>
        </w:rPr>
        <w:t>'</w:t>
      </w:r>
      <w:r w:rsidR="00090BDA">
        <w:rPr>
          <w:color w:val="000000"/>
          <w:lang w:val="fr-CH"/>
        </w:rPr>
        <w:t xml:space="preserve">Autorité de surveillance et </w:t>
      </w:r>
      <w:r w:rsidRPr="008653E6">
        <w:rPr>
          <w:color w:val="000000"/>
          <w:lang w:val="fr-CH"/>
        </w:rPr>
        <w:t>serait prochainement en mesure de transférer la responsabilité à l</w:t>
      </w:r>
      <w:r w:rsidR="00D3135C">
        <w:rPr>
          <w:color w:val="000000"/>
          <w:lang w:val="fr-CH"/>
        </w:rPr>
        <w:t>'</w:t>
      </w:r>
      <w:r w:rsidRPr="008653E6">
        <w:rPr>
          <w:color w:val="000000"/>
          <w:lang w:val="fr-CH"/>
        </w:rPr>
        <w:t>UIT, si l</w:t>
      </w:r>
      <w:r w:rsidR="00D3135C">
        <w:rPr>
          <w:color w:val="000000"/>
          <w:lang w:val="fr-CH"/>
        </w:rPr>
        <w:t>'</w:t>
      </w:r>
      <w:r>
        <w:rPr>
          <w:color w:val="000000"/>
          <w:lang w:val="fr-CH"/>
        </w:rPr>
        <w:t>Union</w:t>
      </w:r>
      <w:r w:rsidRPr="008653E6">
        <w:rPr>
          <w:color w:val="000000"/>
          <w:lang w:val="fr-CH"/>
        </w:rPr>
        <w:t xml:space="preserve"> décide d</w:t>
      </w:r>
      <w:r w:rsidR="00D3135C">
        <w:rPr>
          <w:color w:val="000000"/>
          <w:lang w:val="fr-CH"/>
        </w:rPr>
        <w:t>'</w:t>
      </w:r>
      <w:r w:rsidRPr="008653E6">
        <w:rPr>
          <w:color w:val="000000"/>
          <w:lang w:val="fr-CH"/>
        </w:rPr>
        <w:t>assumer les fonctions d</w:t>
      </w:r>
      <w:r w:rsidR="00D3135C">
        <w:rPr>
          <w:color w:val="000000"/>
          <w:lang w:val="fr-CH"/>
        </w:rPr>
        <w:t>'</w:t>
      </w:r>
      <w:r w:rsidRPr="008653E6">
        <w:rPr>
          <w:color w:val="000000"/>
          <w:lang w:val="fr-CH"/>
        </w:rPr>
        <w:t>Autorité de surveillance, lorsque le Protocole entrera en vigueur.</w:t>
      </w:r>
    </w:p>
    <w:p w:rsidR="002A113E" w:rsidRPr="008653E6" w:rsidRDefault="002A113E" w:rsidP="001C1296">
      <w:pPr>
        <w:pStyle w:val="Heading2"/>
        <w:rPr>
          <w:lang w:val="fr-CH"/>
        </w:rPr>
      </w:pPr>
      <w:r w:rsidRPr="008653E6">
        <w:rPr>
          <w:lang w:val="fr-CH"/>
        </w:rPr>
        <w:t>2.5</w:t>
      </w:r>
      <w:r w:rsidRPr="008653E6">
        <w:rPr>
          <w:lang w:val="fr-CH"/>
        </w:rPr>
        <w:tab/>
        <w:t>Budget pour la période 2016-2017</w:t>
      </w:r>
    </w:p>
    <w:p w:rsidR="00721AE5" w:rsidRPr="001C1296" w:rsidRDefault="002A113E" w:rsidP="001C1296">
      <w:pPr>
        <w:rPr>
          <w:lang w:eastAsia="fr-FR"/>
        </w:rPr>
      </w:pPr>
      <w:r w:rsidRPr="001C1296">
        <w:rPr>
          <w:lang w:eastAsia="fr-FR"/>
        </w:rPr>
        <w:t>Le Conseil, à sa session de 2015, a adopté le budget suivant pour l</w:t>
      </w:r>
      <w:r w:rsidR="00D3135C" w:rsidRPr="001C1296">
        <w:rPr>
          <w:lang w:eastAsia="fr-FR"/>
        </w:rPr>
        <w:t>'</w:t>
      </w:r>
      <w:r w:rsidRPr="001C1296">
        <w:rPr>
          <w:lang w:eastAsia="fr-FR"/>
        </w:rPr>
        <w:t>UIT-R pour la période 2016</w:t>
      </w:r>
      <w:r w:rsidRPr="001C1296">
        <w:rPr>
          <w:lang w:eastAsia="fr-FR"/>
        </w:rPr>
        <w:noBreakHyphen/>
        <w:t>2017.</w:t>
      </w:r>
    </w:p>
    <w:p w:rsidR="001C1296" w:rsidRPr="008653E6" w:rsidRDefault="001C1296" w:rsidP="00D04881">
      <w:pPr>
        <w:spacing w:before="0"/>
        <w:rPr>
          <w:lang w:val="fr-CH"/>
        </w:rPr>
      </w:pPr>
    </w:p>
    <w:tbl>
      <w:tblPr>
        <w:tblW w:w="5000" w:type="pct"/>
        <w:jc w:val="center"/>
        <w:tblLayout w:type="fixed"/>
        <w:tblLook w:val="04A0" w:firstRow="1" w:lastRow="0" w:firstColumn="1" w:lastColumn="0" w:noHBand="0" w:noVBand="1"/>
      </w:tblPr>
      <w:tblGrid>
        <w:gridCol w:w="1134"/>
        <w:gridCol w:w="2562"/>
        <w:gridCol w:w="983"/>
        <w:gridCol w:w="921"/>
        <w:gridCol w:w="1062"/>
        <w:gridCol w:w="889"/>
        <w:gridCol w:w="1047"/>
        <w:gridCol w:w="1041"/>
      </w:tblGrid>
      <w:tr w:rsidR="002A113E" w:rsidRPr="002A113E" w:rsidTr="00A47565">
        <w:trPr>
          <w:trHeight w:val="405"/>
          <w:jc w:val="center"/>
        </w:trPr>
        <w:tc>
          <w:tcPr>
            <w:tcW w:w="5000" w:type="pct"/>
            <w:gridSpan w:val="8"/>
            <w:tcBorders>
              <w:top w:val="nil"/>
              <w:left w:val="nil"/>
              <w:bottom w:val="single" w:sz="4" w:space="0" w:color="000099"/>
              <w:right w:val="nil"/>
            </w:tcBorders>
            <w:shd w:val="clear" w:color="auto" w:fill="FFFFFF"/>
          </w:tcPr>
          <w:p w:rsidR="002A113E" w:rsidRPr="002A113E" w:rsidRDefault="002A113E" w:rsidP="00A47565">
            <w:pPr>
              <w:pStyle w:val="Tablehead"/>
              <w:rPr>
                <w:color w:val="0070C0"/>
                <w:sz w:val="16"/>
                <w:szCs w:val="14"/>
                <w:lang w:val="en-GB"/>
              </w:rPr>
            </w:pPr>
            <w:r w:rsidRPr="002A113E">
              <w:rPr>
                <w:color w:val="0070C0"/>
                <w:sz w:val="16"/>
                <w:szCs w:val="14"/>
                <w:lang w:val="en-GB"/>
              </w:rPr>
              <w:t>Budget 2016-2017</w:t>
            </w:r>
            <w:r w:rsidR="00D04881">
              <w:rPr>
                <w:color w:val="0070C0"/>
                <w:sz w:val="16"/>
                <w:szCs w:val="14"/>
                <w:lang w:val="en-GB"/>
              </w:rPr>
              <w:t xml:space="preserve"> </w:t>
            </w:r>
            <w:r w:rsidRPr="002A113E">
              <w:rPr>
                <w:color w:val="0070C0"/>
                <w:sz w:val="16"/>
                <w:szCs w:val="14"/>
                <w:lang w:val="en-GB"/>
              </w:rPr>
              <w:t>– Secteur des radiocommunications</w:t>
            </w:r>
          </w:p>
        </w:tc>
      </w:tr>
      <w:tr w:rsidR="002A113E" w:rsidRPr="002A113E" w:rsidTr="00A47565">
        <w:trPr>
          <w:trHeight w:val="240"/>
          <w:jc w:val="center"/>
        </w:trPr>
        <w:tc>
          <w:tcPr>
            <w:tcW w:w="588" w:type="pct"/>
            <w:tcBorders>
              <w:top w:val="single" w:sz="4" w:space="0" w:color="000099"/>
              <w:left w:val="nil"/>
              <w:bottom w:val="nil"/>
              <w:right w:val="nil"/>
            </w:tcBorders>
            <w:shd w:val="clear" w:color="auto" w:fill="DBE5F1"/>
            <w:noWrap/>
            <w:vAlign w:val="center"/>
            <w:hideMark/>
          </w:tcPr>
          <w:p w:rsidR="002A113E" w:rsidRPr="002A113E" w:rsidRDefault="002A113E" w:rsidP="00A47565">
            <w:pPr>
              <w:pStyle w:val="Tablehead"/>
              <w:rPr>
                <w:rFonts w:eastAsiaTheme="minorEastAsia"/>
                <w:sz w:val="16"/>
                <w:szCs w:val="16"/>
              </w:rPr>
            </w:pPr>
            <w:r w:rsidRPr="002A113E">
              <w:rPr>
                <w:sz w:val="16"/>
                <w:szCs w:val="16"/>
              </w:rPr>
              <w:t> </w:t>
            </w:r>
          </w:p>
        </w:tc>
        <w:tc>
          <w:tcPr>
            <w:tcW w:w="1329" w:type="pct"/>
            <w:tcBorders>
              <w:top w:val="single" w:sz="4" w:space="0" w:color="000099"/>
              <w:left w:val="nil"/>
              <w:bottom w:val="nil"/>
              <w:right w:val="nil"/>
            </w:tcBorders>
            <w:shd w:val="clear" w:color="auto" w:fill="DBE5F1"/>
            <w:noWrap/>
            <w:vAlign w:val="center"/>
            <w:hideMark/>
          </w:tcPr>
          <w:p w:rsidR="002A113E" w:rsidRPr="002A113E" w:rsidRDefault="002A113E" w:rsidP="00A47565">
            <w:pPr>
              <w:pStyle w:val="Tablehead"/>
              <w:rPr>
                <w:color w:val="0070C0"/>
                <w:sz w:val="16"/>
                <w:szCs w:val="14"/>
                <w:lang w:val="en-GB"/>
              </w:rPr>
            </w:pPr>
          </w:p>
        </w:tc>
        <w:tc>
          <w:tcPr>
            <w:tcW w:w="3083" w:type="pct"/>
            <w:gridSpan w:val="6"/>
            <w:tcBorders>
              <w:top w:val="single" w:sz="4" w:space="0" w:color="000099"/>
              <w:left w:val="nil"/>
              <w:bottom w:val="nil"/>
              <w:right w:val="nil"/>
            </w:tcBorders>
            <w:shd w:val="clear" w:color="auto" w:fill="DBE5F1"/>
          </w:tcPr>
          <w:p w:rsidR="002A113E" w:rsidRPr="002A113E" w:rsidRDefault="002A113E" w:rsidP="00A47565">
            <w:pPr>
              <w:pStyle w:val="Tablehead"/>
              <w:rPr>
                <w:color w:val="0070C0"/>
                <w:sz w:val="16"/>
                <w:szCs w:val="14"/>
                <w:lang w:val="en-GB"/>
              </w:rPr>
            </w:pPr>
            <w:r w:rsidRPr="002A113E">
              <w:rPr>
                <w:color w:val="0070C0"/>
                <w:sz w:val="16"/>
                <w:szCs w:val="14"/>
                <w:lang w:val="en-GB"/>
              </w:rPr>
              <w:t>En milliers CHF</w:t>
            </w:r>
          </w:p>
        </w:tc>
      </w:tr>
      <w:tr w:rsidR="002A113E" w:rsidRPr="002A113E" w:rsidTr="002A113E">
        <w:trPr>
          <w:trHeight w:val="300"/>
          <w:jc w:val="center"/>
        </w:trPr>
        <w:tc>
          <w:tcPr>
            <w:tcW w:w="1917" w:type="pct"/>
            <w:gridSpan w:val="2"/>
            <w:shd w:val="clear" w:color="auto" w:fill="DBE5F1"/>
            <w:noWrap/>
            <w:vAlign w:val="center"/>
            <w:hideMark/>
          </w:tcPr>
          <w:p w:rsidR="002A113E" w:rsidRPr="002A113E" w:rsidRDefault="002A113E" w:rsidP="00A47565">
            <w:pPr>
              <w:pStyle w:val="Tablehead"/>
              <w:rPr>
                <w:color w:val="0070C0"/>
                <w:sz w:val="16"/>
                <w:szCs w:val="14"/>
                <w:lang w:val="en-GB"/>
              </w:rPr>
            </w:pPr>
            <w:r w:rsidRPr="002A113E">
              <w:rPr>
                <w:color w:val="0070C0"/>
                <w:sz w:val="16"/>
                <w:szCs w:val="14"/>
                <w:lang w:val="en-GB"/>
              </w:rPr>
              <w:t>Charges opérationnelles par chapitre</w:t>
            </w:r>
          </w:p>
        </w:tc>
        <w:tc>
          <w:tcPr>
            <w:tcW w:w="510" w:type="pct"/>
            <w:shd w:val="clear" w:color="auto" w:fill="DBE5F1"/>
            <w:noWrap/>
            <w:vAlign w:val="center"/>
            <w:hideMark/>
          </w:tcPr>
          <w:p w:rsidR="002A113E" w:rsidRPr="002A113E" w:rsidRDefault="002A113E" w:rsidP="00A47565">
            <w:pPr>
              <w:pStyle w:val="Tablehead"/>
              <w:rPr>
                <w:color w:val="0070C0"/>
                <w:sz w:val="16"/>
                <w:szCs w:val="14"/>
                <w:lang w:val="en-GB"/>
              </w:rPr>
            </w:pPr>
            <w:r w:rsidRPr="002A113E">
              <w:rPr>
                <w:color w:val="0070C0"/>
                <w:sz w:val="16"/>
                <w:szCs w:val="14"/>
                <w:lang w:val="en-GB"/>
              </w:rPr>
              <w:t>Montants effectifs</w:t>
            </w:r>
          </w:p>
        </w:tc>
        <w:tc>
          <w:tcPr>
            <w:tcW w:w="478" w:type="pct"/>
            <w:shd w:val="clear" w:color="auto" w:fill="DBE5F1"/>
            <w:noWrap/>
            <w:vAlign w:val="center"/>
            <w:hideMark/>
          </w:tcPr>
          <w:p w:rsidR="002A113E" w:rsidRPr="002A113E" w:rsidRDefault="002A113E" w:rsidP="00A47565">
            <w:pPr>
              <w:pStyle w:val="Tablehead"/>
              <w:rPr>
                <w:color w:val="0070C0"/>
                <w:sz w:val="16"/>
                <w:szCs w:val="14"/>
                <w:lang w:val="en-GB"/>
              </w:rPr>
            </w:pPr>
            <w:r w:rsidRPr="002A113E">
              <w:rPr>
                <w:color w:val="0070C0"/>
                <w:sz w:val="16"/>
                <w:szCs w:val="14"/>
                <w:lang w:val="en-GB"/>
              </w:rPr>
              <w:t>Budget</w:t>
            </w:r>
          </w:p>
        </w:tc>
        <w:tc>
          <w:tcPr>
            <w:tcW w:w="551" w:type="pct"/>
            <w:shd w:val="clear" w:color="auto" w:fill="DBE5F1"/>
            <w:vAlign w:val="center"/>
          </w:tcPr>
          <w:p w:rsidR="002A113E" w:rsidRPr="002A113E" w:rsidRDefault="002A113E" w:rsidP="00A47565">
            <w:pPr>
              <w:pStyle w:val="Tablehead"/>
              <w:rPr>
                <w:color w:val="0070C0"/>
                <w:sz w:val="16"/>
                <w:szCs w:val="14"/>
                <w:lang w:val="en-GB"/>
              </w:rPr>
            </w:pPr>
            <w:r w:rsidRPr="002A113E">
              <w:rPr>
                <w:color w:val="0070C0"/>
                <w:sz w:val="16"/>
                <w:szCs w:val="14"/>
                <w:lang w:val="en-GB"/>
              </w:rPr>
              <w:t>Estimations</w:t>
            </w:r>
          </w:p>
        </w:tc>
        <w:tc>
          <w:tcPr>
            <w:tcW w:w="461" w:type="pct"/>
            <w:shd w:val="clear" w:color="auto" w:fill="DBE5F1"/>
          </w:tcPr>
          <w:p w:rsidR="002A113E" w:rsidRPr="002A113E" w:rsidRDefault="002A113E" w:rsidP="00A47565">
            <w:pPr>
              <w:pStyle w:val="Tablehead"/>
              <w:rPr>
                <w:color w:val="0070C0"/>
                <w:sz w:val="16"/>
                <w:szCs w:val="14"/>
                <w:lang w:val="en-GB"/>
              </w:rPr>
            </w:pPr>
            <w:r w:rsidRPr="002A113E">
              <w:rPr>
                <w:color w:val="0070C0"/>
                <w:sz w:val="16"/>
                <w:szCs w:val="14"/>
                <w:lang w:val="en-GB"/>
              </w:rPr>
              <w:t>Montants effectifs</w:t>
            </w:r>
          </w:p>
        </w:tc>
        <w:tc>
          <w:tcPr>
            <w:tcW w:w="543" w:type="pct"/>
            <w:shd w:val="clear" w:color="auto" w:fill="DBE5F1"/>
            <w:noWrap/>
            <w:vAlign w:val="center"/>
            <w:hideMark/>
          </w:tcPr>
          <w:p w:rsidR="002A113E" w:rsidRPr="002A113E" w:rsidRDefault="002A113E" w:rsidP="00A47565">
            <w:pPr>
              <w:pStyle w:val="Tablehead"/>
              <w:rPr>
                <w:color w:val="0070C0"/>
                <w:sz w:val="16"/>
                <w:szCs w:val="14"/>
                <w:lang w:val="en-GB"/>
              </w:rPr>
            </w:pPr>
            <w:r w:rsidRPr="002A113E">
              <w:rPr>
                <w:color w:val="0070C0"/>
                <w:sz w:val="16"/>
                <w:szCs w:val="14"/>
                <w:lang w:val="en-GB"/>
              </w:rPr>
              <w:t>Estimations</w:t>
            </w:r>
          </w:p>
        </w:tc>
        <w:tc>
          <w:tcPr>
            <w:tcW w:w="540" w:type="pct"/>
            <w:shd w:val="clear" w:color="auto" w:fill="DBE5F1"/>
            <w:noWrap/>
            <w:vAlign w:val="center"/>
            <w:hideMark/>
          </w:tcPr>
          <w:p w:rsidR="002A113E" w:rsidRPr="002A113E" w:rsidRDefault="002A113E" w:rsidP="00A47565">
            <w:pPr>
              <w:pStyle w:val="Tablehead"/>
              <w:rPr>
                <w:color w:val="0070C0"/>
                <w:sz w:val="16"/>
                <w:szCs w:val="14"/>
                <w:lang w:val="en-GB"/>
              </w:rPr>
            </w:pPr>
            <w:r w:rsidRPr="002A113E">
              <w:rPr>
                <w:color w:val="0070C0"/>
                <w:sz w:val="16"/>
                <w:szCs w:val="14"/>
                <w:lang w:val="en-GB"/>
              </w:rPr>
              <w:t>Estimations</w:t>
            </w:r>
          </w:p>
        </w:tc>
      </w:tr>
      <w:tr w:rsidR="002A113E" w:rsidRPr="002A113E" w:rsidTr="002A113E">
        <w:trPr>
          <w:trHeight w:val="240"/>
          <w:jc w:val="center"/>
        </w:trPr>
        <w:tc>
          <w:tcPr>
            <w:tcW w:w="588" w:type="pct"/>
            <w:tcBorders>
              <w:top w:val="nil"/>
              <w:left w:val="nil"/>
              <w:bottom w:val="single" w:sz="4" w:space="0" w:color="000099"/>
              <w:right w:val="nil"/>
            </w:tcBorders>
            <w:shd w:val="clear" w:color="auto" w:fill="DBE5F1"/>
            <w:noWrap/>
            <w:vAlign w:val="center"/>
            <w:hideMark/>
          </w:tcPr>
          <w:p w:rsidR="002A113E" w:rsidRPr="002A113E" w:rsidRDefault="002A113E" w:rsidP="002A113E">
            <w:pPr>
              <w:pStyle w:val="Tablehead"/>
              <w:rPr>
                <w:rFonts w:eastAsiaTheme="minorEastAsia"/>
                <w:sz w:val="16"/>
                <w:szCs w:val="16"/>
              </w:rPr>
            </w:pPr>
            <w:r w:rsidRPr="002A113E">
              <w:rPr>
                <w:sz w:val="16"/>
                <w:szCs w:val="16"/>
              </w:rPr>
              <w:t> </w:t>
            </w:r>
          </w:p>
        </w:tc>
        <w:tc>
          <w:tcPr>
            <w:tcW w:w="1329" w:type="pct"/>
            <w:tcBorders>
              <w:top w:val="nil"/>
              <w:left w:val="nil"/>
              <w:bottom w:val="single" w:sz="4" w:space="0" w:color="000099"/>
              <w:right w:val="nil"/>
            </w:tcBorders>
            <w:shd w:val="clear" w:color="auto" w:fill="DBE5F1"/>
            <w:noWrap/>
            <w:vAlign w:val="center"/>
            <w:hideMark/>
          </w:tcPr>
          <w:p w:rsidR="002A113E" w:rsidRPr="002A113E" w:rsidRDefault="002A113E" w:rsidP="002A113E">
            <w:pPr>
              <w:pStyle w:val="Tablehead"/>
              <w:rPr>
                <w:rFonts w:eastAsiaTheme="minorEastAsia"/>
                <w:sz w:val="16"/>
                <w:szCs w:val="16"/>
              </w:rPr>
            </w:pPr>
            <w:r w:rsidRPr="002A113E">
              <w:rPr>
                <w:sz w:val="16"/>
                <w:szCs w:val="16"/>
              </w:rPr>
              <w:t> </w:t>
            </w:r>
          </w:p>
        </w:tc>
        <w:tc>
          <w:tcPr>
            <w:tcW w:w="510" w:type="pct"/>
            <w:tcBorders>
              <w:top w:val="nil"/>
              <w:left w:val="nil"/>
              <w:bottom w:val="single" w:sz="4" w:space="0" w:color="000099"/>
              <w:right w:val="nil"/>
            </w:tcBorders>
            <w:shd w:val="clear" w:color="auto" w:fill="DBE5F1"/>
            <w:vAlign w:val="center"/>
            <w:hideMark/>
          </w:tcPr>
          <w:p w:rsidR="002A113E" w:rsidRPr="008E21F0" w:rsidRDefault="002A113E" w:rsidP="002A113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2012-2013</w:t>
            </w:r>
          </w:p>
        </w:tc>
        <w:tc>
          <w:tcPr>
            <w:tcW w:w="478" w:type="pct"/>
            <w:tcBorders>
              <w:top w:val="nil"/>
              <w:left w:val="nil"/>
              <w:bottom w:val="single" w:sz="4" w:space="0" w:color="000099"/>
              <w:right w:val="nil"/>
            </w:tcBorders>
            <w:shd w:val="clear" w:color="auto" w:fill="DBE5F1"/>
            <w:vAlign w:val="center"/>
            <w:hideMark/>
          </w:tcPr>
          <w:p w:rsidR="002A113E" w:rsidRPr="008E21F0" w:rsidRDefault="002A113E" w:rsidP="002A113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2014-2015</w:t>
            </w:r>
          </w:p>
        </w:tc>
        <w:tc>
          <w:tcPr>
            <w:tcW w:w="551" w:type="pct"/>
            <w:tcBorders>
              <w:top w:val="nil"/>
              <w:left w:val="nil"/>
              <w:bottom w:val="single" w:sz="4" w:space="0" w:color="000099"/>
              <w:right w:val="nil"/>
            </w:tcBorders>
            <w:shd w:val="clear" w:color="auto" w:fill="DBE5F1"/>
            <w:noWrap/>
            <w:vAlign w:val="center"/>
          </w:tcPr>
          <w:p w:rsidR="002A113E" w:rsidRPr="008E21F0" w:rsidRDefault="002A113E" w:rsidP="002A113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2016</w:t>
            </w:r>
          </w:p>
        </w:tc>
        <w:tc>
          <w:tcPr>
            <w:tcW w:w="461" w:type="pct"/>
            <w:tcBorders>
              <w:top w:val="nil"/>
              <w:left w:val="nil"/>
              <w:bottom w:val="single" w:sz="4" w:space="0" w:color="000099"/>
              <w:right w:val="nil"/>
            </w:tcBorders>
            <w:shd w:val="clear" w:color="auto" w:fill="DBE5F1"/>
            <w:vAlign w:val="center"/>
          </w:tcPr>
          <w:p w:rsidR="002A113E" w:rsidRPr="008E21F0" w:rsidRDefault="002A113E" w:rsidP="002A113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2017</w:t>
            </w:r>
          </w:p>
        </w:tc>
        <w:tc>
          <w:tcPr>
            <w:tcW w:w="543" w:type="pct"/>
            <w:tcBorders>
              <w:top w:val="nil"/>
              <w:left w:val="nil"/>
              <w:bottom w:val="single" w:sz="4" w:space="0" w:color="000099"/>
              <w:right w:val="nil"/>
            </w:tcBorders>
            <w:shd w:val="clear" w:color="auto" w:fill="DBE5F1"/>
            <w:vAlign w:val="center"/>
            <w:hideMark/>
          </w:tcPr>
          <w:p w:rsidR="002A113E" w:rsidRPr="008E21F0" w:rsidRDefault="002A113E" w:rsidP="002A113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2016</w:t>
            </w:r>
          </w:p>
        </w:tc>
        <w:tc>
          <w:tcPr>
            <w:tcW w:w="540" w:type="pct"/>
            <w:tcBorders>
              <w:top w:val="nil"/>
              <w:left w:val="nil"/>
              <w:bottom w:val="single" w:sz="4" w:space="0" w:color="000099"/>
              <w:right w:val="nil"/>
            </w:tcBorders>
            <w:shd w:val="clear" w:color="auto" w:fill="DBE5F1"/>
            <w:vAlign w:val="center"/>
            <w:hideMark/>
          </w:tcPr>
          <w:p w:rsidR="002A113E" w:rsidRPr="008E21F0" w:rsidRDefault="002A113E" w:rsidP="002A113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color w:val="0070C0"/>
                <w:sz w:val="16"/>
                <w:szCs w:val="14"/>
              </w:rPr>
            </w:pPr>
            <w:r w:rsidRPr="008E21F0">
              <w:rPr>
                <w:b/>
                <w:color w:val="0070C0"/>
                <w:sz w:val="16"/>
                <w:szCs w:val="14"/>
              </w:rPr>
              <w:t>2016-2017</w:t>
            </w: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3.1</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Conférences mondiales des radiocommunications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2 619</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2 811</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3.2</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Assemblées des radiocommunications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360</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368</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4.1</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Conférences régionales des radiocommunications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5.1</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Comité du Règlement des radiocommunications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925</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1 462</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77</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705</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705</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1 410</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5.2</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Groupe consultatif des radiocommunications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105</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143</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74</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75</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149</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6</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Commissions d</w:t>
            </w:r>
            <w:r w:rsidR="00D3135C">
              <w:rPr>
                <w:rFonts w:eastAsia="SimSun"/>
                <w:sz w:val="16"/>
                <w:szCs w:val="16"/>
              </w:rPr>
              <w:t>'</w:t>
            </w:r>
            <w:r w:rsidRPr="002A113E">
              <w:rPr>
                <w:rFonts w:eastAsia="SimSun"/>
                <w:sz w:val="16"/>
                <w:szCs w:val="16"/>
              </w:rPr>
              <w:t>études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503</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1 963</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735</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735</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1 470</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7</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Activités et programmes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801</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1 500</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592</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608</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1 200</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8</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Séminaires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337</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943</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0</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438</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438</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876</w:t>
            </w:r>
          </w:p>
        </w:tc>
      </w:tr>
      <w:tr w:rsidR="002A113E" w:rsidRPr="002A113E" w:rsidTr="002A113E">
        <w:trPr>
          <w:trHeight w:val="199"/>
          <w:jc w:val="center"/>
        </w:trPr>
        <w:tc>
          <w:tcPr>
            <w:tcW w:w="588" w:type="pct"/>
            <w:noWrap/>
            <w:hideMark/>
          </w:tcPr>
          <w:p w:rsidR="002A113E" w:rsidRPr="002A113E" w:rsidRDefault="002A113E" w:rsidP="00A47565">
            <w:pPr>
              <w:pStyle w:val="Tabletext"/>
              <w:rPr>
                <w:sz w:val="16"/>
                <w:szCs w:val="16"/>
              </w:rPr>
            </w:pPr>
          </w:p>
        </w:tc>
        <w:tc>
          <w:tcPr>
            <w:tcW w:w="1329" w:type="pct"/>
            <w:noWrap/>
            <w:vAlign w:val="center"/>
            <w:hideMark/>
          </w:tcPr>
          <w:p w:rsidR="002A113E" w:rsidRPr="002A113E" w:rsidRDefault="002A113E" w:rsidP="00A47565">
            <w:pPr>
              <w:pStyle w:val="Tabletext"/>
              <w:rPr>
                <w:sz w:val="16"/>
                <w:szCs w:val="16"/>
              </w:rPr>
            </w:pPr>
          </w:p>
        </w:tc>
        <w:tc>
          <w:tcPr>
            <w:tcW w:w="510" w:type="pct"/>
            <w:noWrap/>
            <w:vAlign w:val="center"/>
            <w:hideMark/>
          </w:tcPr>
          <w:p w:rsidR="002A113E" w:rsidRPr="002A113E" w:rsidRDefault="002A113E" w:rsidP="00A47565">
            <w:pPr>
              <w:pStyle w:val="Tabletext"/>
              <w:jc w:val="right"/>
              <w:rPr>
                <w:sz w:val="16"/>
                <w:szCs w:val="16"/>
              </w:rPr>
            </w:pPr>
          </w:p>
        </w:tc>
        <w:tc>
          <w:tcPr>
            <w:tcW w:w="478" w:type="pct"/>
            <w:noWrap/>
            <w:vAlign w:val="center"/>
            <w:hideMark/>
          </w:tcPr>
          <w:p w:rsidR="002A113E" w:rsidRPr="002A113E" w:rsidRDefault="002A113E" w:rsidP="00A47565">
            <w:pPr>
              <w:pStyle w:val="Tabletext"/>
              <w:jc w:val="right"/>
              <w:rPr>
                <w:sz w:val="16"/>
                <w:szCs w:val="16"/>
              </w:rPr>
            </w:pPr>
          </w:p>
        </w:tc>
        <w:tc>
          <w:tcPr>
            <w:tcW w:w="551" w:type="pct"/>
            <w:noWrap/>
            <w:vAlign w:val="center"/>
          </w:tcPr>
          <w:p w:rsidR="002A113E" w:rsidRPr="002A113E" w:rsidRDefault="002A113E" w:rsidP="00A47565">
            <w:pPr>
              <w:pStyle w:val="Tabletext"/>
              <w:jc w:val="right"/>
              <w:rPr>
                <w:sz w:val="16"/>
                <w:szCs w:val="16"/>
              </w:rPr>
            </w:pPr>
          </w:p>
        </w:tc>
        <w:tc>
          <w:tcPr>
            <w:tcW w:w="461" w:type="pct"/>
            <w:vAlign w:val="center"/>
          </w:tcPr>
          <w:p w:rsidR="002A113E" w:rsidRPr="002A113E" w:rsidRDefault="002A113E" w:rsidP="00A47565">
            <w:pPr>
              <w:pStyle w:val="Tabletext"/>
              <w:jc w:val="right"/>
              <w:rPr>
                <w:sz w:val="16"/>
                <w:szCs w:val="16"/>
              </w:rPr>
            </w:pPr>
          </w:p>
        </w:tc>
        <w:tc>
          <w:tcPr>
            <w:tcW w:w="543" w:type="pct"/>
            <w:noWrap/>
            <w:vAlign w:val="center"/>
            <w:hideMark/>
          </w:tcPr>
          <w:p w:rsidR="002A113E" w:rsidRPr="002A113E" w:rsidRDefault="002A113E" w:rsidP="00A47565">
            <w:pPr>
              <w:pStyle w:val="Tabletext"/>
              <w:jc w:val="right"/>
              <w:rPr>
                <w:sz w:val="16"/>
                <w:szCs w:val="16"/>
              </w:rPr>
            </w:pPr>
          </w:p>
        </w:tc>
        <w:tc>
          <w:tcPr>
            <w:tcW w:w="540" w:type="pct"/>
            <w:noWrap/>
            <w:vAlign w:val="center"/>
            <w:hideMark/>
          </w:tcPr>
          <w:p w:rsidR="002A113E" w:rsidRPr="002A113E" w:rsidRDefault="002A113E" w:rsidP="00A47565">
            <w:pPr>
              <w:pStyle w:val="Tabletext"/>
              <w:jc w:val="right"/>
              <w:rPr>
                <w:sz w:val="16"/>
                <w:szCs w:val="16"/>
              </w:rPr>
            </w:pPr>
          </w:p>
        </w:tc>
      </w:tr>
      <w:tr w:rsidR="002A113E" w:rsidRPr="002A113E" w:rsidTr="002A113E">
        <w:trPr>
          <w:trHeight w:val="252"/>
          <w:jc w:val="center"/>
        </w:trPr>
        <w:tc>
          <w:tcPr>
            <w:tcW w:w="588" w:type="pct"/>
            <w:noWrap/>
            <w:hideMark/>
          </w:tcPr>
          <w:p w:rsidR="002A113E" w:rsidRPr="002A113E" w:rsidRDefault="002A113E" w:rsidP="002A113E">
            <w:pPr>
              <w:pStyle w:val="Tabletext"/>
              <w:rPr>
                <w:rFonts w:eastAsiaTheme="minorEastAsia"/>
                <w:sz w:val="16"/>
                <w:szCs w:val="16"/>
              </w:rPr>
            </w:pPr>
            <w:r w:rsidRPr="002A113E">
              <w:rPr>
                <w:sz w:val="16"/>
                <w:szCs w:val="16"/>
              </w:rPr>
              <w:t>Chapitre 9</w:t>
            </w: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Bureau</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53 472</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52 993</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2 013</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26 058</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26 338</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52 396</w:t>
            </w:r>
          </w:p>
        </w:tc>
      </w:tr>
      <w:tr w:rsidR="002A113E" w:rsidRPr="002A113E" w:rsidTr="002A113E">
        <w:trPr>
          <w:trHeight w:val="252"/>
          <w:jc w:val="center"/>
        </w:trPr>
        <w:tc>
          <w:tcPr>
            <w:tcW w:w="588" w:type="pct"/>
            <w:noWrap/>
            <w:vAlign w:val="center"/>
            <w:hideMark/>
          </w:tcPr>
          <w:p w:rsidR="002A113E" w:rsidRPr="002A113E" w:rsidRDefault="002A113E" w:rsidP="002A113E">
            <w:pPr>
              <w:pStyle w:val="Tabletext"/>
              <w:rPr>
                <w:sz w:val="16"/>
                <w:szCs w:val="16"/>
              </w:rPr>
            </w:pP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w:t>
            </w:r>
            <w:r w:rsidRPr="002A113E">
              <w:rPr>
                <w:rFonts w:eastAsia="SimSun"/>
                <w:sz w:val="16"/>
                <w:szCs w:val="16"/>
              </w:rPr>
              <w:tab/>
              <w:t>Charges communes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1 991</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1 949</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3</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896</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934</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1 792</w:t>
            </w:r>
          </w:p>
        </w:tc>
      </w:tr>
      <w:tr w:rsidR="002A113E" w:rsidRPr="002A113E" w:rsidTr="002A113E">
        <w:trPr>
          <w:trHeight w:val="252"/>
          <w:jc w:val="center"/>
        </w:trPr>
        <w:tc>
          <w:tcPr>
            <w:tcW w:w="588" w:type="pct"/>
            <w:noWrap/>
            <w:vAlign w:val="center"/>
            <w:hideMark/>
          </w:tcPr>
          <w:p w:rsidR="002A113E" w:rsidRPr="002A113E" w:rsidRDefault="002A113E" w:rsidP="002A113E">
            <w:pPr>
              <w:pStyle w:val="Tabletext"/>
              <w:rPr>
                <w:sz w:val="16"/>
                <w:szCs w:val="16"/>
              </w:rPr>
            </w:pPr>
          </w:p>
        </w:tc>
        <w:tc>
          <w:tcPr>
            <w:tcW w:w="1329" w:type="pct"/>
            <w:noWrap/>
            <w:vAlign w:val="center"/>
            <w:hideMark/>
          </w:tcPr>
          <w:p w:rsidR="002A113E" w:rsidRPr="002A113E" w:rsidRDefault="002A113E" w:rsidP="002A113E">
            <w:pPr>
              <w:pStyle w:val="Tabletext"/>
              <w:rPr>
                <w:rFonts w:eastAsiaTheme="minorEastAsia"/>
                <w:sz w:val="16"/>
                <w:szCs w:val="16"/>
              </w:rPr>
            </w:pPr>
            <w:r w:rsidRPr="002A113E">
              <w:rPr>
                <w:rFonts w:eastAsia="SimSun"/>
                <w:sz w:val="16"/>
                <w:szCs w:val="16"/>
              </w:rPr>
              <w:t>–</w:t>
            </w:r>
            <w:r w:rsidRPr="002A113E">
              <w:rPr>
                <w:rFonts w:eastAsia="SimSun"/>
                <w:sz w:val="16"/>
                <w:szCs w:val="16"/>
              </w:rPr>
              <w:tab/>
              <w:t>Bureau du Directeur</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1 190</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1 273</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54</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655</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629</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1 309</w:t>
            </w:r>
          </w:p>
        </w:tc>
      </w:tr>
      <w:tr w:rsidR="002A113E" w:rsidRPr="002A113E" w:rsidTr="002A113E">
        <w:trPr>
          <w:trHeight w:val="252"/>
          <w:jc w:val="center"/>
        </w:trPr>
        <w:tc>
          <w:tcPr>
            <w:tcW w:w="588" w:type="pct"/>
            <w:noWrap/>
            <w:vAlign w:val="center"/>
            <w:hideMark/>
          </w:tcPr>
          <w:p w:rsidR="002A113E" w:rsidRPr="002A113E" w:rsidRDefault="002A113E" w:rsidP="002A113E">
            <w:pPr>
              <w:pStyle w:val="Tabletext"/>
              <w:rPr>
                <w:sz w:val="16"/>
                <w:szCs w:val="16"/>
              </w:rPr>
            </w:pPr>
          </w:p>
        </w:tc>
        <w:tc>
          <w:tcPr>
            <w:tcW w:w="1329" w:type="pct"/>
            <w:noWrap/>
            <w:vAlign w:val="center"/>
            <w:hideMark/>
          </w:tcPr>
          <w:p w:rsidR="002A113E" w:rsidRPr="002A113E" w:rsidRDefault="002A113E" w:rsidP="002A113E">
            <w:pPr>
              <w:pStyle w:val="Tabletext"/>
              <w:ind w:left="284" w:hanging="284"/>
              <w:rPr>
                <w:rFonts w:eastAsiaTheme="minorEastAsia"/>
                <w:sz w:val="16"/>
                <w:szCs w:val="16"/>
              </w:rPr>
            </w:pPr>
            <w:r w:rsidRPr="002A113E">
              <w:rPr>
                <w:rFonts w:eastAsia="SimSun"/>
                <w:sz w:val="16"/>
                <w:szCs w:val="16"/>
              </w:rPr>
              <w:t>–</w:t>
            </w:r>
            <w:r w:rsidRPr="002A113E">
              <w:rPr>
                <w:rFonts w:eastAsia="SimSun"/>
                <w:sz w:val="16"/>
                <w:szCs w:val="16"/>
              </w:rPr>
              <w:tab/>
              <w:t>Département des commissions d</w:t>
            </w:r>
            <w:r w:rsidR="00D3135C">
              <w:rPr>
                <w:rFonts w:eastAsia="SimSun"/>
                <w:sz w:val="16"/>
                <w:szCs w:val="16"/>
              </w:rPr>
              <w:t>'</w:t>
            </w:r>
            <w:r w:rsidRPr="002A113E">
              <w:rPr>
                <w:rFonts w:eastAsia="SimSun"/>
                <w:sz w:val="16"/>
                <w:szCs w:val="16"/>
              </w:rPr>
              <w:t>études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5 655</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5 070</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273</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2 839</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2 839</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5 684</w:t>
            </w:r>
          </w:p>
        </w:tc>
      </w:tr>
      <w:tr w:rsidR="002A113E" w:rsidRPr="002A113E" w:rsidTr="002A113E">
        <w:trPr>
          <w:trHeight w:val="252"/>
          <w:jc w:val="center"/>
        </w:trPr>
        <w:tc>
          <w:tcPr>
            <w:tcW w:w="588" w:type="pct"/>
            <w:noWrap/>
            <w:vAlign w:val="center"/>
            <w:hideMark/>
          </w:tcPr>
          <w:p w:rsidR="002A113E" w:rsidRPr="002A113E" w:rsidRDefault="002A113E" w:rsidP="002A113E">
            <w:pPr>
              <w:pStyle w:val="Tabletext"/>
              <w:rPr>
                <w:sz w:val="16"/>
                <w:szCs w:val="16"/>
              </w:rPr>
            </w:pPr>
          </w:p>
        </w:tc>
        <w:tc>
          <w:tcPr>
            <w:tcW w:w="1329" w:type="pct"/>
            <w:noWrap/>
            <w:vAlign w:val="center"/>
            <w:hideMark/>
          </w:tcPr>
          <w:p w:rsidR="002A113E" w:rsidRPr="002A113E" w:rsidRDefault="002A113E" w:rsidP="002A113E">
            <w:pPr>
              <w:pStyle w:val="Tabletext"/>
              <w:ind w:left="284" w:hanging="284"/>
              <w:rPr>
                <w:rFonts w:eastAsiaTheme="minorEastAsia"/>
                <w:sz w:val="16"/>
                <w:szCs w:val="16"/>
              </w:rPr>
            </w:pPr>
            <w:r w:rsidRPr="002A113E">
              <w:rPr>
                <w:rFonts w:eastAsia="SimSun"/>
                <w:sz w:val="16"/>
                <w:szCs w:val="16"/>
              </w:rPr>
              <w:t>–</w:t>
            </w:r>
            <w:r w:rsidRPr="002A113E">
              <w:rPr>
                <w:rFonts w:eastAsia="SimSun"/>
                <w:sz w:val="16"/>
                <w:szCs w:val="16"/>
              </w:rPr>
              <w:tab/>
              <w:t>Département des services spatiaux</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17 289</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16 615</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657</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7 888</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8 161</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16 049</w:t>
            </w:r>
          </w:p>
        </w:tc>
      </w:tr>
      <w:tr w:rsidR="002A113E" w:rsidRPr="002A113E" w:rsidTr="002A113E">
        <w:trPr>
          <w:trHeight w:val="252"/>
          <w:jc w:val="center"/>
        </w:trPr>
        <w:tc>
          <w:tcPr>
            <w:tcW w:w="588" w:type="pct"/>
            <w:noWrap/>
            <w:vAlign w:val="center"/>
            <w:hideMark/>
          </w:tcPr>
          <w:p w:rsidR="002A113E" w:rsidRPr="002A113E" w:rsidRDefault="002A113E" w:rsidP="002A113E">
            <w:pPr>
              <w:pStyle w:val="Tabletext"/>
              <w:rPr>
                <w:sz w:val="16"/>
                <w:szCs w:val="16"/>
              </w:rPr>
            </w:pPr>
          </w:p>
        </w:tc>
        <w:tc>
          <w:tcPr>
            <w:tcW w:w="1329" w:type="pct"/>
            <w:noWrap/>
            <w:vAlign w:val="center"/>
            <w:hideMark/>
          </w:tcPr>
          <w:p w:rsidR="002A113E" w:rsidRPr="002A113E" w:rsidRDefault="002A113E" w:rsidP="002A113E">
            <w:pPr>
              <w:pStyle w:val="Tabletext"/>
              <w:ind w:left="284" w:hanging="284"/>
              <w:rPr>
                <w:rFonts w:eastAsiaTheme="minorEastAsia"/>
                <w:sz w:val="16"/>
                <w:szCs w:val="16"/>
              </w:rPr>
            </w:pPr>
            <w:r w:rsidRPr="002A113E">
              <w:rPr>
                <w:rFonts w:eastAsia="SimSun"/>
                <w:sz w:val="16"/>
                <w:szCs w:val="16"/>
              </w:rPr>
              <w:t>–</w:t>
            </w:r>
            <w:r w:rsidRPr="002A113E">
              <w:rPr>
                <w:rFonts w:eastAsia="SimSun"/>
                <w:sz w:val="16"/>
                <w:szCs w:val="16"/>
              </w:rPr>
              <w:tab/>
              <w:t>Département des services de Terre</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13 557</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13 086</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475</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6 217</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6 303</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12 520</w:t>
            </w:r>
          </w:p>
        </w:tc>
      </w:tr>
      <w:tr w:rsidR="002A113E" w:rsidRPr="002A113E" w:rsidTr="002A113E">
        <w:trPr>
          <w:trHeight w:val="252"/>
          <w:jc w:val="center"/>
        </w:trPr>
        <w:tc>
          <w:tcPr>
            <w:tcW w:w="588" w:type="pct"/>
            <w:noWrap/>
            <w:vAlign w:val="center"/>
            <w:hideMark/>
          </w:tcPr>
          <w:p w:rsidR="002A113E" w:rsidRPr="002A113E" w:rsidRDefault="002A113E" w:rsidP="002A113E">
            <w:pPr>
              <w:pStyle w:val="Tabletext"/>
              <w:rPr>
                <w:sz w:val="16"/>
                <w:szCs w:val="16"/>
              </w:rPr>
            </w:pPr>
          </w:p>
        </w:tc>
        <w:tc>
          <w:tcPr>
            <w:tcW w:w="1329" w:type="pct"/>
            <w:noWrap/>
            <w:vAlign w:val="center"/>
            <w:hideMark/>
          </w:tcPr>
          <w:p w:rsidR="002A113E" w:rsidRPr="002A113E" w:rsidRDefault="002A113E" w:rsidP="002A113E">
            <w:pPr>
              <w:pStyle w:val="Tabletext"/>
              <w:ind w:left="284" w:hanging="284"/>
              <w:rPr>
                <w:rFonts w:eastAsiaTheme="minorEastAsia"/>
                <w:sz w:val="16"/>
                <w:szCs w:val="16"/>
              </w:rPr>
            </w:pPr>
            <w:r w:rsidRPr="002A113E">
              <w:rPr>
                <w:rFonts w:eastAsia="SimSun"/>
                <w:sz w:val="16"/>
                <w:szCs w:val="16"/>
              </w:rPr>
              <w:t>–</w:t>
            </w:r>
            <w:r w:rsidRPr="002A113E">
              <w:rPr>
                <w:rFonts w:eastAsia="SimSun"/>
                <w:sz w:val="16"/>
                <w:szCs w:val="16"/>
              </w:rPr>
              <w:tab/>
              <w:t>Département de l</w:t>
            </w:r>
            <w:r w:rsidR="00D3135C">
              <w:rPr>
                <w:rFonts w:eastAsia="SimSun"/>
                <w:sz w:val="16"/>
                <w:szCs w:val="16"/>
              </w:rPr>
              <w:t>'</w:t>
            </w:r>
            <w:r w:rsidRPr="002A113E">
              <w:rPr>
                <w:rFonts w:eastAsia="SimSun"/>
                <w:sz w:val="16"/>
                <w:szCs w:val="16"/>
              </w:rPr>
              <w:t>informatique, de l</w:t>
            </w:r>
            <w:r w:rsidR="00D3135C">
              <w:rPr>
                <w:rFonts w:eastAsia="SimSun"/>
                <w:sz w:val="16"/>
                <w:szCs w:val="16"/>
              </w:rPr>
              <w:t>'</w:t>
            </w:r>
            <w:r w:rsidRPr="002A113E">
              <w:rPr>
                <w:rFonts w:eastAsia="SimSun"/>
                <w:sz w:val="16"/>
                <w:szCs w:val="16"/>
              </w:rPr>
              <w:t>administration et des publications</w:t>
            </w:r>
          </w:p>
        </w:tc>
        <w:tc>
          <w:tcPr>
            <w:tcW w:w="51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13 790</w:t>
            </w:r>
          </w:p>
        </w:tc>
        <w:tc>
          <w:tcPr>
            <w:tcW w:w="478"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15 000</w:t>
            </w:r>
          </w:p>
        </w:tc>
        <w:tc>
          <w:tcPr>
            <w:tcW w:w="551" w:type="pct"/>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551</w:t>
            </w:r>
          </w:p>
        </w:tc>
        <w:tc>
          <w:tcPr>
            <w:tcW w:w="461" w:type="pct"/>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7 563</w:t>
            </w:r>
          </w:p>
        </w:tc>
        <w:tc>
          <w:tcPr>
            <w:tcW w:w="543"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7 479</w:t>
            </w:r>
          </w:p>
        </w:tc>
        <w:tc>
          <w:tcPr>
            <w:tcW w:w="540" w:type="pct"/>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sz w:val="16"/>
                <w:szCs w:val="16"/>
              </w:rPr>
            </w:pPr>
            <w:r w:rsidRPr="002A113E">
              <w:rPr>
                <w:sz w:val="16"/>
                <w:szCs w:val="16"/>
              </w:rPr>
              <w:t>15 042</w:t>
            </w:r>
          </w:p>
        </w:tc>
      </w:tr>
      <w:tr w:rsidR="002A113E" w:rsidRPr="002A113E" w:rsidTr="002A113E">
        <w:trPr>
          <w:trHeight w:val="199"/>
          <w:jc w:val="center"/>
        </w:trPr>
        <w:tc>
          <w:tcPr>
            <w:tcW w:w="588" w:type="pct"/>
            <w:tcBorders>
              <w:top w:val="nil"/>
              <w:left w:val="nil"/>
              <w:bottom w:val="single" w:sz="4" w:space="0" w:color="000099"/>
              <w:right w:val="nil"/>
            </w:tcBorders>
            <w:shd w:val="clear" w:color="auto" w:fill="FFFFFF"/>
            <w:noWrap/>
            <w:vAlign w:val="center"/>
            <w:hideMark/>
          </w:tcPr>
          <w:p w:rsidR="002A113E" w:rsidRPr="002A113E" w:rsidRDefault="002A113E" w:rsidP="00A47565">
            <w:pPr>
              <w:pStyle w:val="Tabletext"/>
              <w:rPr>
                <w:rFonts w:eastAsiaTheme="minorEastAsia"/>
                <w:sz w:val="16"/>
                <w:szCs w:val="16"/>
              </w:rPr>
            </w:pPr>
            <w:r w:rsidRPr="002A113E">
              <w:rPr>
                <w:sz w:val="16"/>
                <w:szCs w:val="16"/>
              </w:rPr>
              <w:t> </w:t>
            </w:r>
          </w:p>
        </w:tc>
        <w:tc>
          <w:tcPr>
            <w:tcW w:w="1329" w:type="pct"/>
            <w:tcBorders>
              <w:top w:val="nil"/>
              <w:left w:val="nil"/>
              <w:bottom w:val="single" w:sz="4" w:space="0" w:color="000099"/>
              <w:right w:val="nil"/>
            </w:tcBorders>
            <w:shd w:val="clear" w:color="auto" w:fill="FFFFFF"/>
            <w:noWrap/>
            <w:vAlign w:val="center"/>
            <w:hideMark/>
          </w:tcPr>
          <w:p w:rsidR="002A113E" w:rsidRPr="002A113E" w:rsidRDefault="002A113E" w:rsidP="00A47565">
            <w:pPr>
              <w:pStyle w:val="Tabletext"/>
              <w:rPr>
                <w:rFonts w:eastAsiaTheme="minorEastAsia"/>
                <w:sz w:val="16"/>
                <w:szCs w:val="16"/>
              </w:rPr>
            </w:pPr>
            <w:r w:rsidRPr="002A113E">
              <w:rPr>
                <w:sz w:val="16"/>
                <w:szCs w:val="16"/>
              </w:rPr>
              <w:t> </w:t>
            </w:r>
          </w:p>
        </w:tc>
        <w:tc>
          <w:tcPr>
            <w:tcW w:w="510" w:type="pct"/>
            <w:tcBorders>
              <w:top w:val="nil"/>
              <w:left w:val="nil"/>
              <w:bottom w:val="single" w:sz="4" w:space="0" w:color="000099"/>
              <w:right w:val="nil"/>
            </w:tcBorders>
            <w:shd w:val="clear" w:color="auto" w:fill="FFFFFF"/>
            <w:noWrap/>
            <w:vAlign w:val="center"/>
            <w:hideMark/>
          </w:tcPr>
          <w:p w:rsidR="002A113E" w:rsidRPr="002A113E" w:rsidRDefault="002A113E" w:rsidP="00A47565">
            <w:pPr>
              <w:pStyle w:val="Tabletext"/>
              <w:jc w:val="right"/>
              <w:rPr>
                <w:rFonts w:eastAsiaTheme="minorEastAsia"/>
                <w:sz w:val="16"/>
                <w:szCs w:val="16"/>
              </w:rPr>
            </w:pPr>
            <w:r w:rsidRPr="002A113E">
              <w:rPr>
                <w:sz w:val="16"/>
                <w:szCs w:val="16"/>
              </w:rPr>
              <w:t> </w:t>
            </w:r>
          </w:p>
        </w:tc>
        <w:tc>
          <w:tcPr>
            <w:tcW w:w="478" w:type="pct"/>
            <w:tcBorders>
              <w:top w:val="nil"/>
              <w:left w:val="nil"/>
              <w:bottom w:val="single" w:sz="4" w:space="0" w:color="000099"/>
              <w:right w:val="nil"/>
            </w:tcBorders>
            <w:shd w:val="clear" w:color="auto" w:fill="FFFFFF"/>
            <w:noWrap/>
            <w:vAlign w:val="center"/>
            <w:hideMark/>
          </w:tcPr>
          <w:p w:rsidR="002A113E" w:rsidRPr="002A113E" w:rsidRDefault="002A113E" w:rsidP="00A47565">
            <w:pPr>
              <w:pStyle w:val="Tabletext"/>
              <w:jc w:val="right"/>
              <w:rPr>
                <w:rFonts w:eastAsiaTheme="minorEastAsia"/>
                <w:sz w:val="16"/>
                <w:szCs w:val="16"/>
              </w:rPr>
            </w:pPr>
            <w:r w:rsidRPr="002A113E">
              <w:rPr>
                <w:sz w:val="16"/>
                <w:szCs w:val="16"/>
              </w:rPr>
              <w:t> </w:t>
            </w:r>
          </w:p>
        </w:tc>
        <w:tc>
          <w:tcPr>
            <w:tcW w:w="551" w:type="pct"/>
            <w:tcBorders>
              <w:top w:val="nil"/>
              <w:left w:val="nil"/>
              <w:bottom w:val="single" w:sz="4" w:space="0" w:color="000099"/>
              <w:right w:val="nil"/>
            </w:tcBorders>
            <w:shd w:val="clear" w:color="auto" w:fill="FFFFFF"/>
            <w:noWrap/>
            <w:vAlign w:val="center"/>
          </w:tcPr>
          <w:p w:rsidR="002A113E" w:rsidRPr="002A113E" w:rsidRDefault="002A113E" w:rsidP="00A47565">
            <w:pPr>
              <w:pStyle w:val="Tabletext"/>
              <w:jc w:val="right"/>
              <w:rPr>
                <w:rFonts w:eastAsiaTheme="minorEastAsia"/>
                <w:sz w:val="16"/>
                <w:szCs w:val="16"/>
              </w:rPr>
            </w:pPr>
            <w:r w:rsidRPr="002A113E">
              <w:rPr>
                <w:sz w:val="16"/>
                <w:szCs w:val="16"/>
              </w:rPr>
              <w:t> </w:t>
            </w:r>
          </w:p>
        </w:tc>
        <w:tc>
          <w:tcPr>
            <w:tcW w:w="461" w:type="pct"/>
            <w:tcBorders>
              <w:top w:val="nil"/>
              <w:left w:val="nil"/>
              <w:bottom w:val="single" w:sz="4" w:space="0" w:color="000099"/>
              <w:right w:val="nil"/>
            </w:tcBorders>
            <w:shd w:val="clear" w:color="auto" w:fill="FFFFFF"/>
            <w:vAlign w:val="center"/>
          </w:tcPr>
          <w:p w:rsidR="002A113E" w:rsidRPr="002A113E" w:rsidRDefault="002A113E" w:rsidP="00A47565">
            <w:pPr>
              <w:pStyle w:val="Tabletext"/>
              <w:jc w:val="right"/>
              <w:rPr>
                <w:sz w:val="16"/>
                <w:szCs w:val="16"/>
              </w:rPr>
            </w:pPr>
          </w:p>
        </w:tc>
        <w:tc>
          <w:tcPr>
            <w:tcW w:w="543" w:type="pct"/>
            <w:tcBorders>
              <w:top w:val="nil"/>
              <w:left w:val="nil"/>
              <w:bottom w:val="single" w:sz="4" w:space="0" w:color="000099"/>
              <w:right w:val="nil"/>
            </w:tcBorders>
            <w:shd w:val="clear" w:color="auto" w:fill="FFFFFF"/>
            <w:noWrap/>
            <w:vAlign w:val="center"/>
            <w:hideMark/>
          </w:tcPr>
          <w:p w:rsidR="002A113E" w:rsidRPr="002A113E" w:rsidRDefault="002A113E" w:rsidP="00A47565">
            <w:pPr>
              <w:pStyle w:val="Tabletext"/>
              <w:jc w:val="right"/>
              <w:rPr>
                <w:rFonts w:eastAsiaTheme="minorEastAsia"/>
                <w:sz w:val="16"/>
                <w:szCs w:val="16"/>
              </w:rPr>
            </w:pPr>
            <w:r w:rsidRPr="002A113E">
              <w:rPr>
                <w:sz w:val="16"/>
                <w:szCs w:val="16"/>
              </w:rPr>
              <w:t> </w:t>
            </w:r>
          </w:p>
        </w:tc>
        <w:tc>
          <w:tcPr>
            <w:tcW w:w="540" w:type="pct"/>
            <w:tcBorders>
              <w:top w:val="nil"/>
              <w:left w:val="nil"/>
              <w:bottom w:val="single" w:sz="4" w:space="0" w:color="000099"/>
              <w:right w:val="nil"/>
            </w:tcBorders>
            <w:shd w:val="clear" w:color="auto" w:fill="FFFFFF"/>
            <w:noWrap/>
            <w:vAlign w:val="center"/>
            <w:hideMark/>
          </w:tcPr>
          <w:p w:rsidR="002A113E" w:rsidRPr="002A113E" w:rsidRDefault="002A113E" w:rsidP="00A47565">
            <w:pPr>
              <w:pStyle w:val="Tabletext"/>
              <w:jc w:val="right"/>
              <w:rPr>
                <w:rFonts w:eastAsiaTheme="minorEastAsia"/>
                <w:b/>
                <w:bCs/>
                <w:sz w:val="16"/>
                <w:szCs w:val="16"/>
              </w:rPr>
            </w:pPr>
            <w:r w:rsidRPr="002A113E">
              <w:rPr>
                <w:b/>
                <w:bCs/>
                <w:sz w:val="16"/>
                <w:szCs w:val="16"/>
              </w:rPr>
              <w:t> </w:t>
            </w:r>
          </w:p>
        </w:tc>
      </w:tr>
      <w:tr w:rsidR="002A113E" w:rsidRPr="002A113E" w:rsidTr="002A113E">
        <w:trPr>
          <w:trHeight w:val="285"/>
          <w:jc w:val="center"/>
        </w:trPr>
        <w:tc>
          <w:tcPr>
            <w:tcW w:w="588" w:type="pct"/>
            <w:tcBorders>
              <w:top w:val="nil"/>
              <w:left w:val="nil"/>
              <w:bottom w:val="single" w:sz="4" w:space="0" w:color="000099"/>
              <w:right w:val="nil"/>
            </w:tcBorders>
            <w:shd w:val="clear" w:color="auto" w:fill="DBE5F1"/>
            <w:noWrap/>
            <w:vAlign w:val="center"/>
            <w:hideMark/>
          </w:tcPr>
          <w:p w:rsidR="002A113E" w:rsidRPr="002A113E" w:rsidRDefault="002A113E" w:rsidP="002A113E">
            <w:pPr>
              <w:pStyle w:val="Tabletext"/>
              <w:rPr>
                <w:rFonts w:eastAsiaTheme="minorEastAsia"/>
                <w:b/>
                <w:bCs/>
                <w:sz w:val="16"/>
                <w:szCs w:val="16"/>
              </w:rPr>
            </w:pPr>
            <w:r w:rsidRPr="002A113E">
              <w:rPr>
                <w:b/>
                <w:bCs/>
                <w:color w:val="0070C0"/>
                <w:sz w:val="16"/>
                <w:szCs w:val="14"/>
                <w:lang w:val="en-GB"/>
              </w:rPr>
              <w:t>TOTAL</w:t>
            </w:r>
          </w:p>
        </w:tc>
        <w:tc>
          <w:tcPr>
            <w:tcW w:w="1329" w:type="pct"/>
            <w:tcBorders>
              <w:top w:val="nil"/>
              <w:left w:val="nil"/>
              <w:bottom w:val="single" w:sz="4" w:space="0" w:color="000099"/>
              <w:right w:val="nil"/>
            </w:tcBorders>
            <w:shd w:val="clear" w:color="auto" w:fill="DBE5F1"/>
            <w:noWrap/>
            <w:vAlign w:val="center"/>
            <w:hideMark/>
          </w:tcPr>
          <w:p w:rsidR="002A113E" w:rsidRPr="002A113E" w:rsidRDefault="002A113E" w:rsidP="002A113E">
            <w:pPr>
              <w:pStyle w:val="Tabletext"/>
              <w:rPr>
                <w:rFonts w:eastAsiaTheme="minorEastAsia"/>
                <w:b/>
                <w:bCs/>
                <w:sz w:val="16"/>
                <w:szCs w:val="16"/>
              </w:rPr>
            </w:pPr>
            <w:r w:rsidRPr="002A113E">
              <w:rPr>
                <w:b/>
                <w:bCs/>
                <w:sz w:val="16"/>
                <w:szCs w:val="16"/>
              </w:rPr>
              <w:t> </w:t>
            </w:r>
          </w:p>
        </w:tc>
        <w:tc>
          <w:tcPr>
            <w:tcW w:w="510" w:type="pct"/>
            <w:tcBorders>
              <w:top w:val="nil"/>
              <w:left w:val="nil"/>
              <w:bottom w:val="single" w:sz="4" w:space="0" w:color="000099"/>
              <w:right w:val="nil"/>
            </w:tcBorders>
            <w:shd w:val="clear" w:color="auto" w:fill="DBE5F1"/>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6"/>
              </w:rPr>
            </w:pPr>
            <w:r w:rsidRPr="002A113E">
              <w:rPr>
                <w:b/>
                <w:bCs/>
                <w:color w:val="0070C0"/>
                <w:sz w:val="16"/>
                <w:szCs w:val="16"/>
              </w:rPr>
              <w:t>59 122</w:t>
            </w:r>
          </w:p>
        </w:tc>
        <w:tc>
          <w:tcPr>
            <w:tcW w:w="478" w:type="pct"/>
            <w:tcBorders>
              <w:top w:val="nil"/>
              <w:left w:val="nil"/>
              <w:bottom w:val="single" w:sz="4" w:space="0" w:color="000099"/>
              <w:right w:val="nil"/>
            </w:tcBorders>
            <w:shd w:val="clear" w:color="auto" w:fill="DBE5F1"/>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6"/>
              </w:rPr>
            </w:pPr>
            <w:r w:rsidRPr="002A113E">
              <w:rPr>
                <w:b/>
                <w:bCs/>
                <w:color w:val="0070C0"/>
                <w:sz w:val="16"/>
                <w:szCs w:val="16"/>
              </w:rPr>
              <w:t>62 183</w:t>
            </w:r>
          </w:p>
        </w:tc>
        <w:tc>
          <w:tcPr>
            <w:tcW w:w="551" w:type="pct"/>
            <w:tcBorders>
              <w:top w:val="nil"/>
              <w:left w:val="nil"/>
              <w:bottom w:val="single" w:sz="4" w:space="0" w:color="000099"/>
              <w:right w:val="nil"/>
            </w:tcBorders>
            <w:shd w:val="clear" w:color="auto" w:fill="DBE5F1"/>
            <w:noWrap/>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6"/>
              </w:rPr>
            </w:pPr>
            <w:r w:rsidRPr="002A113E">
              <w:rPr>
                <w:b/>
                <w:bCs/>
                <w:color w:val="0070C0"/>
                <w:sz w:val="16"/>
                <w:szCs w:val="16"/>
              </w:rPr>
              <w:t>2 094</w:t>
            </w:r>
          </w:p>
        </w:tc>
        <w:tc>
          <w:tcPr>
            <w:tcW w:w="461" w:type="pct"/>
            <w:tcBorders>
              <w:top w:val="nil"/>
              <w:left w:val="nil"/>
              <w:bottom w:val="single" w:sz="4" w:space="0" w:color="000099"/>
              <w:right w:val="nil"/>
            </w:tcBorders>
            <w:shd w:val="clear" w:color="auto" w:fill="DBE5F1"/>
            <w:vAlign w:val="center"/>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6"/>
              </w:rPr>
            </w:pPr>
            <w:r w:rsidRPr="002A113E">
              <w:rPr>
                <w:b/>
                <w:bCs/>
                <w:color w:val="0070C0"/>
                <w:sz w:val="16"/>
                <w:szCs w:val="16"/>
              </w:rPr>
              <w:t>28 603</w:t>
            </w:r>
          </w:p>
        </w:tc>
        <w:tc>
          <w:tcPr>
            <w:tcW w:w="543" w:type="pct"/>
            <w:tcBorders>
              <w:top w:val="nil"/>
              <w:left w:val="nil"/>
              <w:bottom w:val="single" w:sz="4" w:space="0" w:color="000099"/>
              <w:right w:val="nil"/>
            </w:tcBorders>
            <w:shd w:val="clear" w:color="auto" w:fill="DBE5F1"/>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6"/>
              </w:rPr>
            </w:pPr>
            <w:r w:rsidRPr="002A113E">
              <w:rPr>
                <w:b/>
                <w:bCs/>
                <w:color w:val="0070C0"/>
                <w:sz w:val="16"/>
                <w:szCs w:val="16"/>
              </w:rPr>
              <w:t>28 898</w:t>
            </w:r>
          </w:p>
        </w:tc>
        <w:tc>
          <w:tcPr>
            <w:tcW w:w="540" w:type="pct"/>
            <w:tcBorders>
              <w:top w:val="nil"/>
              <w:left w:val="nil"/>
              <w:bottom w:val="single" w:sz="4" w:space="0" w:color="000099"/>
              <w:right w:val="nil"/>
            </w:tcBorders>
            <w:shd w:val="clear" w:color="auto" w:fill="DBE5F1"/>
            <w:noWrap/>
            <w:vAlign w:val="center"/>
            <w:hideMark/>
          </w:tcPr>
          <w:p w:rsidR="002A113E" w:rsidRPr="002A113E" w:rsidRDefault="002A113E" w:rsidP="002A113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aps/>
                <w:color w:val="0070C0"/>
                <w:sz w:val="16"/>
                <w:szCs w:val="16"/>
              </w:rPr>
            </w:pPr>
            <w:r w:rsidRPr="002A113E">
              <w:rPr>
                <w:b/>
                <w:bCs/>
                <w:color w:val="0070C0"/>
                <w:sz w:val="16"/>
                <w:szCs w:val="16"/>
              </w:rPr>
              <w:t>57 501</w:t>
            </w:r>
          </w:p>
        </w:tc>
      </w:tr>
    </w:tbl>
    <w:p w:rsidR="00D5686A" w:rsidRDefault="00D5686A" w:rsidP="00D5686A">
      <w:pPr>
        <w:pStyle w:val="Heading2"/>
        <w:rPr>
          <w:rFonts w:eastAsia="Arial Unicode MS"/>
          <w:lang w:val="fr-CH"/>
        </w:rPr>
      </w:pPr>
      <w:r>
        <w:rPr>
          <w:rFonts w:eastAsia="Arial Unicode MS"/>
          <w:lang w:val="fr-CH"/>
        </w:rPr>
        <w:t>2.6</w:t>
      </w:r>
      <w:r>
        <w:rPr>
          <w:rFonts w:eastAsia="Arial Unicode MS"/>
          <w:lang w:val="fr-CH"/>
        </w:rPr>
        <w:tab/>
        <w:t>Mise en oeuvre des arrangements élaborés conformément au Mémorandum d'accord sur les GMPCS et du label «GMPCS-MoU»</w:t>
      </w:r>
    </w:p>
    <w:p w:rsidR="00D5686A" w:rsidRPr="00D5686A" w:rsidRDefault="00D5686A" w:rsidP="00D5686A">
      <w:pPr>
        <w:rPr>
          <w:rFonts w:eastAsia="Arial Unicode MS"/>
          <w:lang w:val="fr-CH"/>
        </w:rPr>
      </w:pPr>
      <w:r>
        <w:rPr>
          <w:rFonts w:eastAsia="Arial Unicode MS"/>
          <w:lang w:val="fr-CH"/>
        </w:rPr>
        <w:t>Cette question fait l'objet de l'Addendum 3 au présent document.</w:t>
      </w:r>
    </w:p>
    <w:p w:rsidR="002A113E" w:rsidRDefault="002A113E" w:rsidP="00D04881">
      <w:pPr>
        <w:pStyle w:val="Heading1"/>
        <w:rPr>
          <w:rFonts w:eastAsia="Arial Unicode MS"/>
          <w:lang w:val="fr-CH"/>
        </w:rPr>
      </w:pPr>
      <w:r>
        <w:rPr>
          <w:rFonts w:eastAsia="Arial Unicode MS"/>
          <w:lang w:val="fr-CH"/>
        </w:rPr>
        <w:t>3</w:t>
      </w:r>
      <w:r>
        <w:rPr>
          <w:rFonts w:eastAsia="Arial Unicode MS"/>
          <w:lang w:val="fr-CH"/>
        </w:rPr>
        <w:tab/>
        <w:t>R</w:t>
      </w:r>
      <w:r w:rsidRPr="008653E6">
        <w:rPr>
          <w:rFonts w:eastAsia="Arial Unicode MS"/>
          <w:lang w:val="fr-CH"/>
        </w:rPr>
        <w:t>é</w:t>
      </w:r>
      <w:r>
        <w:rPr>
          <w:rFonts w:eastAsia="Arial Unicode MS"/>
          <w:lang w:val="fr-CH"/>
        </w:rPr>
        <w:t>sultats de l</w:t>
      </w:r>
      <w:r w:rsidR="00D3135C">
        <w:rPr>
          <w:rFonts w:eastAsia="Arial Unicode MS"/>
          <w:lang w:val="fr-CH"/>
        </w:rPr>
        <w:t>'</w:t>
      </w:r>
      <w:r>
        <w:rPr>
          <w:rFonts w:eastAsia="Arial Unicode MS"/>
          <w:lang w:val="fr-CH"/>
        </w:rPr>
        <w:t>AR-15 et de la CMR-</w:t>
      </w:r>
      <w:r w:rsidRPr="008653E6">
        <w:rPr>
          <w:rFonts w:eastAsia="Arial Unicode MS"/>
          <w:lang w:val="fr-CH"/>
        </w:rPr>
        <w:t>15 et mesures prises en conséquence</w:t>
      </w:r>
    </w:p>
    <w:p w:rsidR="002A113E" w:rsidRPr="002A113E" w:rsidRDefault="002A113E" w:rsidP="00D04881">
      <w:pPr>
        <w:pStyle w:val="Heading2"/>
        <w:rPr>
          <w:lang w:val="fr-CH"/>
        </w:rPr>
      </w:pPr>
      <w:r>
        <w:rPr>
          <w:lang w:val="fr-CH"/>
        </w:rPr>
        <w:t>3.1</w:t>
      </w:r>
      <w:r>
        <w:rPr>
          <w:lang w:val="fr-CH"/>
        </w:rPr>
        <w:tab/>
        <w:t>AR-15</w:t>
      </w:r>
    </w:p>
    <w:p w:rsidR="002A113E" w:rsidRPr="008653E6" w:rsidRDefault="002A113E" w:rsidP="002A113E">
      <w:pPr>
        <w:rPr>
          <w:lang w:val="fr-CH"/>
        </w:rPr>
      </w:pPr>
      <w:r w:rsidRPr="008653E6">
        <w:rPr>
          <w:lang w:val="fr-CH"/>
        </w:rPr>
        <w:t>Conformément à la Résolution 1343 du Conseil, l</w:t>
      </w:r>
      <w:r w:rsidR="00D3135C">
        <w:rPr>
          <w:lang w:val="fr-CH"/>
        </w:rPr>
        <w:t>'</w:t>
      </w:r>
      <w:r w:rsidRPr="008653E6">
        <w:rPr>
          <w:lang w:val="fr-CH"/>
        </w:rPr>
        <w:t>Assemblée des radiocommunications de 2015 (AR-15) s</w:t>
      </w:r>
      <w:r w:rsidR="00D3135C">
        <w:rPr>
          <w:lang w:val="fr-CH"/>
        </w:rPr>
        <w:t>'</w:t>
      </w:r>
      <w:r w:rsidRPr="008653E6">
        <w:rPr>
          <w:lang w:val="fr-CH"/>
        </w:rPr>
        <w:t>est tenue à Genève du 26 au 30 octobre 2015, en présence de 457 participants représentant 96 Administrations et 38 Membres de Secteur et établissements universitaires.</w:t>
      </w:r>
    </w:p>
    <w:p w:rsidR="002A113E" w:rsidRPr="006A7259" w:rsidRDefault="002A113E" w:rsidP="002A113E">
      <w:pPr>
        <w:rPr>
          <w:lang w:val="fr-CH"/>
        </w:rPr>
      </w:pPr>
      <w:r w:rsidRPr="006A7259">
        <w:rPr>
          <w:b/>
          <w:bCs/>
          <w:lang w:val="fr-CH"/>
        </w:rPr>
        <w:t>M. Akira Hashimoto (Japon)</w:t>
      </w:r>
      <w:r w:rsidRPr="006A7259">
        <w:rPr>
          <w:lang w:val="fr-CH"/>
        </w:rPr>
        <w:t xml:space="preserve"> a été élu Président de l</w:t>
      </w:r>
      <w:r w:rsidR="00D3135C">
        <w:rPr>
          <w:lang w:val="fr-CH"/>
        </w:rPr>
        <w:t>'</w:t>
      </w:r>
      <w:r w:rsidRPr="006A7259">
        <w:rPr>
          <w:lang w:val="fr-CH"/>
        </w:rPr>
        <w:t>AR-15.</w:t>
      </w:r>
      <w:r w:rsidR="006A7259" w:rsidRPr="006A7259">
        <w:rPr>
          <w:lang w:val="fr-CH"/>
        </w:rPr>
        <w:t xml:space="preserve"> </w:t>
      </w:r>
      <w:r w:rsidRPr="006A7259">
        <w:rPr>
          <w:lang w:val="fr-CH"/>
        </w:rPr>
        <w:t xml:space="preserve">Les cinq </w:t>
      </w:r>
      <w:r w:rsidRPr="008653E6">
        <w:rPr>
          <w:lang w:val="fr-CH"/>
        </w:rPr>
        <w:t>Vice</w:t>
      </w:r>
      <w:r w:rsidRPr="006A7259">
        <w:rPr>
          <w:lang w:val="fr-CH"/>
        </w:rPr>
        <w:t>-Présidents suivants ont été élus:</w:t>
      </w:r>
    </w:p>
    <w:p w:rsidR="002A113E" w:rsidRPr="006A7259" w:rsidRDefault="002A113E" w:rsidP="00D04881">
      <w:pPr>
        <w:pStyle w:val="enumlev1"/>
        <w:rPr>
          <w:lang w:val="fr-CH"/>
        </w:rPr>
      </w:pPr>
      <w:r w:rsidRPr="006A7259">
        <w:rPr>
          <w:lang w:val="fr-CH"/>
        </w:rPr>
        <w:tab/>
        <w:t>M. E. Azzouz (Egypte)</w:t>
      </w:r>
    </w:p>
    <w:p w:rsidR="002A113E" w:rsidRPr="006A7259" w:rsidRDefault="002A113E" w:rsidP="00D04881">
      <w:pPr>
        <w:pStyle w:val="enumlev1"/>
        <w:rPr>
          <w:lang w:val="fr-CH"/>
        </w:rPr>
      </w:pPr>
      <w:r w:rsidRPr="006A7259">
        <w:rPr>
          <w:lang w:val="fr-CH"/>
        </w:rPr>
        <w:tab/>
        <w:t>M. M. Girouard (Canada)</w:t>
      </w:r>
    </w:p>
    <w:p w:rsidR="002A113E" w:rsidRPr="006A7259" w:rsidRDefault="002A113E" w:rsidP="00D04881">
      <w:pPr>
        <w:pStyle w:val="enumlev1"/>
        <w:rPr>
          <w:lang w:val="fr-CH"/>
        </w:rPr>
      </w:pPr>
      <w:r w:rsidRPr="006A7259">
        <w:rPr>
          <w:lang w:val="fr-CH"/>
        </w:rPr>
        <w:tab/>
        <w:t>M. A. Kühn (Allemagne)</w:t>
      </w:r>
    </w:p>
    <w:p w:rsidR="002A113E" w:rsidRPr="006A7259" w:rsidRDefault="002A113E" w:rsidP="00D04881">
      <w:pPr>
        <w:pStyle w:val="enumlev1"/>
        <w:rPr>
          <w:lang w:val="fr-CH"/>
        </w:rPr>
      </w:pPr>
      <w:r w:rsidRPr="006A7259">
        <w:rPr>
          <w:lang w:val="fr-CH"/>
        </w:rPr>
        <w:tab/>
        <w:t>M. L. Momba (Malawi)</w:t>
      </w:r>
    </w:p>
    <w:p w:rsidR="002A113E" w:rsidRPr="006A7259" w:rsidRDefault="002A113E" w:rsidP="00D04881">
      <w:pPr>
        <w:pStyle w:val="enumlev1"/>
        <w:rPr>
          <w:lang w:val="fr-CH"/>
        </w:rPr>
      </w:pPr>
      <w:r w:rsidRPr="006A7259">
        <w:rPr>
          <w:lang w:val="fr-CH"/>
        </w:rPr>
        <w:tab/>
        <w:t>M. M. Simonov (Fédération de Russie)</w:t>
      </w:r>
    </w:p>
    <w:p w:rsidR="006A7259" w:rsidRPr="006A7259" w:rsidRDefault="006A7259" w:rsidP="00D04881">
      <w:pPr>
        <w:rPr>
          <w:lang w:val="fr-CH"/>
        </w:rPr>
      </w:pPr>
      <w:r w:rsidRPr="006A7259">
        <w:rPr>
          <w:lang w:val="fr-CH"/>
        </w:rPr>
        <w:t xml:space="preserve">Cinq </w:t>
      </w:r>
      <w:r w:rsidR="00D04881">
        <w:rPr>
          <w:lang w:val="fr-CH"/>
        </w:rPr>
        <w:t>c</w:t>
      </w:r>
      <w:r w:rsidRPr="006A7259">
        <w:rPr>
          <w:lang w:val="fr-CH"/>
        </w:rPr>
        <w:t>ommissions ont été créées pour faciliter les travaux de l</w:t>
      </w:r>
      <w:r w:rsidR="00D3135C">
        <w:rPr>
          <w:lang w:val="fr-CH"/>
        </w:rPr>
        <w:t>'</w:t>
      </w:r>
      <w:r w:rsidRPr="006A7259">
        <w:rPr>
          <w:lang w:val="fr-CH"/>
        </w:rPr>
        <w:t>Assemblée:</w:t>
      </w:r>
    </w:p>
    <w:p w:rsidR="006A7259" w:rsidRDefault="006A7259" w:rsidP="006A7259">
      <w:pPr>
        <w:pStyle w:val="Headingb"/>
        <w:rPr>
          <w:lang w:val="fr-CH"/>
        </w:rPr>
      </w:pPr>
      <w:r w:rsidRPr="008653E6">
        <w:rPr>
          <w:lang w:val="fr-CH"/>
        </w:rPr>
        <w:t xml:space="preserve">Commission 1 </w:t>
      </w:r>
      <w:r w:rsidR="001C1296" w:rsidRPr="001C1296">
        <w:rPr>
          <w:lang w:val="fr-CH"/>
        </w:rPr>
        <w:t>–</w:t>
      </w:r>
      <w:r w:rsidRPr="008653E6">
        <w:rPr>
          <w:lang w:val="fr-CH"/>
        </w:rPr>
        <w:t xml:space="preserve"> Commission de direction</w:t>
      </w:r>
    </w:p>
    <w:p w:rsidR="006A7259" w:rsidRPr="008653E6" w:rsidRDefault="006A7259" w:rsidP="00D04881">
      <w:pPr>
        <w:rPr>
          <w:lang w:val="fr-CH"/>
        </w:rPr>
      </w:pPr>
      <w:r w:rsidRPr="008653E6">
        <w:rPr>
          <w:lang w:val="fr-CH"/>
        </w:rPr>
        <w:t xml:space="preserve">Cette </w:t>
      </w:r>
      <w:r w:rsidRPr="00D04881">
        <w:rPr>
          <w:b/>
          <w:lang w:val="fr-CH"/>
        </w:rPr>
        <w:t>Commission</w:t>
      </w:r>
      <w:r w:rsidRPr="008653E6">
        <w:rPr>
          <w:lang w:val="fr-CH"/>
        </w:rPr>
        <w:t xml:space="preserve"> est composée du Président et des Vice-Présidents de l</w:t>
      </w:r>
      <w:r w:rsidR="00D3135C">
        <w:rPr>
          <w:lang w:val="fr-CH"/>
        </w:rPr>
        <w:t>'</w:t>
      </w:r>
      <w:r w:rsidRPr="008653E6">
        <w:rPr>
          <w:lang w:val="fr-CH"/>
        </w:rPr>
        <w:t>Assemblée ainsi que des Présidents et Vice-Pr</w:t>
      </w:r>
      <w:r>
        <w:rPr>
          <w:lang w:val="fr-CH"/>
        </w:rPr>
        <w:t xml:space="preserve">ésidents des autres </w:t>
      </w:r>
      <w:r w:rsidR="001C1296">
        <w:rPr>
          <w:lang w:val="fr-CH"/>
        </w:rPr>
        <w:t>c</w:t>
      </w:r>
      <w:r>
        <w:rPr>
          <w:lang w:val="fr-CH"/>
        </w:rPr>
        <w:t>ommissions.</w:t>
      </w:r>
    </w:p>
    <w:p w:rsidR="006A7259" w:rsidRPr="008653E6" w:rsidRDefault="006A7259" w:rsidP="006A7259">
      <w:pPr>
        <w:pStyle w:val="Headingb"/>
        <w:rPr>
          <w:lang w:val="fr-CH"/>
        </w:rPr>
      </w:pPr>
      <w:r w:rsidRPr="008653E6">
        <w:rPr>
          <w:lang w:val="fr-CH"/>
        </w:rPr>
        <w:t xml:space="preserve">Commission 2 </w:t>
      </w:r>
      <w:r w:rsidR="001C1296" w:rsidRPr="001C1296">
        <w:rPr>
          <w:lang w:val="fr-CH"/>
        </w:rPr>
        <w:t>–</w:t>
      </w:r>
      <w:r w:rsidRPr="008653E6">
        <w:rPr>
          <w:lang w:val="fr-CH"/>
        </w:rPr>
        <w:t xml:space="preserve"> Commission de contrôle budgétaire</w:t>
      </w:r>
    </w:p>
    <w:p w:rsidR="006A7259" w:rsidRPr="008653E6" w:rsidRDefault="006A7259" w:rsidP="00D04881">
      <w:pPr>
        <w:rPr>
          <w:rFonts w:asciiTheme="minorHAnsi" w:hAnsiTheme="minorHAnsi"/>
          <w:lang w:val="fr-CH"/>
        </w:rPr>
      </w:pPr>
      <w:r w:rsidRPr="006A7259">
        <w:rPr>
          <w:bCs/>
          <w:lang w:val="fr-CH"/>
        </w:rPr>
        <w:t>Président</w:t>
      </w:r>
      <w:r w:rsidRPr="008653E6">
        <w:rPr>
          <w:lang w:val="fr-CH"/>
        </w:rPr>
        <w:tab/>
      </w:r>
      <w:r w:rsidRPr="008653E6">
        <w:rPr>
          <w:lang w:val="fr-CH"/>
        </w:rPr>
        <w:tab/>
        <w:t>M. D. Obam (Kenya)</w:t>
      </w:r>
    </w:p>
    <w:p w:rsidR="006A7259" w:rsidRPr="008653E6" w:rsidRDefault="006A7259" w:rsidP="00D04881">
      <w:pPr>
        <w:pStyle w:val="Headingb"/>
        <w:keepLines/>
        <w:rPr>
          <w:lang w:val="fr-CH"/>
        </w:rPr>
      </w:pPr>
      <w:r w:rsidRPr="008653E6">
        <w:rPr>
          <w:lang w:val="fr-CH"/>
        </w:rPr>
        <w:t xml:space="preserve">Commission 3 </w:t>
      </w:r>
      <w:r w:rsidR="001C1296" w:rsidRPr="001C1296">
        <w:rPr>
          <w:lang w:val="fr-CH"/>
        </w:rPr>
        <w:t>–</w:t>
      </w:r>
      <w:r w:rsidRPr="008653E6">
        <w:rPr>
          <w:lang w:val="fr-CH"/>
        </w:rPr>
        <w:t xml:space="preserve"> Commission de rédaction </w:t>
      </w:r>
    </w:p>
    <w:p w:rsidR="006A7259" w:rsidRPr="008653E6" w:rsidRDefault="006A7259" w:rsidP="00D0488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560"/>
        </w:tabs>
        <w:rPr>
          <w:sz w:val="24"/>
          <w:szCs w:val="24"/>
          <w:lang w:val="fr-CH"/>
        </w:rPr>
      </w:pPr>
      <w:r w:rsidRPr="006A7259">
        <w:rPr>
          <w:bCs/>
          <w:sz w:val="24"/>
          <w:szCs w:val="24"/>
          <w:lang w:val="fr-CH"/>
        </w:rPr>
        <w:t>Président</w:t>
      </w:r>
      <w:r>
        <w:rPr>
          <w:sz w:val="24"/>
          <w:szCs w:val="24"/>
          <w:lang w:val="fr-CH"/>
        </w:rPr>
        <w:tab/>
      </w:r>
      <w:r>
        <w:rPr>
          <w:sz w:val="24"/>
          <w:szCs w:val="24"/>
          <w:lang w:val="fr-CH"/>
        </w:rPr>
        <w:tab/>
      </w:r>
      <w:r w:rsidRPr="008653E6">
        <w:rPr>
          <w:rFonts w:cstheme="minorHAnsi"/>
          <w:sz w:val="24"/>
          <w:szCs w:val="24"/>
          <w:lang w:val="fr-CH"/>
        </w:rPr>
        <w:t>M. C. Rissone (France)</w:t>
      </w:r>
    </w:p>
    <w:p w:rsidR="006A7259" w:rsidRPr="008653E6" w:rsidRDefault="006A7259" w:rsidP="00D04881">
      <w:pPr>
        <w:keepNext/>
        <w:keepLines/>
        <w:spacing w:after="120"/>
        <w:rPr>
          <w:rFonts w:cstheme="minorHAnsi"/>
          <w:szCs w:val="24"/>
          <w:lang w:val="fr-CH"/>
        </w:rPr>
      </w:pPr>
      <w:r w:rsidRPr="006A7259">
        <w:rPr>
          <w:bCs/>
          <w:szCs w:val="24"/>
          <w:lang w:val="fr-CH"/>
        </w:rPr>
        <w:t>Vice-Présidents</w:t>
      </w:r>
      <w:r>
        <w:rPr>
          <w:szCs w:val="24"/>
          <w:lang w:val="fr-CH"/>
        </w:rPr>
        <w:tab/>
      </w:r>
      <w:r w:rsidRPr="008653E6">
        <w:rPr>
          <w:rFonts w:cstheme="minorHAnsi"/>
          <w:szCs w:val="24"/>
          <w:lang w:val="fr-CH"/>
        </w:rPr>
        <w:t>M. A. Majeed (Liban)</w:t>
      </w:r>
      <w:r w:rsidRPr="008653E6">
        <w:rPr>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C. Menéndez Argüelles (Espagne)</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P. Najarian (Etats-Unis)</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Mme H. Zhang (Chine)</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A. Zhivov (Fédération de Russie)</w:t>
      </w:r>
    </w:p>
    <w:p w:rsidR="006A7259" w:rsidRPr="008653E6" w:rsidRDefault="006A7259" w:rsidP="006A7259">
      <w:pPr>
        <w:pStyle w:val="Headingb"/>
        <w:rPr>
          <w:lang w:val="fr-CH"/>
        </w:rPr>
      </w:pPr>
      <w:r w:rsidRPr="008653E6">
        <w:rPr>
          <w:lang w:val="fr-CH"/>
        </w:rPr>
        <w:t xml:space="preserve">Commission 4 </w:t>
      </w:r>
      <w:r w:rsidR="001C1296" w:rsidRPr="001C1296">
        <w:rPr>
          <w:lang w:val="fr-CH"/>
        </w:rPr>
        <w:t>–</w:t>
      </w:r>
      <w:r w:rsidRPr="008653E6">
        <w:rPr>
          <w:lang w:val="fr-CH"/>
        </w:rPr>
        <w:t xml:space="preserve"> Structure et programme de travail des commissions d</w:t>
      </w:r>
      <w:r w:rsidR="00D3135C">
        <w:rPr>
          <w:lang w:val="fr-CH"/>
        </w:rPr>
        <w:t>'</w:t>
      </w:r>
      <w:r w:rsidRPr="008653E6">
        <w:rPr>
          <w:lang w:val="fr-CH"/>
        </w:rPr>
        <w:t>études</w:t>
      </w:r>
    </w:p>
    <w:p w:rsidR="006A7259" w:rsidRPr="008653E6" w:rsidRDefault="006A7259" w:rsidP="006A7259">
      <w:pPr>
        <w:pStyle w:val="Tabletext"/>
        <w:tabs>
          <w:tab w:val="clear" w:pos="1418"/>
          <w:tab w:val="clear" w:pos="1701"/>
          <w:tab w:val="left" w:pos="1560"/>
        </w:tabs>
        <w:rPr>
          <w:sz w:val="24"/>
          <w:szCs w:val="24"/>
          <w:lang w:val="fr-CH"/>
        </w:rPr>
      </w:pPr>
      <w:r w:rsidRPr="006A7259">
        <w:rPr>
          <w:bCs/>
          <w:sz w:val="24"/>
          <w:szCs w:val="24"/>
          <w:lang w:val="fr-CH"/>
        </w:rPr>
        <w:t>Président</w:t>
      </w:r>
      <w:r w:rsidRPr="008653E6">
        <w:rPr>
          <w:sz w:val="24"/>
          <w:szCs w:val="24"/>
          <w:lang w:val="fr-CH"/>
        </w:rPr>
        <w:tab/>
      </w:r>
      <w:r w:rsidRPr="008653E6">
        <w:rPr>
          <w:sz w:val="24"/>
          <w:szCs w:val="24"/>
          <w:lang w:val="fr-CH"/>
        </w:rPr>
        <w:tab/>
      </w:r>
      <w:r w:rsidRPr="008653E6">
        <w:rPr>
          <w:rFonts w:cstheme="minorHAnsi"/>
          <w:sz w:val="24"/>
          <w:szCs w:val="24"/>
          <w:lang w:val="fr-CH"/>
        </w:rPr>
        <w:t>M. S. Y. Pastukh (Fédération de Russie)</w:t>
      </w:r>
    </w:p>
    <w:p w:rsidR="006A7259" w:rsidRPr="008653E6" w:rsidRDefault="006A7259" w:rsidP="006A7259">
      <w:pPr>
        <w:keepNext/>
        <w:keepLines/>
        <w:spacing w:after="120"/>
        <w:rPr>
          <w:rFonts w:cstheme="minorHAnsi"/>
          <w:szCs w:val="24"/>
          <w:lang w:val="fr-CH"/>
        </w:rPr>
      </w:pPr>
      <w:r w:rsidRPr="006A7259">
        <w:rPr>
          <w:bCs/>
          <w:szCs w:val="24"/>
          <w:lang w:val="fr-CH"/>
        </w:rPr>
        <w:t>Vice-Présidents</w:t>
      </w:r>
      <w:r w:rsidRPr="008653E6">
        <w:rPr>
          <w:szCs w:val="24"/>
          <w:lang w:val="fr-CH"/>
        </w:rPr>
        <w:tab/>
      </w:r>
      <w:r w:rsidRPr="008653E6">
        <w:rPr>
          <w:rFonts w:cstheme="minorHAnsi"/>
          <w:szCs w:val="24"/>
          <w:lang w:val="fr-CH"/>
        </w:rPr>
        <w:t>M. A. El Hadjar (Cameroun)</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H. Mazar (ATDI)</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H. Seong (Corée (Rép. de))</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Mme L. Soussi (Tunisie)</w:t>
      </w:r>
    </w:p>
    <w:p w:rsidR="006A7259" w:rsidRPr="008653E6" w:rsidRDefault="006A7259" w:rsidP="006A7259">
      <w:pPr>
        <w:pStyle w:val="Headingb"/>
        <w:rPr>
          <w:lang w:val="fr-CH"/>
        </w:rPr>
      </w:pPr>
      <w:r w:rsidRPr="008653E6">
        <w:rPr>
          <w:lang w:val="fr-CH"/>
        </w:rPr>
        <w:t>Commission</w:t>
      </w:r>
      <w:r>
        <w:rPr>
          <w:lang w:val="fr-CH"/>
        </w:rPr>
        <w:t xml:space="preserve"> 5</w:t>
      </w:r>
      <w:r w:rsidRPr="008653E6">
        <w:rPr>
          <w:lang w:val="fr-CH"/>
        </w:rPr>
        <w:t xml:space="preserve"> </w:t>
      </w:r>
      <w:r w:rsidR="001C1296" w:rsidRPr="001C1296">
        <w:rPr>
          <w:lang w:val="fr-CH"/>
        </w:rPr>
        <w:t>–</w:t>
      </w:r>
      <w:r w:rsidRPr="008653E6">
        <w:rPr>
          <w:lang w:val="fr-CH"/>
        </w:rPr>
        <w:t xml:space="preserve"> Méthodes de travail de l</w:t>
      </w:r>
      <w:r w:rsidR="00D3135C">
        <w:rPr>
          <w:lang w:val="fr-CH"/>
        </w:rPr>
        <w:t>'</w:t>
      </w:r>
      <w:r w:rsidRPr="008653E6">
        <w:rPr>
          <w:lang w:val="fr-CH"/>
        </w:rPr>
        <w:t>AR et des commissions d</w:t>
      </w:r>
      <w:r w:rsidR="00D3135C">
        <w:rPr>
          <w:lang w:val="fr-CH"/>
        </w:rPr>
        <w:t>'</w:t>
      </w:r>
      <w:r w:rsidRPr="008653E6">
        <w:rPr>
          <w:lang w:val="fr-CH"/>
        </w:rPr>
        <w:t>études</w:t>
      </w:r>
    </w:p>
    <w:p w:rsidR="006A7259" w:rsidRPr="008653E6" w:rsidRDefault="006A7259" w:rsidP="006A7259">
      <w:pPr>
        <w:pStyle w:val="Tabletext"/>
        <w:tabs>
          <w:tab w:val="clear" w:pos="1418"/>
          <w:tab w:val="left" w:pos="1560"/>
        </w:tabs>
        <w:rPr>
          <w:sz w:val="24"/>
          <w:szCs w:val="24"/>
          <w:lang w:val="fr-CH"/>
        </w:rPr>
      </w:pPr>
      <w:r w:rsidRPr="006A7259">
        <w:rPr>
          <w:bCs/>
          <w:sz w:val="24"/>
          <w:szCs w:val="24"/>
          <w:lang w:val="fr-CH"/>
        </w:rPr>
        <w:t>Président</w:t>
      </w:r>
      <w:r w:rsidRPr="008653E6">
        <w:rPr>
          <w:sz w:val="24"/>
          <w:szCs w:val="24"/>
          <w:lang w:val="fr-CH"/>
        </w:rPr>
        <w:tab/>
      </w:r>
      <w:r w:rsidRPr="008653E6">
        <w:rPr>
          <w:sz w:val="24"/>
          <w:szCs w:val="24"/>
          <w:lang w:val="fr-CH"/>
        </w:rPr>
        <w:tab/>
      </w:r>
      <w:r w:rsidRPr="008653E6">
        <w:rPr>
          <w:rFonts w:cstheme="minorHAnsi"/>
          <w:sz w:val="24"/>
          <w:szCs w:val="24"/>
          <w:lang w:val="fr-CH"/>
        </w:rPr>
        <w:t>M. C. Hofer (Etats-Unis)</w:t>
      </w:r>
    </w:p>
    <w:p w:rsidR="006A7259" w:rsidRPr="008653E6" w:rsidRDefault="006A7259" w:rsidP="006A7259">
      <w:pPr>
        <w:keepNext/>
        <w:keepLines/>
        <w:spacing w:after="120"/>
        <w:rPr>
          <w:rFonts w:cstheme="minorHAnsi"/>
          <w:szCs w:val="24"/>
          <w:lang w:val="fr-CH"/>
        </w:rPr>
      </w:pPr>
      <w:r w:rsidRPr="006A7259">
        <w:rPr>
          <w:bCs/>
          <w:szCs w:val="24"/>
          <w:lang w:val="fr-CH"/>
        </w:rPr>
        <w:t>Vice-Présidents</w:t>
      </w:r>
      <w:r w:rsidRPr="008653E6">
        <w:rPr>
          <w:szCs w:val="24"/>
          <w:lang w:val="fr-CH"/>
        </w:rPr>
        <w:tab/>
      </w:r>
      <w:r w:rsidRPr="008653E6">
        <w:rPr>
          <w:rFonts w:cstheme="minorHAnsi"/>
          <w:szCs w:val="24"/>
          <w:lang w:val="fr-CH"/>
        </w:rPr>
        <w:t>M. R. Chang (Chine)</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A. Kesse (Côte d</w:t>
      </w:r>
      <w:r w:rsidR="00D3135C">
        <w:rPr>
          <w:rFonts w:cstheme="minorHAnsi"/>
          <w:szCs w:val="24"/>
          <w:lang w:val="fr-CH"/>
        </w:rPr>
        <w:t>'</w:t>
      </w:r>
      <w:r w:rsidRPr="008653E6">
        <w:rPr>
          <w:rFonts w:cstheme="minorHAnsi"/>
          <w:szCs w:val="24"/>
          <w:lang w:val="fr-CH"/>
        </w:rPr>
        <w:t>Ivoire)</w:t>
      </w:r>
      <w:r w:rsidRPr="008653E6">
        <w:rPr>
          <w:rFonts w:cstheme="minorHAnsi"/>
          <w:szCs w:val="24"/>
          <w:lang w:val="fr-CH"/>
        </w:rPr>
        <w:br/>
      </w:r>
      <w:r w:rsidRPr="008653E6">
        <w:rPr>
          <w:rFonts w:cstheme="minorHAnsi"/>
          <w:szCs w:val="24"/>
          <w:lang w:val="fr-CH"/>
        </w:rPr>
        <w:tab/>
      </w:r>
      <w:r w:rsidRPr="008653E6">
        <w:rPr>
          <w:rFonts w:cstheme="minorHAnsi"/>
          <w:szCs w:val="24"/>
          <w:lang w:val="fr-CH"/>
        </w:rPr>
        <w:tab/>
      </w:r>
      <w:r w:rsidRPr="008653E6">
        <w:rPr>
          <w:rFonts w:cstheme="minorHAnsi"/>
          <w:szCs w:val="24"/>
          <w:lang w:val="fr-CH"/>
        </w:rPr>
        <w:tab/>
        <w:t>M. M. Ouhamou (Maroc)</w:t>
      </w:r>
    </w:p>
    <w:p w:rsidR="006A7259" w:rsidRPr="008653E6" w:rsidRDefault="006A7259" w:rsidP="001C1296">
      <w:pPr>
        <w:rPr>
          <w:lang w:val="fr-CH"/>
        </w:rPr>
      </w:pPr>
      <w:r w:rsidRPr="008653E6">
        <w:rPr>
          <w:lang w:val="fr-CH"/>
        </w:rPr>
        <w:t>L</w:t>
      </w:r>
      <w:r w:rsidR="00D3135C">
        <w:rPr>
          <w:lang w:val="fr-CH"/>
        </w:rPr>
        <w:t>'</w:t>
      </w:r>
      <w:r w:rsidRPr="008653E6">
        <w:rPr>
          <w:lang w:val="fr-CH"/>
        </w:rPr>
        <w:t>AR-15 s</w:t>
      </w:r>
      <w:r w:rsidR="00D3135C">
        <w:rPr>
          <w:lang w:val="fr-CH"/>
        </w:rPr>
        <w:t>'</w:t>
      </w:r>
      <w:r w:rsidRPr="008653E6">
        <w:rPr>
          <w:lang w:val="fr-CH"/>
        </w:rPr>
        <w:t>est déroulée entièrement sans</w:t>
      </w:r>
      <w:r w:rsidRPr="008653E6">
        <w:rPr>
          <w:color w:val="000000"/>
        </w:rPr>
        <w:t xml:space="preserve"> </w:t>
      </w:r>
      <w:r w:rsidRPr="008653E6">
        <w:rPr>
          <w:lang w:val="fr-CH"/>
        </w:rPr>
        <w:t xml:space="preserve">papier et le </w:t>
      </w:r>
      <w:r w:rsidR="00AD45A6">
        <w:rPr>
          <w:lang w:val="fr-CH"/>
        </w:rPr>
        <w:t>site web SharePoint de l</w:t>
      </w:r>
      <w:r w:rsidR="00D3135C">
        <w:rPr>
          <w:lang w:val="fr-CH"/>
        </w:rPr>
        <w:t>'</w:t>
      </w:r>
      <w:r w:rsidR="00AD45A6">
        <w:rPr>
          <w:lang w:val="fr-CH"/>
        </w:rPr>
        <w:t>AR-15</w:t>
      </w:r>
      <w:r w:rsidRPr="008653E6">
        <w:rPr>
          <w:lang w:val="fr-CH"/>
        </w:rPr>
        <w:t xml:space="preserve"> a été utilisé pour to</w:t>
      </w:r>
      <w:r w:rsidR="00AD45A6">
        <w:rPr>
          <w:lang w:val="fr-CH"/>
        </w:rPr>
        <w:t>utes les activités de rédaction</w:t>
      </w:r>
      <w:r w:rsidRPr="008653E6">
        <w:rPr>
          <w:lang w:val="fr-CH"/>
        </w:rPr>
        <w:t>. Des applications</w:t>
      </w:r>
      <w:r w:rsidRPr="008653E6">
        <w:rPr>
          <w:rFonts w:eastAsia="Arial Unicode MS"/>
          <w:bCs/>
        </w:rPr>
        <w:t xml:space="preserve"> </w:t>
      </w:r>
      <w:r w:rsidR="00AD45A6">
        <w:rPr>
          <w:rFonts w:eastAsia="Arial Unicode MS"/>
          <w:bCs/>
        </w:rPr>
        <w:t>mobiles et de synchronisation des documents</w:t>
      </w:r>
      <w:r w:rsidRPr="008653E6">
        <w:rPr>
          <w:lang w:val="fr-CH"/>
        </w:rPr>
        <w:t xml:space="preserve"> ont également été mises à disposition</w:t>
      </w:r>
      <w:r w:rsidR="00AD45A6">
        <w:rPr>
          <w:lang w:val="fr-CH"/>
        </w:rPr>
        <w:t xml:space="preserve"> pour l</w:t>
      </w:r>
      <w:r w:rsidR="00D3135C">
        <w:rPr>
          <w:lang w:val="fr-CH"/>
        </w:rPr>
        <w:t>'</w:t>
      </w:r>
      <w:r w:rsidR="00AD45A6">
        <w:rPr>
          <w:lang w:val="fr-CH"/>
        </w:rPr>
        <w:t>AR-15.</w:t>
      </w:r>
    </w:p>
    <w:p w:rsidR="006A7259" w:rsidRPr="008653E6" w:rsidRDefault="006A7259" w:rsidP="001C1296">
      <w:pPr>
        <w:rPr>
          <w:lang w:val="fr-CH"/>
        </w:rPr>
      </w:pPr>
      <w:r w:rsidRPr="008653E6">
        <w:rPr>
          <w:lang w:val="fr-CH"/>
        </w:rPr>
        <w:t>Suite à la décision prise pendant la séance plénière d</w:t>
      </w:r>
      <w:r w:rsidR="00D3135C">
        <w:rPr>
          <w:lang w:val="fr-CH"/>
        </w:rPr>
        <w:t>'</w:t>
      </w:r>
      <w:r w:rsidRPr="008653E6">
        <w:rPr>
          <w:lang w:val="fr-CH"/>
        </w:rPr>
        <w:t>ouverture, et conformément aux décisions de la PP-14, toutes les contributions étaient librement accessibles au public avant le début de l</w:t>
      </w:r>
      <w:r w:rsidR="00D3135C">
        <w:rPr>
          <w:lang w:val="fr-CH"/>
        </w:rPr>
        <w:t>'</w:t>
      </w:r>
      <w:r w:rsidRPr="008653E6">
        <w:rPr>
          <w:lang w:val="fr-CH"/>
        </w:rPr>
        <w:t>Assemblée</w:t>
      </w:r>
      <w:r w:rsidR="00AD45A6">
        <w:rPr>
          <w:color w:val="000000"/>
        </w:rPr>
        <w:t>, aucun E</w:t>
      </w:r>
      <w:r w:rsidRPr="008653E6">
        <w:rPr>
          <w:color w:val="000000"/>
        </w:rPr>
        <w:t>tat Membre n</w:t>
      </w:r>
      <w:r w:rsidR="00D3135C">
        <w:rPr>
          <w:color w:val="000000"/>
        </w:rPr>
        <w:t>'</w:t>
      </w:r>
      <w:r w:rsidRPr="008653E6">
        <w:rPr>
          <w:color w:val="000000"/>
        </w:rPr>
        <w:t>ayant estimé que leur divulgation risquait de causer à des intérêts publics ou privés légitimes un préjudice que ne sauraient justifier les avantages de l</w:t>
      </w:r>
      <w:r w:rsidR="00D3135C">
        <w:rPr>
          <w:color w:val="000000"/>
        </w:rPr>
        <w:t>'</w:t>
      </w:r>
      <w:r w:rsidRPr="008653E6">
        <w:rPr>
          <w:color w:val="000000"/>
        </w:rPr>
        <w:t>accessibilité</w:t>
      </w:r>
      <w:r w:rsidRPr="008653E6">
        <w:rPr>
          <w:lang w:val="fr-CH"/>
        </w:rPr>
        <w:t>. Les Résolutions, Recomman</w:t>
      </w:r>
      <w:r w:rsidR="00AD45A6">
        <w:rPr>
          <w:lang w:val="fr-CH"/>
        </w:rPr>
        <w:t>dations et Questions de l</w:t>
      </w:r>
      <w:r w:rsidR="00D3135C">
        <w:rPr>
          <w:lang w:val="fr-CH"/>
        </w:rPr>
        <w:t>'</w:t>
      </w:r>
      <w:r w:rsidR="00AD45A6">
        <w:rPr>
          <w:lang w:val="fr-CH"/>
        </w:rPr>
        <w:t>UIT-R</w:t>
      </w:r>
      <w:r w:rsidRPr="008653E6">
        <w:rPr>
          <w:lang w:val="fr-CH"/>
        </w:rPr>
        <w:t>, qui constituent les principaux résultats de l</w:t>
      </w:r>
      <w:r w:rsidR="00D3135C">
        <w:rPr>
          <w:lang w:val="fr-CH"/>
        </w:rPr>
        <w:t>'</w:t>
      </w:r>
      <w:r w:rsidRPr="008653E6">
        <w:rPr>
          <w:lang w:val="fr-CH"/>
        </w:rPr>
        <w:t>Assemblée, sont également accessibles au public.</w:t>
      </w:r>
    </w:p>
    <w:p w:rsidR="006A7259" w:rsidRPr="008653E6" w:rsidRDefault="006A7259" w:rsidP="006A7259">
      <w:pPr>
        <w:rPr>
          <w:lang w:val="fr-CH"/>
        </w:rPr>
      </w:pPr>
      <w:r w:rsidRPr="008653E6">
        <w:rPr>
          <w:lang w:val="fr-CH"/>
        </w:rPr>
        <w:t>Les séances plénières ainsi que les séances des commissions ont été diffusées sur le web dans les six langues officielles, avec sous-titrage en anglais; les fichiers (archives) correspondants sont disponibles sur le site web de l</w:t>
      </w:r>
      <w:r w:rsidR="00D3135C">
        <w:rPr>
          <w:lang w:val="fr-CH"/>
        </w:rPr>
        <w:t>'</w:t>
      </w:r>
      <w:r w:rsidRPr="008653E6">
        <w:rPr>
          <w:lang w:val="fr-CH"/>
        </w:rPr>
        <w:t>AR-15.</w:t>
      </w:r>
    </w:p>
    <w:p w:rsidR="006A7259" w:rsidRPr="008653E6" w:rsidRDefault="006A7259" w:rsidP="006A7259">
      <w:pPr>
        <w:rPr>
          <w:rFonts w:asciiTheme="minorHAnsi" w:eastAsia="Arial Unicode MS" w:hAnsiTheme="minorHAnsi" w:cstheme="minorHAnsi"/>
          <w:b/>
          <w:bCs/>
          <w:szCs w:val="24"/>
          <w:lang w:val="fr-CH"/>
        </w:rPr>
      </w:pPr>
      <w:r w:rsidRPr="008653E6">
        <w:rPr>
          <w:lang w:val="fr-CH"/>
        </w:rPr>
        <w:t>On trouvera des renseignements détaillés sur l</w:t>
      </w:r>
      <w:r w:rsidR="00D3135C">
        <w:rPr>
          <w:lang w:val="fr-CH"/>
        </w:rPr>
        <w:t>'</w:t>
      </w:r>
      <w:r w:rsidRPr="008653E6">
        <w:rPr>
          <w:lang w:val="fr-CH"/>
        </w:rPr>
        <w:t>AR-15 à l</w:t>
      </w:r>
      <w:r w:rsidR="00D3135C">
        <w:rPr>
          <w:lang w:val="fr-CH"/>
        </w:rPr>
        <w:t>'</w:t>
      </w:r>
      <w:r w:rsidRPr="008653E6">
        <w:rPr>
          <w:lang w:val="fr-CH"/>
        </w:rPr>
        <w:t xml:space="preserve">adresse: </w:t>
      </w:r>
      <w:hyperlink r:id="rId11" w:history="1">
        <w:r w:rsidR="00AD45A6">
          <w:rPr>
            <w:rStyle w:val="Hyperlink"/>
            <w:szCs w:val="24"/>
            <w:lang w:val="fr-CH"/>
          </w:rPr>
          <w:t>http://www.itu.int/en/ITU-R/conferences/RA/2015</w:t>
        </w:r>
      </w:hyperlink>
      <w:r w:rsidRPr="008653E6">
        <w:rPr>
          <w:lang w:val="fr-CH"/>
        </w:rPr>
        <w:t xml:space="preserve">. </w:t>
      </w:r>
    </w:p>
    <w:p w:rsidR="006A7259" w:rsidRPr="001C1296" w:rsidRDefault="006A7259" w:rsidP="001C1296">
      <w:pPr>
        <w:rPr>
          <w:lang w:val="fr-CH"/>
        </w:rPr>
      </w:pPr>
      <w:r w:rsidRPr="001C1296">
        <w:rPr>
          <w:lang w:val="fr-CH"/>
        </w:rPr>
        <w:t>L</w:t>
      </w:r>
      <w:r w:rsidR="00D3135C" w:rsidRPr="001C1296">
        <w:rPr>
          <w:lang w:val="fr-CH"/>
        </w:rPr>
        <w:t>'</w:t>
      </w:r>
      <w:r w:rsidRPr="001C1296">
        <w:rPr>
          <w:lang w:val="fr-CH"/>
        </w:rPr>
        <w:t>Assemblée des radiocommunications a apporté des modifications d</w:t>
      </w:r>
      <w:r w:rsidR="00AD45A6" w:rsidRPr="001C1296">
        <w:rPr>
          <w:lang w:val="fr-CH"/>
        </w:rPr>
        <w:t>e fond à la Résolution UIT-R 1 «</w:t>
      </w:r>
      <w:r w:rsidRPr="001C1296">
        <w:rPr>
          <w:lang w:val="fr-CH"/>
        </w:rPr>
        <w:t>Méthodes de travail de l</w:t>
      </w:r>
      <w:r w:rsidR="00D3135C" w:rsidRPr="001C1296">
        <w:rPr>
          <w:lang w:val="fr-CH"/>
        </w:rPr>
        <w:t>'</w:t>
      </w:r>
      <w:r w:rsidRPr="001C1296">
        <w:rPr>
          <w:lang w:val="fr-CH"/>
        </w:rPr>
        <w:t>Assemblée des radiocommunications</w:t>
      </w:r>
      <w:r w:rsidR="00AD45A6" w:rsidRPr="001C1296">
        <w:rPr>
          <w:lang w:val="fr-CH"/>
        </w:rPr>
        <w:t>, des c</w:t>
      </w:r>
      <w:r w:rsidRPr="001C1296">
        <w:rPr>
          <w:lang w:val="fr-CH"/>
        </w:rPr>
        <w:t>ommissions d</w:t>
      </w:r>
      <w:r w:rsidR="00D3135C" w:rsidRPr="001C1296">
        <w:rPr>
          <w:lang w:val="fr-CH"/>
        </w:rPr>
        <w:t>'</w:t>
      </w:r>
      <w:r w:rsidRPr="001C1296">
        <w:rPr>
          <w:lang w:val="fr-CH"/>
        </w:rPr>
        <w:t>études des radiocommunications du Groupe consultatif des radiocommunications et d</w:t>
      </w:r>
      <w:r w:rsidR="00D3135C" w:rsidRPr="001C1296">
        <w:rPr>
          <w:lang w:val="fr-CH"/>
        </w:rPr>
        <w:t>'</w:t>
      </w:r>
      <w:r w:rsidRPr="001C1296">
        <w:rPr>
          <w:lang w:val="fr-CH"/>
        </w:rPr>
        <w:t xml:space="preserve">autres groupes du </w:t>
      </w:r>
      <w:r w:rsidR="00AD45A6" w:rsidRPr="001C1296">
        <w:rPr>
          <w:lang w:val="fr-CH"/>
        </w:rPr>
        <w:t>Secteur des radiocommunications»</w:t>
      </w:r>
      <w:r w:rsidRPr="001C1296">
        <w:rPr>
          <w:lang w:val="fr-CH"/>
        </w:rPr>
        <w:t>, afin de simplifier et de clarifier les procédures utilisées par les commissions d</w:t>
      </w:r>
      <w:r w:rsidR="00D3135C" w:rsidRPr="001C1296">
        <w:rPr>
          <w:lang w:val="fr-CH"/>
        </w:rPr>
        <w:t>'</w:t>
      </w:r>
      <w:r w:rsidRPr="001C1296">
        <w:rPr>
          <w:lang w:val="fr-CH"/>
        </w:rPr>
        <w:t>études de l</w:t>
      </w:r>
      <w:r w:rsidR="00D3135C" w:rsidRPr="001C1296">
        <w:rPr>
          <w:lang w:val="fr-CH"/>
        </w:rPr>
        <w:t>'</w:t>
      </w:r>
      <w:r w:rsidRPr="001C1296">
        <w:rPr>
          <w:lang w:val="fr-CH"/>
        </w:rPr>
        <w:t>UIT-R.</w:t>
      </w:r>
    </w:p>
    <w:p w:rsidR="006A7259" w:rsidRPr="001C1296" w:rsidRDefault="006A7259" w:rsidP="001C1296">
      <w:pPr>
        <w:rPr>
          <w:lang w:val="fr-CH"/>
        </w:rPr>
      </w:pPr>
      <w:r w:rsidRPr="001C1296">
        <w:rPr>
          <w:lang w:val="fr-CH"/>
        </w:rPr>
        <w:t>En outre, l</w:t>
      </w:r>
      <w:r w:rsidR="00AD45A6" w:rsidRPr="001C1296">
        <w:rPr>
          <w:lang w:val="fr-CH"/>
        </w:rPr>
        <w:t>a Résolution UIT-R 2 «</w:t>
      </w:r>
      <w:r w:rsidRPr="001C1296">
        <w:rPr>
          <w:lang w:val="fr-CH"/>
        </w:rPr>
        <w:t>Réunion</w:t>
      </w:r>
      <w:r w:rsidR="00AD45A6" w:rsidRPr="001C1296">
        <w:rPr>
          <w:lang w:val="fr-CH"/>
        </w:rPr>
        <w:t xml:space="preserve"> de préparation à la Conférence»</w:t>
      </w:r>
      <w:r w:rsidRPr="001C1296">
        <w:rPr>
          <w:lang w:val="fr-CH"/>
        </w:rPr>
        <w:t xml:space="preserve"> a été mise à </w:t>
      </w:r>
      <w:r w:rsidR="00AD45A6" w:rsidRPr="001C1296">
        <w:rPr>
          <w:lang w:val="fr-CH"/>
        </w:rPr>
        <w:t>jour et la Résolution UIT-R 38 «</w:t>
      </w:r>
      <w:r w:rsidRPr="001C1296">
        <w:rPr>
          <w:lang w:val="fr-CH"/>
        </w:rPr>
        <w:t>Etude des questions</w:t>
      </w:r>
      <w:r w:rsidR="00AD45A6" w:rsidRPr="001C1296">
        <w:rPr>
          <w:lang w:val="fr-CH"/>
        </w:rPr>
        <w:t xml:space="preserve"> réglementaires et de procédure»</w:t>
      </w:r>
      <w:r w:rsidRPr="001C1296">
        <w:rPr>
          <w:lang w:val="fr-CH"/>
        </w:rPr>
        <w:t xml:space="preserve"> a été supprimée.</w:t>
      </w:r>
    </w:p>
    <w:p w:rsidR="006A7259" w:rsidRPr="008653E6" w:rsidRDefault="006A7259" w:rsidP="006A7259">
      <w:pPr>
        <w:rPr>
          <w:rFonts w:eastAsia="Arial Unicode MS"/>
          <w:lang w:val="fr-CH"/>
        </w:rPr>
      </w:pPr>
      <w:r w:rsidRPr="001C1296">
        <w:rPr>
          <w:lang w:val="fr-CH"/>
        </w:rPr>
        <w:t>La structure des commissions d</w:t>
      </w:r>
      <w:r w:rsidR="00D3135C" w:rsidRPr="001C1296">
        <w:rPr>
          <w:lang w:val="fr-CH"/>
        </w:rPr>
        <w:t>'</w:t>
      </w:r>
      <w:r w:rsidRPr="001C1296">
        <w:rPr>
          <w:lang w:val="fr-CH"/>
        </w:rPr>
        <w:t>études de l</w:t>
      </w:r>
      <w:r w:rsidR="00D3135C" w:rsidRPr="001C1296">
        <w:rPr>
          <w:lang w:val="fr-CH"/>
        </w:rPr>
        <w:t>'</w:t>
      </w:r>
      <w:r w:rsidRPr="001C1296">
        <w:rPr>
          <w:lang w:val="fr-CH"/>
        </w:rPr>
        <w:t>UIT-R est restée inchangé</w:t>
      </w:r>
      <w:r w:rsidR="00AD45A6" w:rsidRPr="001C1296">
        <w:rPr>
          <w:lang w:val="fr-CH"/>
        </w:rPr>
        <w:t>e</w:t>
      </w:r>
      <w:r w:rsidRPr="001C1296">
        <w:rPr>
          <w:lang w:val="fr-CH"/>
        </w:rPr>
        <w:t>, de sorte que les six commissions d</w:t>
      </w:r>
      <w:r w:rsidR="00D3135C" w:rsidRPr="001C1296">
        <w:rPr>
          <w:lang w:val="fr-CH"/>
        </w:rPr>
        <w:t>'</w:t>
      </w:r>
      <w:r w:rsidRPr="001C1296">
        <w:rPr>
          <w:lang w:val="fr-CH"/>
        </w:rPr>
        <w:t>études actuelles de l</w:t>
      </w:r>
      <w:r w:rsidR="00D3135C" w:rsidRPr="001C1296">
        <w:rPr>
          <w:lang w:val="fr-CH"/>
        </w:rPr>
        <w:t>'</w:t>
      </w:r>
      <w:r w:rsidRPr="001C1296">
        <w:rPr>
          <w:lang w:val="fr-CH"/>
        </w:rPr>
        <w:t>UIT-R poursuivront leurs travaux pendant la nouvelle période d</w:t>
      </w:r>
      <w:r w:rsidR="00D3135C" w:rsidRPr="001C1296">
        <w:rPr>
          <w:lang w:val="fr-CH"/>
        </w:rPr>
        <w:t>'</w:t>
      </w:r>
      <w:r w:rsidRPr="001C1296">
        <w:rPr>
          <w:lang w:val="fr-CH"/>
        </w:rPr>
        <w:t>études (2015-2019) avec le même domaine d</w:t>
      </w:r>
      <w:r w:rsidR="00D3135C" w:rsidRPr="001C1296">
        <w:rPr>
          <w:lang w:val="fr-CH"/>
        </w:rPr>
        <w:t>'</w:t>
      </w:r>
      <w:r w:rsidRPr="001C1296">
        <w:rPr>
          <w:lang w:val="fr-CH"/>
        </w:rPr>
        <w:t>activité. Conformément aux dispositi</w:t>
      </w:r>
      <w:r w:rsidR="00AD45A6" w:rsidRPr="001C1296">
        <w:rPr>
          <w:lang w:val="fr-CH"/>
        </w:rPr>
        <w:t>ons de la Résolution UIT-R 15, «</w:t>
      </w:r>
      <w:r w:rsidRPr="001C1296">
        <w:rPr>
          <w:lang w:val="fr-CH"/>
        </w:rPr>
        <w:t>Désignation et durée maximale du mandat des Préside</w:t>
      </w:r>
      <w:r w:rsidR="00AD45A6" w:rsidRPr="001C1296">
        <w:rPr>
          <w:lang w:val="fr-CH"/>
        </w:rPr>
        <w:t>nts et des Vice</w:t>
      </w:r>
      <w:r w:rsidR="00AD45A6" w:rsidRPr="001C1296">
        <w:rPr>
          <w:lang w:val="fr-CH"/>
        </w:rPr>
        <w:noBreakHyphen/>
        <w:t>Présidents des c</w:t>
      </w:r>
      <w:r w:rsidRPr="001C1296">
        <w:rPr>
          <w:lang w:val="fr-CH"/>
        </w:rPr>
        <w:t>ommissions d</w:t>
      </w:r>
      <w:r w:rsidR="00D3135C" w:rsidRPr="001C1296">
        <w:rPr>
          <w:lang w:val="fr-CH"/>
        </w:rPr>
        <w:t>'</w:t>
      </w:r>
      <w:r w:rsidRPr="001C1296">
        <w:rPr>
          <w:lang w:val="fr-CH"/>
        </w:rPr>
        <w:t>études des radiocommunications, du Comité de coordination pour le vocabulaire et du Groupe cons</w:t>
      </w:r>
      <w:r w:rsidR="00AD45A6" w:rsidRPr="001C1296">
        <w:rPr>
          <w:lang w:val="fr-CH"/>
        </w:rPr>
        <w:t>ultatif des radiocommunications»</w:t>
      </w:r>
      <w:r w:rsidRPr="001C1296">
        <w:rPr>
          <w:lang w:val="fr-CH"/>
        </w:rPr>
        <w:t>, le Président/les Vice</w:t>
      </w:r>
      <w:r w:rsidRPr="001C1296">
        <w:rPr>
          <w:lang w:val="fr-CH"/>
        </w:rPr>
        <w:noBreakHyphen/>
        <w:t>Présidents de chacune de ces commissions ont été désignés. La structure des commissions d</w:t>
      </w:r>
      <w:r w:rsidR="00D3135C" w:rsidRPr="001C1296">
        <w:rPr>
          <w:lang w:val="fr-CH"/>
        </w:rPr>
        <w:t>'</w:t>
      </w:r>
      <w:r w:rsidRPr="001C1296">
        <w:rPr>
          <w:lang w:val="fr-CH"/>
        </w:rPr>
        <w:t xml:space="preserve">études des radiocommunications, ainsi que leurs domaines de compétence et leurs </w:t>
      </w:r>
      <w:r w:rsidR="00D04881" w:rsidRPr="001C1296">
        <w:rPr>
          <w:lang w:val="fr-CH"/>
        </w:rPr>
        <w:t>P</w:t>
      </w:r>
      <w:r w:rsidRPr="001C1296">
        <w:rPr>
          <w:lang w:val="fr-CH"/>
        </w:rPr>
        <w:t xml:space="preserve">résidents et </w:t>
      </w:r>
      <w:r w:rsidR="00D04881" w:rsidRPr="001C1296">
        <w:rPr>
          <w:lang w:val="fr-CH"/>
        </w:rPr>
        <w:t>V</w:t>
      </w:r>
      <w:r w:rsidRPr="001C1296">
        <w:rPr>
          <w:lang w:val="fr-CH"/>
        </w:rPr>
        <w:t>ice-</w:t>
      </w:r>
      <w:r w:rsidR="00D04881" w:rsidRPr="001C1296">
        <w:rPr>
          <w:lang w:val="fr-CH"/>
        </w:rPr>
        <w:t>P</w:t>
      </w:r>
      <w:r w:rsidRPr="001C1296">
        <w:rPr>
          <w:lang w:val="fr-CH"/>
        </w:rPr>
        <w:t>résidents respectifs, sont indiqués dans la Résolution UIT-R 4</w:t>
      </w:r>
      <w:r w:rsidRPr="008653E6">
        <w:rPr>
          <w:rFonts w:eastAsia="Arial Unicode MS"/>
          <w:lang w:val="fr-CH"/>
        </w:rPr>
        <w:t xml:space="preserve"> (</w:t>
      </w:r>
      <w:hyperlink r:id="rId12" w:history="1">
        <w:r w:rsidRPr="00AD45A6">
          <w:rPr>
            <w:rStyle w:val="Hyperlink"/>
            <w:szCs w:val="24"/>
            <w:lang w:val="fr-CH"/>
          </w:rPr>
          <w:t>http://www.itu.int/pub/R-RES-R.4</w:t>
        </w:r>
      </w:hyperlink>
      <w:r w:rsidRPr="008653E6">
        <w:rPr>
          <w:rFonts w:eastAsia="Arial Unicode MS"/>
          <w:lang w:val="fr-CH"/>
        </w:rPr>
        <w:t>).</w:t>
      </w:r>
    </w:p>
    <w:p w:rsidR="006A7259" w:rsidRPr="008653E6" w:rsidRDefault="006A7259" w:rsidP="001C1296">
      <w:pPr>
        <w:rPr>
          <w:rFonts w:eastAsia="Arial Unicode MS"/>
          <w:lang w:val="fr-CH"/>
        </w:rPr>
      </w:pPr>
      <w:r w:rsidRPr="001C1296">
        <w:rPr>
          <w:lang w:val="fr-CH"/>
        </w:rPr>
        <w:t>L</w:t>
      </w:r>
      <w:r w:rsidR="00D3135C" w:rsidRPr="001C1296">
        <w:rPr>
          <w:lang w:val="fr-CH"/>
        </w:rPr>
        <w:t>'</w:t>
      </w:r>
      <w:r w:rsidRPr="001C1296">
        <w:rPr>
          <w:lang w:val="fr-CH"/>
        </w:rPr>
        <w:t>AR-15 a approuvé le programme de travail des commissions d</w:t>
      </w:r>
      <w:r w:rsidR="00D3135C" w:rsidRPr="001C1296">
        <w:rPr>
          <w:lang w:val="fr-CH"/>
        </w:rPr>
        <w:t>'</w:t>
      </w:r>
      <w:r w:rsidRPr="001C1296">
        <w:rPr>
          <w:lang w:val="fr-CH"/>
        </w:rPr>
        <w:t>études des radiocommunications et les Questions qui leur ont été confiées (voir la Résolution UIT-R 5,</w:t>
      </w:r>
      <w:r w:rsidRPr="008653E6">
        <w:rPr>
          <w:rFonts w:eastAsia="Arial Unicode MS"/>
          <w:lang w:val="fr-CH"/>
        </w:rPr>
        <w:t xml:space="preserve"> </w:t>
      </w:r>
      <w:hyperlink r:id="rId13" w:history="1">
        <w:r w:rsidRPr="00AD45A6">
          <w:rPr>
            <w:rStyle w:val="Hyperlink"/>
            <w:szCs w:val="24"/>
            <w:lang w:val="fr-CH"/>
          </w:rPr>
          <w:t>http://www.itu.int/pub/R-RES-R.5</w:t>
        </w:r>
      </w:hyperlink>
      <w:r w:rsidRPr="001C1296">
        <w:rPr>
          <w:lang w:val="fr-CH"/>
        </w:rPr>
        <w:t>) ainsi que six projets de Recommandation UIT-R et un projet de Question UIT-R, qui ont été soumis à l</w:t>
      </w:r>
      <w:r w:rsidR="00D3135C" w:rsidRPr="001C1296">
        <w:rPr>
          <w:lang w:val="fr-CH"/>
        </w:rPr>
        <w:t>'</w:t>
      </w:r>
      <w:r w:rsidRPr="001C1296">
        <w:rPr>
          <w:lang w:val="fr-CH"/>
        </w:rPr>
        <w:t>Assemblée.</w:t>
      </w:r>
    </w:p>
    <w:p w:rsidR="006A7259" w:rsidRPr="001C1296" w:rsidRDefault="006A7259" w:rsidP="001C1296">
      <w:pPr>
        <w:rPr>
          <w:lang w:val="fr-CH"/>
        </w:rPr>
      </w:pPr>
      <w:r w:rsidRPr="001C1296">
        <w:rPr>
          <w:lang w:val="fr-CH"/>
        </w:rPr>
        <w:t>Au total, 36 Résolutions UIT-R, nouvelles ou révisées, ont été approuvées, notamment:</w:t>
      </w:r>
    </w:p>
    <w:p w:rsidR="006A7259" w:rsidRPr="008653E6" w:rsidRDefault="00BE0203" w:rsidP="00AD45A6">
      <w:pPr>
        <w:pStyle w:val="enumlev1"/>
        <w:rPr>
          <w:rFonts w:eastAsia="Arial Unicode MS"/>
          <w:lang w:val="fr-CH"/>
        </w:rPr>
      </w:pPr>
      <w:r w:rsidRPr="00BE0203">
        <w:rPr>
          <w:rFonts w:eastAsia="Arial Unicode MS"/>
          <w:b/>
          <w:bCs/>
          <w:lang w:val="fr-CH"/>
        </w:rPr>
        <w:t>•</w:t>
      </w:r>
      <w:r w:rsidR="00AD45A6">
        <w:rPr>
          <w:rFonts w:eastAsia="Arial Unicode MS"/>
          <w:b/>
          <w:bCs/>
          <w:lang w:val="fr-CH"/>
        </w:rPr>
        <w:tab/>
      </w:r>
      <w:r w:rsidR="006A7259" w:rsidRPr="008653E6">
        <w:rPr>
          <w:rFonts w:eastAsia="Arial Unicode MS"/>
          <w:b/>
          <w:bCs/>
          <w:lang w:val="fr-CH"/>
        </w:rPr>
        <w:t>Résolution UIT-R 55</w:t>
      </w:r>
      <w:r w:rsidR="006A7259" w:rsidRPr="008653E6">
        <w:rPr>
          <w:rFonts w:eastAsia="Arial Unicode MS"/>
          <w:lang w:val="fr-CH"/>
        </w:rPr>
        <w:t xml:space="preserve"> – Etudes de l</w:t>
      </w:r>
      <w:r w:rsidR="00D3135C">
        <w:rPr>
          <w:rFonts w:eastAsia="Arial Unicode MS"/>
          <w:lang w:val="fr-CH"/>
        </w:rPr>
        <w:t>'</w:t>
      </w:r>
      <w:r w:rsidR="006A7259" w:rsidRPr="008653E6">
        <w:rPr>
          <w:rFonts w:eastAsia="Arial Unicode MS"/>
          <w:lang w:val="fr-CH"/>
        </w:rPr>
        <w:t>UIT-R concernant la prévision ou la détection des catastrophes, l</w:t>
      </w:r>
      <w:r w:rsidR="00D3135C">
        <w:rPr>
          <w:rFonts w:eastAsia="Arial Unicode MS"/>
          <w:lang w:val="fr-CH"/>
        </w:rPr>
        <w:t>'</w:t>
      </w:r>
      <w:r w:rsidR="006A7259" w:rsidRPr="008653E6">
        <w:rPr>
          <w:rFonts w:eastAsia="Arial Unicode MS"/>
          <w:lang w:val="fr-CH"/>
        </w:rPr>
        <w:t>atténuation de leurs effets et les opérations de secours (</w:t>
      </w:r>
      <w:hyperlink r:id="rId14" w:history="1">
        <w:r w:rsidR="00AD45A6" w:rsidRPr="00FD777A">
          <w:rPr>
            <w:rStyle w:val="Hyperlink"/>
            <w:szCs w:val="24"/>
          </w:rPr>
          <w:t>http://www.itu.int/pub/R-RES-R.55</w:t>
        </w:r>
      </w:hyperlink>
      <w:r w:rsidR="006A7259" w:rsidRPr="008653E6">
        <w:rPr>
          <w:rFonts w:eastAsia="Arial Unicode MS"/>
          <w:lang w:val="fr-CH"/>
        </w:rPr>
        <w:t>)</w:t>
      </w:r>
    </w:p>
    <w:p w:rsidR="006A7259" w:rsidRPr="008653E6" w:rsidRDefault="00BE0203" w:rsidP="00AD45A6">
      <w:pPr>
        <w:pStyle w:val="enumlev1"/>
        <w:rPr>
          <w:rFonts w:eastAsia="Arial Unicode MS"/>
          <w:lang w:val="fr-CH"/>
        </w:rPr>
      </w:pPr>
      <w:r w:rsidRPr="00BE0203">
        <w:rPr>
          <w:rFonts w:eastAsia="Arial Unicode MS"/>
          <w:b/>
          <w:bCs/>
          <w:lang w:val="fr-CH"/>
        </w:rPr>
        <w:t>•</w:t>
      </w:r>
      <w:r w:rsidR="00AD45A6">
        <w:rPr>
          <w:rFonts w:eastAsia="Arial Unicode MS"/>
          <w:b/>
          <w:bCs/>
          <w:lang w:val="fr-CH"/>
        </w:rPr>
        <w:tab/>
      </w:r>
      <w:r w:rsidR="006A7259" w:rsidRPr="008653E6">
        <w:rPr>
          <w:rFonts w:eastAsia="Arial Unicode MS"/>
          <w:b/>
          <w:bCs/>
          <w:lang w:val="fr-CH"/>
        </w:rPr>
        <w:t>Résolution UIT-R 65</w:t>
      </w:r>
      <w:r w:rsidR="006A7259" w:rsidRPr="008653E6">
        <w:rPr>
          <w:rFonts w:eastAsia="Arial Unicode MS"/>
          <w:lang w:val="fr-CH"/>
        </w:rPr>
        <w:t xml:space="preserve"> – </w:t>
      </w:r>
      <w:r w:rsidR="006A7259" w:rsidRPr="008653E6">
        <w:rPr>
          <w:color w:val="000000"/>
          <w:lang w:val="fr-CH"/>
        </w:rPr>
        <w:t>Principes applicables au processus de développement futur des IMT à l</w:t>
      </w:r>
      <w:r w:rsidR="00D3135C">
        <w:rPr>
          <w:color w:val="000000"/>
          <w:lang w:val="fr-CH"/>
        </w:rPr>
        <w:t>'</w:t>
      </w:r>
      <w:r w:rsidR="006A7259" w:rsidRPr="008653E6">
        <w:rPr>
          <w:color w:val="000000"/>
          <w:lang w:val="fr-CH"/>
        </w:rPr>
        <w:t xml:space="preserve">horizon 2020 et au-delà </w:t>
      </w:r>
      <w:r w:rsidR="006A7259" w:rsidRPr="008653E6">
        <w:rPr>
          <w:rFonts w:eastAsia="Arial Unicode MS"/>
          <w:lang w:val="fr-CH"/>
        </w:rPr>
        <w:t>(</w:t>
      </w:r>
      <w:hyperlink r:id="rId15" w:history="1">
        <w:r w:rsidR="00AD45A6" w:rsidRPr="00FD777A">
          <w:rPr>
            <w:rStyle w:val="Hyperlink"/>
            <w:szCs w:val="24"/>
          </w:rPr>
          <w:t>http://www.itu.int/pub/R-RES-R.65</w:t>
        </w:r>
      </w:hyperlink>
      <w:r w:rsidR="006A7259" w:rsidRPr="008653E6">
        <w:rPr>
          <w:rFonts w:eastAsia="Arial Unicode MS"/>
          <w:lang w:val="fr-CH"/>
        </w:rPr>
        <w:t>)</w:t>
      </w:r>
    </w:p>
    <w:p w:rsidR="006A7259" w:rsidRPr="008653E6" w:rsidRDefault="00BE0203" w:rsidP="00AD45A6">
      <w:pPr>
        <w:pStyle w:val="enumlev1"/>
        <w:rPr>
          <w:rFonts w:eastAsia="Arial Unicode MS"/>
          <w:lang w:val="fr-CH"/>
        </w:rPr>
      </w:pPr>
      <w:r w:rsidRPr="00BE0203">
        <w:rPr>
          <w:rFonts w:eastAsia="Arial Unicode MS"/>
          <w:b/>
          <w:bCs/>
          <w:lang w:val="fr-CH"/>
        </w:rPr>
        <w:t>•</w:t>
      </w:r>
      <w:r w:rsidR="00AD45A6">
        <w:rPr>
          <w:rFonts w:eastAsia="Arial Unicode MS"/>
          <w:b/>
          <w:bCs/>
          <w:lang w:val="fr-CH"/>
        </w:rPr>
        <w:tab/>
      </w:r>
      <w:r w:rsidR="006A7259" w:rsidRPr="008653E6">
        <w:rPr>
          <w:rFonts w:eastAsia="Arial Unicode MS"/>
          <w:b/>
          <w:bCs/>
          <w:lang w:val="fr-CH"/>
        </w:rPr>
        <w:t>Résolution UIT-R 66</w:t>
      </w:r>
      <w:r w:rsidR="006A7259" w:rsidRPr="008653E6">
        <w:rPr>
          <w:rFonts w:eastAsia="Arial Unicode MS"/>
          <w:lang w:val="fr-CH"/>
        </w:rPr>
        <w:t xml:space="preserve"> – </w:t>
      </w:r>
      <w:r w:rsidR="006A7259" w:rsidRPr="008653E6">
        <w:rPr>
          <w:color w:val="000000"/>
          <w:lang w:val="fr-CH"/>
        </w:rPr>
        <w:t>Etudes relatives aux systèmes et applications sans fil pour le développement de l</w:t>
      </w:r>
      <w:r w:rsidR="00D3135C">
        <w:rPr>
          <w:color w:val="000000"/>
          <w:lang w:val="fr-CH"/>
        </w:rPr>
        <w:t>'</w:t>
      </w:r>
      <w:r w:rsidR="006A7259" w:rsidRPr="008653E6">
        <w:rPr>
          <w:color w:val="000000"/>
          <w:lang w:val="fr-CH"/>
        </w:rPr>
        <w:t>Internet des objets</w:t>
      </w:r>
      <w:r w:rsidR="006A7259" w:rsidRPr="008653E6">
        <w:rPr>
          <w:rFonts w:eastAsia="Arial Unicode MS"/>
          <w:lang w:val="fr-CH"/>
        </w:rPr>
        <w:t xml:space="preserve"> (</w:t>
      </w:r>
      <w:hyperlink r:id="rId16" w:history="1">
        <w:r w:rsidR="00AD45A6" w:rsidRPr="00FD777A">
          <w:rPr>
            <w:rStyle w:val="Hyperlink"/>
            <w:szCs w:val="24"/>
          </w:rPr>
          <w:t>http://www.itu.int/pub/R-RES-R.66</w:t>
        </w:r>
      </w:hyperlink>
      <w:r w:rsidR="006A7259" w:rsidRPr="008653E6">
        <w:rPr>
          <w:rFonts w:eastAsia="Arial Unicode MS"/>
          <w:lang w:val="fr-CH"/>
        </w:rPr>
        <w:t>)</w:t>
      </w:r>
    </w:p>
    <w:p w:rsidR="006A7259" w:rsidRPr="008653E6" w:rsidRDefault="00BE0203" w:rsidP="00AD45A6">
      <w:pPr>
        <w:pStyle w:val="enumlev1"/>
        <w:rPr>
          <w:rFonts w:eastAsia="Arial Unicode MS"/>
          <w:lang w:val="fr-CH"/>
        </w:rPr>
      </w:pPr>
      <w:r w:rsidRPr="00BE0203">
        <w:rPr>
          <w:rFonts w:eastAsia="Arial Unicode MS"/>
          <w:b/>
          <w:bCs/>
          <w:lang w:val="fr-CH"/>
        </w:rPr>
        <w:t>•</w:t>
      </w:r>
      <w:r w:rsidR="00AD45A6">
        <w:rPr>
          <w:rFonts w:eastAsia="Arial Unicode MS"/>
          <w:b/>
          <w:bCs/>
          <w:lang w:val="fr-CH"/>
        </w:rPr>
        <w:tab/>
      </w:r>
      <w:r w:rsidR="006A7259" w:rsidRPr="008653E6">
        <w:rPr>
          <w:rFonts w:eastAsia="Arial Unicode MS"/>
          <w:b/>
          <w:bCs/>
          <w:lang w:val="fr-CH"/>
        </w:rPr>
        <w:t>Résolution UIT-R 67</w:t>
      </w:r>
      <w:r w:rsidR="006A7259" w:rsidRPr="008653E6">
        <w:rPr>
          <w:rFonts w:eastAsia="Arial Unicode MS"/>
          <w:lang w:val="fr-CH"/>
        </w:rPr>
        <w:t xml:space="preserve"> – </w:t>
      </w:r>
      <w:r w:rsidR="006A7259" w:rsidRPr="008653E6">
        <w:rPr>
          <w:color w:val="000000"/>
          <w:lang w:val="fr-CH"/>
        </w:rPr>
        <w:t>Accessibilité des télécommunications/</w:t>
      </w:r>
      <w:r w:rsidR="00BB107A">
        <w:rPr>
          <w:color w:val="000000"/>
          <w:lang w:val="fr-CH"/>
        </w:rPr>
        <w:t xml:space="preserve">TIC </w:t>
      </w:r>
      <w:r w:rsidR="006A7259" w:rsidRPr="008653E6">
        <w:rPr>
          <w:color w:val="000000"/>
          <w:lang w:val="fr-CH"/>
        </w:rPr>
        <w:t xml:space="preserve">pour les personnes handicapées et les personnes ayant des besoins particuliers </w:t>
      </w:r>
      <w:r w:rsidR="006A7259" w:rsidRPr="008653E6">
        <w:rPr>
          <w:rFonts w:eastAsia="Arial Unicode MS"/>
          <w:lang w:val="fr-CH"/>
        </w:rPr>
        <w:t>(</w:t>
      </w:r>
      <w:hyperlink r:id="rId17" w:history="1">
        <w:r w:rsidR="00AD45A6" w:rsidRPr="00FD777A">
          <w:rPr>
            <w:rStyle w:val="Hyperlink"/>
            <w:szCs w:val="24"/>
          </w:rPr>
          <w:t>http://www.itu.int/pub/R-RES-R.67</w:t>
        </w:r>
      </w:hyperlink>
      <w:r w:rsidR="006A7259" w:rsidRPr="008653E6">
        <w:rPr>
          <w:rFonts w:eastAsia="Arial Unicode MS"/>
          <w:lang w:val="fr-CH"/>
        </w:rPr>
        <w:t>)</w:t>
      </w:r>
    </w:p>
    <w:p w:rsidR="006A7259" w:rsidRPr="008653E6" w:rsidRDefault="00BE0203" w:rsidP="00AD45A6">
      <w:pPr>
        <w:pStyle w:val="enumlev1"/>
        <w:rPr>
          <w:rFonts w:eastAsia="Arial Unicode MS"/>
          <w:lang w:val="fr-CH"/>
        </w:rPr>
      </w:pPr>
      <w:r w:rsidRPr="00BE0203">
        <w:rPr>
          <w:rFonts w:eastAsia="Arial Unicode MS"/>
          <w:b/>
          <w:bCs/>
          <w:lang w:val="fr-CH"/>
        </w:rPr>
        <w:t>•</w:t>
      </w:r>
      <w:r w:rsidR="00AD45A6">
        <w:rPr>
          <w:rFonts w:eastAsia="Arial Unicode MS"/>
          <w:b/>
          <w:bCs/>
          <w:lang w:val="fr-CH"/>
        </w:rPr>
        <w:tab/>
      </w:r>
      <w:r w:rsidR="006A7259" w:rsidRPr="008653E6">
        <w:rPr>
          <w:rFonts w:eastAsia="Arial Unicode MS"/>
          <w:b/>
          <w:bCs/>
          <w:lang w:val="fr-CH"/>
        </w:rPr>
        <w:t>Résolution UIT-R 68</w:t>
      </w:r>
      <w:r w:rsidR="006A7259" w:rsidRPr="008653E6">
        <w:rPr>
          <w:rFonts w:eastAsia="Arial Unicode MS"/>
          <w:lang w:val="fr-CH"/>
        </w:rPr>
        <w:t xml:space="preserve"> – </w:t>
      </w:r>
      <w:r w:rsidR="006A7259" w:rsidRPr="008653E6">
        <w:rPr>
          <w:color w:val="000000"/>
          <w:lang w:val="fr-CH"/>
        </w:rPr>
        <w:t>Amélioration de la diffusion des connaissances concernant les procédures réglementaires applicables aux satellites de petite taille, y compris les nanosatellites et les picosatellites</w:t>
      </w:r>
      <w:r w:rsidR="006A7259" w:rsidRPr="008653E6">
        <w:rPr>
          <w:rFonts w:eastAsia="Arial Unicode MS"/>
          <w:lang w:val="fr-CH"/>
        </w:rPr>
        <w:t xml:space="preserve"> (</w:t>
      </w:r>
      <w:hyperlink r:id="rId18" w:history="1">
        <w:r w:rsidR="00AD45A6" w:rsidRPr="00FD777A">
          <w:rPr>
            <w:rStyle w:val="Hyperlink"/>
            <w:szCs w:val="24"/>
          </w:rPr>
          <w:t>http://www.itu.int/pub/R-RES-R.68</w:t>
        </w:r>
      </w:hyperlink>
      <w:r w:rsidR="006A7259" w:rsidRPr="008653E6">
        <w:rPr>
          <w:rFonts w:eastAsia="Arial Unicode MS"/>
          <w:lang w:val="fr-CH"/>
        </w:rPr>
        <w:t>)</w:t>
      </w:r>
    </w:p>
    <w:p w:rsidR="006A7259" w:rsidRPr="008653E6" w:rsidRDefault="00BE0203" w:rsidP="00AD45A6">
      <w:pPr>
        <w:pStyle w:val="enumlev1"/>
        <w:rPr>
          <w:rFonts w:eastAsia="Arial Unicode MS"/>
          <w:lang w:val="fr-CH"/>
        </w:rPr>
      </w:pPr>
      <w:r w:rsidRPr="00BE0203">
        <w:rPr>
          <w:rFonts w:eastAsia="Arial Unicode MS"/>
          <w:b/>
          <w:bCs/>
          <w:lang w:val="fr-CH"/>
        </w:rPr>
        <w:t>•</w:t>
      </w:r>
      <w:r w:rsidR="00AD45A6">
        <w:rPr>
          <w:rFonts w:eastAsia="Arial Unicode MS"/>
          <w:b/>
          <w:bCs/>
          <w:lang w:val="fr-CH"/>
        </w:rPr>
        <w:tab/>
      </w:r>
      <w:r w:rsidR="006A7259" w:rsidRPr="008653E6">
        <w:rPr>
          <w:rFonts w:eastAsia="Arial Unicode MS"/>
          <w:b/>
          <w:bCs/>
          <w:lang w:val="fr-CH"/>
        </w:rPr>
        <w:t xml:space="preserve">Résolution UIT-R 69 </w:t>
      </w:r>
      <w:r w:rsidR="006A7259" w:rsidRPr="008653E6">
        <w:rPr>
          <w:rFonts w:eastAsia="Arial Unicode MS"/>
          <w:lang w:val="fr-CH"/>
        </w:rPr>
        <w:t>–</w:t>
      </w:r>
      <w:r w:rsidR="006A7259" w:rsidRPr="008653E6">
        <w:rPr>
          <w:rFonts w:eastAsia="Arial Unicode MS"/>
          <w:b/>
          <w:bCs/>
          <w:lang w:val="fr-CH"/>
        </w:rPr>
        <w:t xml:space="preserve"> </w:t>
      </w:r>
      <w:r w:rsidR="006A7259" w:rsidRPr="008653E6">
        <w:rPr>
          <w:color w:val="000000"/>
          <w:lang w:val="fr-CH"/>
        </w:rPr>
        <w:t xml:space="preserve">Développement et déploiement des télécommunications publiques internationales par satellite dans les pays en développement </w:t>
      </w:r>
      <w:r w:rsidR="006A7259" w:rsidRPr="008653E6">
        <w:rPr>
          <w:rFonts w:eastAsia="Arial Unicode MS"/>
          <w:lang w:val="fr-CH"/>
        </w:rPr>
        <w:t>(</w:t>
      </w:r>
      <w:hyperlink r:id="rId19" w:history="1">
        <w:r w:rsidR="00AD45A6" w:rsidRPr="00FD777A">
          <w:rPr>
            <w:rStyle w:val="Hyperlink"/>
            <w:szCs w:val="24"/>
          </w:rPr>
          <w:t>http://www.itu.int/pub/R-RES-R.69</w:t>
        </w:r>
      </w:hyperlink>
      <w:r w:rsidR="006A7259" w:rsidRPr="008653E6">
        <w:rPr>
          <w:rFonts w:eastAsia="Arial Unicode MS"/>
          <w:lang w:val="fr-CH"/>
        </w:rPr>
        <w:t>).</w:t>
      </w:r>
    </w:p>
    <w:p w:rsidR="006A7259" w:rsidRDefault="006A7259" w:rsidP="00BB107A">
      <w:pPr>
        <w:rPr>
          <w:rFonts w:eastAsia="Arial Unicode MS"/>
          <w:lang w:val="fr-CH"/>
        </w:rPr>
      </w:pPr>
      <w:r w:rsidRPr="001C1296">
        <w:rPr>
          <w:lang w:val="fr-CH"/>
        </w:rPr>
        <w:t>Les décisions de l</w:t>
      </w:r>
      <w:r w:rsidR="00D3135C" w:rsidRPr="001C1296">
        <w:rPr>
          <w:lang w:val="fr-CH"/>
        </w:rPr>
        <w:t>'</w:t>
      </w:r>
      <w:r w:rsidRPr="001C1296">
        <w:rPr>
          <w:lang w:val="fr-CH"/>
        </w:rPr>
        <w:t xml:space="preserve">AR-15 présentant un intérêt particulier pour la CMR-15 </w:t>
      </w:r>
      <w:r w:rsidR="00BB107A" w:rsidRPr="001C1296">
        <w:rPr>
          <w:lang w:val="fr-CH"/>
        </w:rPr>
        <w:t>sont consignées</w:t>
      </w:r>
      <w:r w:rsidRPr="001C1296">
        <w:rPr>
          <w:lang w:val="fr-CH"/>
        </w:rPr>
        <w:t xml:space="preserve"> dans le Document </w:t>
      </w:r>
      <w:r w:rsidR="00BB107A" w:rsidRPr="001C1296">
        <w:rPr>
          <w:lang w:val="fr-CH"/>
        </w:rPr>
        <w:t>WRC</w:t>
      </w:r>
      <w:r w:rsidRPr="001C1296">
        <w:rPr>
          <w:lang w:val="fr-CH"/>
        </w:rPr>
        <w:t>-15/216 (</w:t>
      </w:r>
      <w:hyperlink r:id="rId20" w:history="1">
        <w:r w:rsidR="00AD45A6" w:rsidRPr="00FD777A">
          <w:rPr>
            <w:rStyle w:val="Hyperlink"/>
            <w:rFonts w:eastAsia="Arial Unicode MS"/>
            <w:szCs w:val="24"/>
          </w:rPr>
          <w:t>http://www.itu.int/md/R15-WRC15-C-0216/</w:t>
        </w:r>
      </w:hyperlink>
      <w:r w:rsidRPr="001C1296">
        <w:rPr>
          <w:lang w:val="fr-CH"/>
        </w:rPr>
        <w:t>)</w:t>
      </w:r>
      <w:r w:rsidRPr="008653E6">
        <w:rPr>
          <w:rFonts w:eastAsia="Arial Unicode MS"/>
          <w:lang w:val="fr-CH"/>
        </w:rPr>
        <w:t>.</w:t>
      </w:r>
    </w:p>
    <w:p w:rsidR="00BF0374" w:rsidRPr="008653E6" w:rsidRDefault="00BF0374" w:rsidP="001C1296">
      <w:pPr>
        <w:pStyle w:val="Heading2"/>
        <w:rPr>
          <w:rFonts w:eastAsia="Arial Unicode MS"/>
          <w:lang w:val="fr-CH"/>
        </w:rPr>
      </w:pPr>
      <w:r>
        <w:rPr>
          <w:rFonts w:eastAsia="Arial Unicode MS"/>
          <w:lang w:val="fr-CH"/>
        </w:rPr>
        <w:t>3.2</w:t>
      </w:r>
      <w:r>
        <w:rPr>
          <w:rFonts w:eastAsia="Arial Unicode MS"/>
          <w:lang w:val="fr-CH"/>
        </w:rPr>
        <w:tab/>
        <w:t>CMR-15</w:t>
      </w:r>
    </w:p>
    <w:p w:rsidR="006A7259" w:rsidRPr="008653E6" w:rsidRDefault="006A7259" w:rsidP="00BF0374">
      <w:pPr>
        <w:pStyle w:val="Heading3"/>
        <w:rPr>
          <w:lang w:val="fr-CH"/>
        </w:rPr>
      </w:pPr>
      <w:bookmarkStart w:id="6" w:name="lt_pId274"/>
      <w:bookmarkStart w:id="7" w:name="_Toc446060761"/>
      <w:r w:rsidRPr="008653E6">
        <w:rPr>
          <w:lang w:val="fr-CH"/>
        </w:rPr>
        <w:t>3.2.1</w:t>
      </w:r>
      <w:bookmarkEnd w:id="6"/>
      <w:r w:rsidRPr="008653E6">
        <w:rPr>
          <w:lang w:val="fr-CH"/>
        </w:rPr>
        <w:tab/>
      </w:r>
      <w:bookmarkStart w:id="8" w:name="lt_pId275"/>
      <w:r w:rsidRPr="008653E6">
        <w:rPr>
          <w:color w:val="000000"/>
        </w:rPr>
        <w:t xml:space="preserve">Derniers travaux préparatoires en vue de la </w:t>
      </w:r>
      <w:r w:rsidRPr="008653E6">
        <w:rPr>
          <w:lang w:val="fr-CH"/>
        </w:rPr>
        <w:t>CMR-15</w:t>
      </w:r>
      <w:bookmarkEnd w:id="7"/>
      <w:bookmarkEnd w:id="8"/>
    </w:p>
    <w:p w:rsidR="006A7259" w:rsidRPr="00BE0203" w:rsidRDefault="006A7259" w:rsidP="00BE0203">
      <w:bookmarkStart w:id="9" w:name="lt_pId276"/>
      <w:r w:rsidRPr="008653E6">
        <w:rPr>
          <w:lang w:val="fr-CH"/>
        </w:rPr>
        <w:t>Il convient de noter qu</w:t>
      </w:r>
      <w:r w:rsidR="00D3135C">
        <w:rPr>
          <w:lang w:val="fr-CH"/>
        </w:rPr>
        <w:t>'</w:t>
      </w:r>
      <w:r w:rsidRPr="008653E6">
        <w:rPr>
          <w:lang w:val="fr-CH"/>
        </w:rPr>
        <w:t>après la 22</w:t>
      </w:r>
      <w:r w:rsidR="00BF0374">
        <w:rPr>
          <w:lang w:val="fr-CH"/>
        </w:rPr>
        <w:t>èm</w:t>
      </w:r>
      <w:r w:rsidRPr="008653E6">
        <w:rPr>
          <w:lang w:val="fr-CH"/>
        </w:rPr>
        <w:t>e réunion du GCR tenue en 2015, les travaux préparatoires en vue</w:t>
      </w:r>
      <w:r w:rsidR="00BF0374">
        <w:rPr>
          <w:lang w:val="fr-CH"/>
        </w:rPr>
        <w:t xml:space="preserve"> de la CMR-</w:t>
      </w:r>
      <w:r w:rsidRPr="008653E6">
        <w:rPr>
          <w:lang w:val="fr-CH"/>
        </w:rPr>
        <w:t>15 se sont poursuivis, compte tenu</w:t>
      </w:r>
      <w:r w:rsidRPr="008653E6">
        <w:rPr>
          <w:color w:val="000000"/>
        </w:rPr>
        <w:t xml:space="preserve"> de la Résoluti</w:t>
      </w:r>
      <w:r w:rsidR="00BF0374">
        <w:rPr>
          <w:color w:val="000000"/>
        </w:rPr>
        <w:t xml:space="preserve">on 80 (Rév. Marrakech, 2002) de </w:t>
      </w:r>
      <w:r w:rsidRPr="008653E6">
        <w:rPr>
          <w:color w:val="000000"/>
        </w:rPr>
        <w:t xml:space="preserve">la Conférence de plénipotentiaires, en particulier dans le cadre de la participation active du BR aux réunions préparatoires finales des groupes régionaux (APT, </w:t>
      </w:r>
      <w:r w:rsidR="00BF0374">
        <w:rPr>
          <w:color w:val="000000"/>
        </w:rPr>
        <w:t>ASMG,</w:t>
      </w:r>
      <w:r w:rsidRPr="008653E6">
        <w:rPr>
          <w:color w:val="000000"/>
        </w:rPr>
        <w:t xml:space="preserve"> UAT, CEPT, CITEL et RCC). L</w:t>
      </w:r>
      <w:r w:rsidR="00D3135C">
        <w:rPr>
          <w:color w:val="000000"/>
        </w:rPr>
        <w:t>'</w:t>
      </w:r>
      <w:r w:rsidRPr="008653E6">
        <w:rPr>
          <w:color w:val="000000"/>
        </w:rPr>
        <w:t xml:space="preserve">UIT a contribué </w:t>
      </w:r>
      <w:r w:rsidR="00BF0374">
        <w:rPr>
          <w:color w:val="000000"/>
        </w:rPr>
        <w:t>chaque fois que</w:t>
      </w:r>
      <w:r w:rsidRPr="008653E6">
        <w:rPr>
          <w:color w:val="000000"/>
        </w:rPr>
        <w:t xml:space="preserve"> possible à ces </w:t>
      </w:r>
      <w:r w:rsidRPr="008653E6">
        <w:rPr>
          <w:lang w:val="fr-CH"/>
        </w:rPr>
        <w:t>travaux préparatoires</w:t>
      </w:r>
      <w:r w:rsidR="00BF0374">
        <w:rPr>
          <w:lang w:val="fr-CH"/>
        </w:rPr>
        <w:t xml:space="preserve"> </w:t>
      </w:r>
      <w:r w:rsidR="00BF0374">
        <w:rPr>
          <w:color w:val="000000"/>
        </w:rPr>
        <w:t>et a organisé, compte t</w:t>
      </w:r>
      <w:r w:rsidRPr="008653E6">
        <w:rPr>
          <w:color w:val="000000"/>
        </w:rPr>
        <w:t xml:space="preserve">enu </w:t>
      </w:r>
      <w:r w:rsidR="00BF0374">
        <w:rPr>
          <w:color w:val="000000"/>
        </w:rPr>
        <w:t xml:space="preserve">en particulier </w:t>
      </w:r>
      <w:r w:rsidRPr="008653E6">
        <w:rPr>
          <w:color w:val="000000"/>
        </w:rPr>
        <w:t xml:space="preserve">de </w:t>
      </w:r>
      <w:r w:rsidR="00BF0374">
        <w:rPr>
          <w:color w:val="000000"/>
        </w:rPr>
        <w:t xml:space="preserve">la Résolution 72 (Rév.CMR-07) </w:t>
      </w:r>
      <w:r w:rsidRPr="008653E6">
        <w:rPr>
          <w:color w:val="000000"/>
        </w:rPr>
        <w:t xml:space="preserve">un </w:t>
      </w:r>
      <w:hyperlink r:id="rId21" w:history="1">
        <w:r w:rsidRPr="00BF0374">
          <w:rPr>
            <w:rStyle w:val="Hyperlink"/>
          </w:rPr>
          <w:t>troisième Atelier interrégional de l</w:t>
        </w:r>
        <w:r w:rsidR="00D3135C">
          <w:rPr>
            <w:rStyle w:val="Hyperlink"/>
          </w:rPr>
          <w:t>'</w:t>
        </w:r>
        <w:r w:rsidRPr="00BF0374">
          <w:rPr>
            <w:rStyle w:val="Hyperlink"/>
          </w:rPr>
          <w:t>UIT sur les travaux préparatoires</w:t>
        </w:r>
      </w:hyperlink>
      <w:r w:rsidRPr="008653E6">
        <w:rPr>
          <w:color w:val="000000"/>
        </w:rPr>
        <w:t xml:space="preserve"> en vue de la CMR-15 </w:t>
      </w:r>
      <w:bookmarkStart w:id="10" w:name="lt_pId277"/>
      <w:bookmarkEnd w:id="9"/>
      <w:r w:rsidRPr="008653E6">
        <w:rPr>
          <w:lang w:val="fr-CH"/>
        </w:rPr>
        <w:t>(1er</w:t>
      </w:r>
      <w:r w:rsidR="00BE0203">
        <w:rPr>
          <w:lang w:val="fr-CH"/>
        </w:rPr>
        <w:t>-</w:t>
      </w:r>
      <w:r w:rsidR="00BF0374">
        <w:rPr>
          <w:lang w:val="fr-CH"/>
        </w:rPr>
        <w:t>3 s</w:t>
      </w:r>
      <w:r w:rsidRPr="008653E6">
        <w:rPr>
          <w:lang w:val="fr-CH"/>
        </w:rPr>
        <w:t>eptembre 2015</w:t>
      </w:r>
      <w:bookmarkEnd w:id="10"/>
      <w:r w:rsidRPr="008653E6">
        <w:rPr>
          <w:lang w:val="fr-CH"/>
        </w:rPr>
        <w:t>)</w:t>
      </w:r>
      <w:r w:rsidR="00BF0374">
        <w:rPr>
          <w:lang w:val="fr-CH"/>
        </w:rPr>
        <w:t>.</w:t>
      </w:r>
    </w:p>
    <w:p w:rsidR="006A7259" w:rsidRPr="008653E6" w:rsidRDefault="006A7259" w:rsidP="006A7259">
      <w:pPr>
        <w:pStyle w:val="Heading3"/>
        <w:rPr>
          <w:lang w:val="fr-CH"/>
        </w:rPr>
      </w:pPr>
      <w:bookmarkStart w:id="11" w:name="lt_pId278"/>
      <w:bookmarkStart w:id="12" w:name="_Toc446060762"/>
      <w:r w:rsidRPr="008653E6">
        <w:rPr>
          <w:lang w:val="fr-CH"/>
        </w:rPr>
        <w:t>3.2.2</w:t>
      </w:r>
      <w:bookmarkEnd w:id="11"/>
      <w:r w:rsidRPr="008653E6">
        <w:rPr>
          <w:lang w:val="fr-CH"/>
        </w:rPr>
        <w:tab/>
      </w:r>
      <w:bookmarkStart w:id="13" w:name="lt_pId279"/>
      <w:r w:rsidRPr="008653E6">
        <w:rPr>
          <w:lang w:val="fr-CH"/>
        </w:rPr>
        <w:t>Ré</w:t>
      </w:r>
      <w:r w:rsidR="00BF0374">
        <w:rPr>
          <w:lang w:val="fr-CH"/>
        </w:rPr>
        <w:t>sultats de la CMR</w:t>
      </w:r>
      <w:r w:rsidRPr="008653E6">
        <w:rPr>
          <w:lang w:val="fr-CH"/>
        </w:rPr>
        <w:t>-15</w:t>
      </w:r>
      <w:bookmarkEnd w:id="12"/>
      <w:bookmarkEnd w:id="13"/>
    </w:p>
    <w:p w:rsidR="006A7259" w:rsidRPr="008653E6" w:rsidRDefault="00BF0374" w:rsidP="006A7259">
      <w:pPr>
        <w:rPr>
          <w:lang w:val="fr-CH"/>
        </w:rPr>
      </w:pPr>
      <w:bookmarkStart w:id="14" w:name="lt_pId280"/>
      <w:r>
        <w:rPr>
          <w:lang w:val="fr-CH"/>
        </w:rPr>
        <w:t>En application de la Résolution</w:t>
      </w:r>
      <w:r w:rsidR="006A7259" w:rsidRPr="008653E6">
        <w:rPr>
          <w:lang w:val="fr-CH"/>
        </w:rPr>
        <w:t xml:space="preserve"> 807 </w:t>
      </w:r>
      <w:r>
        <w:rPr>
          <w:lang w:val="fr-CH"/>
        </w:rPr>
        <w:t>de la CMR</w:t>
      </w:r>
      <w:r w:rsidR="006A7259" w:rsidRPr="008653E6">
        <w:rPr>
          <w:lang w:val="fr-CH"/>
        </w:rPr>
        <w:t xml:space="preserve">-12 (Genève, 2012), et conformément à la Résolution 1343 du Conseil, la Conférence mondiale des </w:t>
      </w:r>
      <w:r>
        <w:rPr>
          <w:lang w:val="fr-CH"/>
        </w:rPr>
        <w:t>radiocommunications de 2015</w:t>
      </w:r>
      <w:r w:rsidR="00BE0203">
        <w:rPr>
          <w:lang w:val="fr-CH"/>
        </w:rPr>
        <w:t xml:space="preserve"> </w:t>
      </w:r>
      <w:r>
        <w:rPr>
          <w:lang w:val="fr-CH"/>
        </w:rPr>
        <w:t>(CMR-15)</w:t>
      </w:r>
      <w:r w:rsidR="006A7259" w:rsidRPr="008653E6">
        <w:rPr>
          <w:lang w:val="fr-CH"/>
        </w:rPr>
        <w:t xml:space="preserve"> s</w:t>
      </w:r>
      <w:r w:rsidR="00D3135C">
        <w:rPr>
          <w:lang w:val="fr-CH"/>
        </w:rPr>
        <w:t>'</w:t>
      </w:r>
      <w:r w:rsidR="006A7259" w:rsidRPr="008653E6">
        <w:rPr>
          <w:lang w:val="fr-CH"/>
        </w:rPr>
        <w:t>est tenue à Genève du 2 au 27 novembre 2015.</w:t>
      </w:r>
      <w:bookmarkEnd w:id="14"/>
    </w:p>
    <w:p w:rsidR="006A7259" w:rsidRPr="008653E6" w:rsidRDefault="00BF0374" w:rsidP="001C1296">
      <w:pPr>
        <w:rPr>
          <w:rFonts w:eastAsia="Arial Unicode MS"/>
          <w:lang w:val="fr-CH"/>
        </w:rPr>
      </w:pPr>
      <w:bookmarkStart w:id="15" w:name="lt_pId281"/>
      <w:r>
        <w:rPr>
          <w:lang w:val="fr-CH"/>
        </w:rPr>
        <w:t>Un total de 3 275 participants représentant 162 E</w:t>
      </w:r>
      <w:r w:rsidR="006A7259" w:rsidRPr="008653E6">
        <w:rPr>
          <w:lang w:val="fr-CH"/>
        </w:rPr>
        <w:t>tats Membres et 130 organisations ayant le statut d</w:t>
      </w:r>
      <w:r w:rsidR="00D3135C">
        <w:rPr>
          <w:lang w:val="fr-CH"/>
        </w:rPr>
        <w:t>'</w:t>
      </w:r>
      <w:r w:rsidR="006A7259" w:rsidRPr="008653E6">
        <w:rPr>
          <w:lang w:val="fr-CH"/>
        </w:rPr>
        <w:t>observateur ont</w:t>
      </w:r>
      <w:r>
        <w:rPr>
          <w:lang w:val="fr-CH"/>
        </w:rPr>
        <w:t xml:space="preserve"> participé à la CMR</w:t>
      </w:r>
      <w:r w:rsidR="006A7259" w:rsidRPr="008653E6">
        <w:rPr>
          <w:lang w:val="fr-CH"/>
        </w:rPr>
        <w:t>-15.</w:t>
      </w:r>
      <w:bookmarkEnd w:id="15"/>
      <w:r w:rsidR="006A7259" w:rsidRPr="008653E6">
        <w:rPr>
          <w:lang w:val="fr-CH"/>
        </w:rPr>
        <w:t xml:space="preserve"> </w:t>
      </w:r>
    </w:p>
    <w:p w:rsidR="006A7259" w:rsidRPr="008653E6" w:rsidRDefault="006A7259" w:rsidP="001C1296">
      <w:pPr>
        <w:rPr>
          <w:lang w:val="fr-CH"/>
        </w:rPr>
      </w:pPr>
      <w:bookmarkStart w:id="16" w:name="lt_pId282"/>
      <w:r w:rsidRPr="008653E6">
        <w:rPr>
          <w:lang w:val="fr-CH"/>
        </w:rPr>
        <w:t>Au cours de</w:t>
      </w:r>
      <w:r w:rsidR="00BF0374">
        <w:rPr>
          <w:lang w:val="fr-CH"/>
        </w:rPr>
        <w:t xml:space="preserve"> la première séance plénière,</w:t>
      </w:r>
      <w:r w:rsidRPr="008653E6">
        <w:rPr>
          <w:lang w:val="fr-CH"/>
        </w:rPr>
        <w:t xml:space="preserve"> M. Festus Yusufu Narai Daudu (Nig</w:t>
      </w:r>
      <w:r w:rsidR="001C1296">
        <w:rPr>
          <w:lang w:val="fr-CH"/>
        </w:rPr>
        <w:t>é</w:t>
      </w:r>
      <w:r w:rsidRPr="008653E6">
        <w:rPr>
          <w:lang w:val="fr-CH"/>
        </w:rPr>
        <w:t>r</w:t>
      </w:r>
      <w:r w:rsidR="00BF0374">
        <w:rPr>
          <w:lang w:val="fr-CH"/>
        </w:rPr>
        <w:t>ia) a été élu Président de la CMR</w:t>
      </w:r>
      <w:r w:rsidRPr="008653E6">
        <w:rPr>
          <w:lang w:val="fr-CH"/>
        </w:rPr>
        <w:t>-15</w:t>
      </w:r>
      <w:bookmarkStart w:id="17" w:name="lt_pId283"/>
      <w:bookmarkEnd w:id="16"/>
      <w:r w:rsidR="00BF0374">
        <w:rPr>
          <w:lang w:val="fr-CH"/>
        </w:rPr>
        <w:t xml:space="preserve">. Les </w:t>
      </w:r>
      <w:r w:rsidRPr="008653E6">
        <w:rPr>
          <w:lang w:val="fr-CH"/>
        </w:rPr>
        <w:t>six P</w:t>
      </w:r>
      <w:r w:rsidR="00BF0374">
        <w:rPr>
          <w:lang w:val="fr-CH"/>
        </w:rPr>
        <w:t>résident suivants ont été élus</w:t>
      </w:r>
      <w:r w:rsidRPr="008653E6">
        <w:rPr>
          <w:lang w:val="fr-CH"/>
        </w:rPr>
        <w:t>:</w:t>
      </w:r>
      <w:bookmarkEnd w:id="17"/>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75"/>
        <w:gridCol w:w="4675"/>
      </w:tblGrid>
      <w:tr w:rsidR="009967F4" w:rsidRPr="008653E6" w:rsidTr="00A47565">
        <w:tc>
          <w:tcPr>
            <w:tcW w:w="4675" w:type="dxa"/>
          </w:tcPr>
          <w:p w:rsidR="009967F4" w:rsidRPr="008653E6" w:rsidRDefault="009967F4" w:rsidP="009967F4">
            <w:pPr>
              <w:rPr>
                <w:szCs w:val="24"/>
                <w:lang w:val="fr-CH"/>
              </w:rPr>
            </w:pPr>
            <w:bookmarkStart w:id="18" w:name="lt_pId284"/>
            <w:r w:rsidRPr="008653E6">
              <w:rPr>
                <w:szCs w:val="24"/>
                <w:lang w:val="fr-CH"/>
              </w:rPr>
              <w:t>M. A. Jamieson (</w:t>
            </w:r>
            <w:r w:rsidRPr="008653E6">
              <w:rPr>
                <w:lang w:val="fr-CH"/>
              </w:rPr>
              <w:t>Nouvelle</w:t>
            </w:r>
            <w:r w:rsidRPr="008653E6">
              <w:rPr>
                <w:lang w:val="fr-CH"/>
              </w:rPr>
              <w:noBreakHyphen/>
              <w:t>Zélande</w:t>
            </w:r>
            <w:r w:rsidRPr="008653E6">
              <w:rPr>
                <w:szCs w:val="24"/>
                <w:lang w:val="fr-CH"/>
              </w:rPr>
              <w:t>)</w:t>
            </w:r>
            <w:r w:rsidRPr="008653E6">
              <w:rPr>
                <w:szCs w:val="24"/>
                <w:lang w:val="fr-CH"/>
              </w:rPr>
              <w:br/>
              <w:t>M. Y. Al-Bulushi (Oman)</w:t>
            </w:r>
            <w:r w:rsidRPr="008653E6">
              <w:rPr>
                <w:szCs w:val="24"/>
                <w:lang w:val="fr-CH"/>
              </w:rPr>
              <w:br/>
              <w:t>M. D. Obam (Kenya)</w:t>
            </w:r>
            <w:bookmarkEnd w:id="18"/>
          </w:p>
        </w:tc>
        <w:tc>
          <w:tcPr>
            <w:tcW w:w="4675" w:type="dxa"/>
          </w:tcPr>
          <w:p w:rsidR="009967F4" w:rsidRPr="009967F4" w:rsidRDefault="009967F4" w:rsidP="00A47565">
            <w:pPr>
              <w:rPr>
                <w:szCs w:val="24"/>
                <w:lang w:val="fr-CH"/>
              </w:rPr>
            </w:pPr>
            <w:r w:rsidRPr="008653E6">
              <w:rPr>
                <w:szCs w:val="24"/>
                <w:lang w:val="fr-CH"/>
              </w:rPr>
              <w:t>Mme D. Tomimura (Brésil)</w:t>
            </w:r>
            <w:r w:rsidRPr="008653E6">
              <w:rPr>
                <w:szCs w:val="24"/>
                <w:lang w:val="fr-CH"/>
              </w:rPr>
              <w:br/>
              <w:t>M. A. Kühn</w:t>
            </w:r>
            <w:r w:rsidRPr="008653E6" w:rsidDel="00F040DE">
              <w:rPr>
                <w:szCs w:val="24"/>
                <w:lang w:val="fr-CH"/>
              </w:rPr>
              <w:t xml:space="preserve"> </w:t>
            </w:r>
            <w:r w:rsidRPr="008653E6">
              <w:rPr>
                <w:szCs w:val="24"/>
                <w:lang w:val="fr-CH"/>
              </w:rPr>
              <w:t>(Allemagne)</w:t>
            </w:r>
            <w:r w:rsidRPr="008653E6">
              <w:rPr>
                <w:szCs w:val="24"/>
                <w:lang w:val="fr-CH"/>
              </w:rPr>
              <w:br/>
              <w:t xml:space="preserve">M. N. Nikiforov </w:t>
            </w:r>
            <w:r w:rsidRPr="008653E6">
              <w:rPr>
                <w:lang w:val="fr-CH"/>
              </w:rPr>
              <w:t>(Fédération de Russie)</w:t>
            </w:r>
          </w:p>
        </w:tc>
      </w:tr>
    </w:tbl>
    <w:p w:rsidR="00EC0F12" w:rsidRDefault="009967F4" w:rsidP="001C1296">
      <w:pPr>
        <w:rPr>
          <w:szCs w:val="24"/>
          <w:lang w:val="fr-CH"/>
        </w:rPr>
      </w:pPr>
      <w:r w:rsidRPr="008653E6">
        <w:t>Les commissions suivantes ont été créées</w:t>
      </w:r>
      <w:r w:rsidRPr="008653E6">
        <w:rPr>
          <w:szCs w:val="24"/>
          <w:lang w:val="fr-CH"/>
        </w:rPr>
        <w:t xml:space="preserve"> (</w:t>
      </w:r>
      <w:r w:rsidRPr="008653E6">
        <w:t xml:space="preserve">voir également la structure de la </w:t>
      </w:r>
      <w:r>
        <w:rPr>
          <w:szCs w:val="24"/>
          <w:lang w:val="fr-CH"/>
        </w:rPr>
        <w:t>CMR</w:t>
      </w:r>
      <w:r w:rsidRPr="008653E6">
        <w:rPr>
          <w:szCs w:val="24"/>
          <w:lang w:val="fr-CH"/>
        </w:rPr>
        <w:t xml:space="preserve">-15 </w:t>
      </w:r>
      <w:r w:rsidRPr="008653E6">
        <w:t>dans le Document</w:t>
      </w:r>
      <w:r>
        <w:rPr>
          <w:szCs w:val="24"/>
          <w:lang w:val="fr-CH"/>
        </w:rPr>
        <w:t xml:space="preserve"> 20 de la CMR-15</w:t>
      </w:r>
      <w:r w:rsidRPr="008653E6">
        <w:rPr>
          <w:szCs w:val="24"/>
          <w:lang w:val="fr-CH"/>
        </w:rPr>
        <w:t>):</w:t>
      </w:r>
    </w:p>
    <w:p w:rsidR="001C1296" w:rsidRDefault="001C1296" w:rsidP="001C1296">
      <w:pPr>
        <w:rPr>
          <w:szCs w:val="24"/>
          <w:lang w:val="fr-CH"/>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075900" w:rsidRPr="00075900" w:rsidTr="00A47565">
        <w:tc>
          <w:tcPr>
            <w:tcW w:w="2126" w:type="dxa"/>
            <w:tcBorders>
              <w:top w:val="single" w:sz="4" w:space="0" w:color="auto"/>
              <w:left w:val="single" w:sz="4" w:space="0" w:color="auto"/>
              <w:bottom w:val="single" w:sz="4" w:space="0" w:color="auto"/>
              <w:right w:val="single" w:sz="4" w:space="0" w:color="auto"/>
            </w:tcBorders>
          </w:tcPr>
          <w:p w:rsidR="00075900" w:rsidRPr="00075900" w:rsidRDefault="00075900" w:rsidP="00075900">
            <w:pPr>
              <w:rPr>
                <w:sz w:val="22"/>
                <w:szCs w:val="22"/>
              </w:rPr>
            </w:pPr>
            <w:r w:rsidRPr="00075900">
              <w:rPr>
                <w:sz w:val="22"/>
                <w:szCs w:val="22"/>
              </w:rPr>
              <w:t>Commission 1</w:t>
            </w:r>
            <w:r w:rsidRPr="00075900">
              <w:rPr>
                <w:sz w:val="22"/>
                <w:szCs w:val="22"/>
              </w:rPr>
              <w:br/>
              <w:t>(Direction)</w:t>
            </w:r>
          </w:p>
        </w:tc>
        <w:tc>
          <w:tcPr>
            <w:tcW w:w="7371" w:type="dxa"/>
            <w:tcBorders>
              <w:top w:val="single" w:sz="4" w:space="0" w:color="auto"/>
              <w:left w:val="single" w:sz="4" w:space="0" w:color="auto"/>
              <w:bottom w:val="single" w:sz="4" w:space="0" w:color="auto"/>
              <w:right w:val="single" w:sz="4" w:space="0" w:color="auto"/>
            </w:tcBorders>
          </w:tcPr>
          <w:p w:rsidR="00075900" w:rsidRPr="00075900" w:rsidRDefault="00075900" w:rsidP="00002B46">
            <w:pPr>
              <w:rPr>
                <w:sz w:val="22"/>
                <w:szCs w:val="22"/>
                <w:lang w:val="fr-CH"/>
              </w:rPr>
            </w:pPr>
            <w:r w:rsidRPr="00075900">
              <w:rPr>
                <w:sz w:val="22"/>
                <w:szCs w:val="22"/>
                <w:lang w:val="fr-CH"/>
              </w:rPr>
              <w:t>(</w:t>
            </w:r>
            <w:r w:rsidR="00002B46">
              <w:rPr>
                <w:sz w:val="22"/>
                <w:szCs w:val="22"/>
                <w:lang w:val="fr-CH"/>
              </w:rPr>
              <w:t>c</w:t>
            </w:r>
            <w:r w:rsidRPr="00075900">
              <w:rPr>
                <w:sz w:val="22"/>
                <w:szCs w:val="22"/>
                <w:lang w:val="fr-CH"/>
              </w:rPr>
              <w:t>omposée du Président et des Vice</w:t>
            </w:r>
            <w:r w:rsidRPr="00075900">
              <w:rPr>
                <w:sz w:val="22"/>
                <w:szCs w:val="22"/>
                <w:lang w:val="fr-CH"/>
              </w:rPr>
              <w:noBreakHyphen/>
              <w:t>Présidents de la Conférence et des Présidents et Vice</w:t>
            </w:r>
            <w:r w:rsidRPr="00075900">
              <w:rPr>
                <w:sz w:val="22"/>
                <w:szCs w:val="22"/>
                <w:lang w:val="fr-CH"/>
              </w:rPr>
              <w:noBreakHyphen/>
              <w:t>Présidents des Commissions)</w:t>
            </w:r>
          </w:p>
        </w:tc>
      </w:tr>
      <w:tr w:rsidR="00075900" w:rsidRPr="00075900" w:rsidTr="00A47565">
        <w:tc>
          <w:tcPr>
            <w:tcW w:w="2126" w:type="dxa"/>
            <w:tcBorders>
              <w:top w:val="single" w:sz="4" w:space="0" w:color="auto"/>
              <w:left w:val="single" w:sz="4" w:space="0" w:color="auto"/>
              <w:bottom w:val="single" w:sz="4" w:space="0" w:color="auto"/>
              <w:right w:val="single" w:sz="4" w:space="0" w:color="auto"/>
            </w:tcBorders>
            <w:hideMark/>
          </w:tcPr>
          <w:p w:rsidR="00075900" w:rsidRPr="00075900" w:rsidRDefault="00002B46" w:rsidP="00075900">
            <w:pPr>
              <w:rPr>
                <w:sz w:val="22"/>
                <w:szCs w:val="22"/>
              </w:rPr>
            </w:pPr>
            <w:r>
              <w:rPr>
                <w:sz w:val="22"/>
                <w:szCs w:val="22"/>
              </w:rPr>
              <w:t>Commission 2</w:t>
            </w:r>
            <w:r w:rsidR="00075900" w:rsidRPr="00075900">
              <w:rPr>
                <w:sz w:val="22"/>
                <w:szCs w:val="22"/>
              </w:rPr>
              <w:br/>
              <w:t>(Pouvoirs)</w:t>
            </w:r>
          </w:p>
        </w:tc>
        <w:tc>
          <w:tcPr>
            <w:tcW w:w="7371" w:type="dxa"/>
            <w:tcBorders>
              <w:top w:val="single" w:sz="4" w:space="0" w:color="auto"/>
              <w:left w:val="single" w:sz="4" w:space="0" w:color="auto"/>
              <w:bottom w:val="single" w:sz="4" w:space="0" w:color="auto"/>
              <w:right w:val="single" w:sz="4" w:space="0" w:color="auto"/>
            </w:tcBorders>
            <w:hideMark/>
          </w:tcPr>
          <w:p w:rsidR="00BE0203" w:rsidRDefault="00075900" w:rsidP="00BE0203">
            <w:pPr>
              <w:tabs>
                <w:tab w:val="left" w:pos="1735"/>
              </w:tabs>
              <w:spacing w:before="40"/>
              <w:rPr>
                <w:sz w:val="22"/>
                <w:szCs w:val="22"/>
              </w:rPr>
            </w:pPr>
            <w:r w:rsidRPr="00075900">
              <w:rPr>
                <w:b/>
                <w:bCs/>
                <w:sz w:val="22"/>
                <w:szCs w:val="22"/>
              </w:rPr>
              <w:t>Président</w:t>
            </w:r>
            <w:r w:rsidRPr="00075900">
              <w:rPr>
                <w:sz w:val="22"/>
                <w:szCs w:val="22"/>
              </w:rPr>
              <w:t>:</w:t>
            </w:r>
            <w:r w:rsidRPr="00075900">
              <w:rPr>
                <w:sz w:val="22"/>
                <w:szCs w:val="22"/>
              </w:rPr>
              <w:tab/>
            </w:r>
            <w:r w:rsidRPr="00075900">
              <w:rPr>
                <w:sz w:val="22"/>
                <w:szCs w:val="22"/>
              </w:rPr>
              <w:tab/>
              <w:t>M. N. Meaney (Australie)</w:t>
            </w:r>
          </w:p>
          <w:p w:rsidR="00075900" w:rsidRPr="00075900" w:rsidRDefault="00075900" w:rsidP="00BE0203">
            <w:pPr>
              <w:tabs>
                <w:tab w:val="left" w:pos="1735"/>
              </w:tabs>
              <w:spacing w:before="40"/>
              <w:ind w:left="1588" w:hanging="1588"/>
              <w:rPr>
                <w:sz w:val="22"/>
                <w:szCs w:val="22"/>
              </w:rPr>
            </w:pPr>
            <w:r w:rsidRPr="00075900">
              <w:rPr>
                <w:b/>
                <w:bCs/>
                <w:sz w:val="22"/>
                <w:szCs w:val="22"/>
              </w:rPr>
              <w:t>Vice-Présidents</w:t>
            </w:r>
            <w:r w:rsidRPr="00075900">
              <w:rPr>
                <w:sz w:val="22"/>
                <w:szCs w:val="22"/>
              </w:rPr>
              <w:t>:</w:t>
            </w:r>
            <w:r w:rsidRPr="00075900">
              <w:rPr>
                <w:sz w:val="22"/>
                <w:szCs w:val="22"/>
              </w:rPr>
              <w:tab/>
              <w:t>M. M. Omer (Soudan)</w:t>
            </w:r>
            <w:r>
              <w:rPr>
                <w:sz w:val="22"/>
                <w:szCs w:val="22"/>
              </w:rPr>
              <w:t xml:space="preserve">; </w:t>
            </w:r>
            <w:r w:rsidRPr="00075900">
              <w:rPr>
                <w:sz w:val="22"/>
                <w:szCs w:val="22"/>
              </w:rPr>
              <w:t>M. H. Kanor (</w:t>
            </w:r>
            <w:r w:rsidRPr="00075900">
              <w:rPr>
                <w:rFonts w:eastAsiaTheme="minorEastAsia"/>
                <w:sz w:val="22"/>
                <w:szCs w:val="22"/>
              </w:rPr>
              <w:t>Ghana</w:t>
            </w:r>
            <w:r w:rsidRPr="00075900">
              <w:rPr>
                <w:sz w:val="22"/>
                <w:szCs w:val="22"/>
              </w:rPr>
              <w:t>)</w:t>
            </w:r>
            <w:r>
              <w:rPr>
                <w:sz w:val="22"/>
                <w:szCs w:val="22"/>
              </w:rPr>
              <w:t xml:space="preserve">; </w:t>
            </w:r>
            <w:r w:rsidRPr="00075900">
              <w:rPr>
                <w:sz w:val="22"/>
                <w:szCs w:val="22"/>
              </w:rPr>
              <w:t>M. H. Bude (Uruguay)</w:t>
            </w:r>
            <w:r>
              <w:rPr>
                <w:sz w:val="22"/>
                <w:szCs w:val="22"/>
              </w:rPr>
              <w:t>;</w:t>
            </w:r>
            <w:r w:rsidRPr="00075900">
              <w:rPr>
                <w:sz w:val="22"/>
                <w:szCs w:val="22"/>
              </w:rPr>
              <w:t xml:space="preserve"> M. G. Osinga (Pays-Bas)</w:t>
            </w:r>
            <w:r>
              <w:rPr>
                <w:sz w:val="22"/>
                <w:szCs w:val="22"/>
              </w:rPr>
              <w:t xml:space="preserve">; </w:t>
            </w:r>
            <w:r w:rsidRPr="00075900">
              <w:rPr>
                <w:sz w:val="22"/>
                <w:szCs w:val="22"/>
              </w:rPr>
              <w:t>M. G. Abdullaev (Azerbaïdjan)</w:t>
            </w:r>
          </w:p>
        </w:tc>
      </w:tr>
      <w:tr w:rsidR="00075900" w:rsidRPr="00075900" w:rsidTr="00A47565">
        <w:tc>
          <w:tcPr>
            <w:tcW w:w="2126" w:type="dxa"/>
            <w:tcBorders>
              <w:top w:val="single" w:sz="4" w:space="0" w:color="auto"/>
              <w:left w:val="single" w:sz="4" w:space="0" w:color="auto"/>
              <w:bottom w:val="single" w:sz="4" w:space="0" w:color="auto"/>
              <w:right w:val="single" w:sz="4" w:space="0" w:color="auto"/>
            </w:tcBorders>
            <w:hideMark/>
          </w:tcPr>
          <w:p w:rsidR="00075900" w:rsidRPr="00075900" w:rsidRDefault="00002B46" w:rsidP="00002B46">
            <w:pPr>
              <w:rPr>
                <w:sz w:val="22"/>
                <w:szCs w:val="22"/>
              </w:rPr>
            </w:pPr>
            <w:r>
              <w:rPr>
                <w:sz w:val="22"/>
                <w:szCs w:val="22"/>
              </w:rPr>
              <w:t>Commission 3</w:t>
            </w:r>
            <w:r w:rsidR="00075900" w:rsidRPr="00075900">
              <w:rPr>
                <w:sz w:val="22"/>
                <w:szCs w:val="22"/>
              </w:rPr>
              <w:br/>
              <w:t>(</w:t>
            </w:r>
            <w:r>
              <w:rPr>
                <w:sz w:val="22"/>
                <w:szCs w:val="22"/>
              </w:rPr>
              <w:t>Contrôle budgétaire</w:t>
            </w:r>
            <w:r w:rsidR="00075900" w:rsidRPr="00075900">
              <w:rPr>
                <w:sz w:val="22"/>
                <w:szCs w:val="22"/>
              </w:rPr>
              <w:t>)</w:t>
            </w:r>
          </w:p>
        </w:tc>
        <w:tc>
          <w:tcPr>
            <w:tcW w:w="7371" w:type="dxa"/>
            <w:tcBorders>
              <w:top w:val="single" w:sz="4" w:space="0" w:color="auto"/>
              <w:left w:val="single" w:sz="4" w:space="0" w:color="auto"/>
              <w:bottom w:val="single" w:sz="4" w:space="0" w:color="auto"/>
              <w:right w:val="single" w:sz="4" w:space="0" w:color="auto"/>
            </w:tcBorders>
            <w:hideMark/>
          </w:tcPr>
          <w:p w:rsidR="00BE0203" w:rsidRDefault="00075900" w:rsidP="00BE0203">
            <w:pPr>
              <w:tabs>
                <w:tab w:val="left" w:pos="1734"/>
              </w:tabs>
              <w:rPr>
                <w:sz w:val="22"/>
                <w:szCs w:val="22"/>
              </w:rPr>
            </w:pPr>
            <w:r w:rsidRPr="00075900">
              <w:rPr>
                <w:b/>
                <w:bCs/>
                <w:sz w:val="22"/>
                <w:szCs w:val="22"/>
              </w:rPr>
              <w:t>Président</w:t>
            </w:r>
            <w:r w:rsidRPr="00075900">
              <w:rPr>
                <w:sz w:val="22"/>
                <w:szCs w:val="22"/>
              </w:rPr>
              <w:t>:</w:t>
            </w:r>
            <w:r w:rsidRPr="00075900">
              <w:rPr>
                <w:sz w:val="22"/>
                <w:szCs w:val="22"/>
              </w:rPr>
              <w:tab/>
            </w:r>
            <w:r w:rsidRPr="00075900">
              <w:rPr>
                <w:sz w:val="22"/>
                <w:szCs w:val="22"/>
              </w:rPr>
              <w:tab/>
              <w:t>M. A. Kadirov (</w:t>
            </w:r>
            <w:r w:rsidRPr="00075900">
              <w:rPr>
                <w:rFonts w:eastAsiaTheme="minorEastAsia"/>
                <w:sz w:val="22"/>
                <w:szCs w:val="22"/>
                <w:lang w:val="fr-CH"/>
              </w:rPr>
              <w:t>Ouzbékistan</w:t>
            </w:r>
            <w:r w:rsidRPr="00075900">
              <w:rPr>
                <w:sz w:val="22"/>
                <w:szCs w:val="22"/>
              </w:rPr>
              <w:t>)</w:t>
            </w:r>
          </w:p>
          <w:p w:rsidR="00075900" w:rsidRPr="00075900" w:rsidRDefault="00075900" w:rsidP="00BE0203">
            <w:pPr>
              <w:tabs>
                <w:tab w:val="left" w:pos="1734"/>
              </w:tabs>
              <w:ind w:left="1588" w:hanging="1588"/>
              <w:rPr>
                <w:sz w:val="22"/>
                <w:szCs w:val="22"/>
              </w:rPr>
            </w:pPr>
            <w:r w:rsidRPr="00075900">
              <w:rPr>
                <w:b/>
                <w:bCs/>
                <w:sz w:val="22"/>
                <w:szCs w:val="22"/>
              </w:rPr>
              <w:t>Vice-Présidents</w:t>
            </w:r>
            <w:r w:rsidRPr="00075900">
              <w:rPr>
                <w:sz w:val="22"/>
                <w:szCs w:val="22"/>
              </w:rPr>
              <w:t>:</w:t>
            </w:r>
            <w:r w:rsidRPr="00075900">
              <w:rPr>
                <w:sz w:val="22"/>
                <w:szCs w:val="22"/>
              </w:rPr>
              <w:tab/>
              <w:t>Mme H. Seong (Corée (Rép. de))</w:t>
            </w:r>
            <w:r>
              <w:rPr>
                <w:sz w:val="22"/>
                <w:szCs w:val="22"/>
              </w:rPr>
              <w:t xml:space="preserve">; </w:t>
            </w:r>
            <w:r w:rsidRPr="00075900">
              <w:rPr>
                <w:sz w:val="22"/>
                <w:szCs w:val="22"/>
              </w:rPr>
              <w:t>M. A. Nwaulune (Nigéria)</w:t>
            </w:r>
            <w:r>
              <w:rPr>
                <w:sz w:val="22"/>
                <w:szCs w:val="22"/>
              </w:rPr>
              <w:t xml:space="preserve">; </w:t>
            </w:r>
            <w:r w:rsidRPr="00075900">
              <w:rPr>
                <w:sz w:val="22"/>
                <w:szCs w:val="22"/>
              </w:rPr>
              <w:t xml:space="preserve">M. M. </w:t>
            </w:r>
            <w:r w:rsidRPr="00075900">
              <w:rPr>
                <w:rFonts w:eastAsiaTheme="minorEastAsia"/>
                <w:sz w:val="22"/>
                <w:szCs w:val="22"/>
              </w:rPr>
              <w:t>Soliman (Egypte)</w:t>
            </w:r>
            <w:r>
              <w:rPr>
                <w:rFonts w:eastAsiaTheme="minorEastAsia"/>
                <w:sz w:val="22"/>
                <w:szCs w:val="22"/>
              </w:rPr>
              <w:t xml:space="preserve">; </w:t>
            </w:r>
            <w:r w:rsidRPr="00075900">
              <w:rPr>
                <w:sz w:val="22"/>
                <w:szCs w:val="22"/>
              </w:rPr>
              <w:t>M. G. Malcolm (Jamaïque)</w:t>
            </w:r>
            <w:r>
              <w:rPr>
                <w:sz w:val="22"/>
                <w:szCs w:val="22"/>
              </w:rPr>
              <w:t xml:space="preserve">; </w:t>
            </w:r>
            <w:r w:rsidRPr="00075900">
              <w:rPr>
                <w:sz w:val="22"/>
                <w:szCs w:val="22"/>
              </w:rPr>
              <w:t>M.</w:t>
            </w:r>
            <w:r w:rsidR="00BE0203">
              <w:rPr>
                <w:sz w:val="22"/>
                <w:szCs w:val="22"/>
              </w:rPr>
              <w:t> </w:t>
            </w:r>
            <w:r w:rsidRPr="00075900">
              <w:rPr>
                <w:sz w:val="22"/>
                <w:szCs w:val="22"/>
              </w:rPr>
              <w:t>A.</w:t>
            </w:r>
            <w:r w:rsidR="00BE0203">
              <w:rPr>
                <w:sz w:val="22"/>
                <w:szCs w:val="22"/>
              </w:rPr>
              <w:t> </w:t>
            </w:r>
            <w:r w:rsidRPr="00075900">
              <w:rPr>
                <w:sz w:val="22"/>
                <w:szCs w:val="22"/>
              </w:rPr>
              <w:t>Jonsson (Suède)</w:t>
            </w:r>
          </w:p>
        </w:tc>
      </w:tr>
      <w:tr w:rsidR="00075900" w:rsidRPr="00075900" w:rsidTr="00A47565">
        <w:tc>
          <w:tcPr>
            <w:tcW w:w="2126" w:type="dxa"/>
            <w:tcBorders>
              <w:top w:val="single" w:sz="4" w:space="0" w:color="auto"/>
              <w:left w:val="single" w:sz="4" w:space="0" w:color="auto"/>
              <w:bottom w:val="single" w:sz="4" w:space="0" w:color="auto"/>
              <w:right w:val="single" w:sz="4" w:space="0" w:color="auto"/>
            </w:tcBorders>
            <w:hideMark/>
          </w:tcPr>
          <w:p w:rsidR="00075900" w:rsidRPr="00075900" w:rsidRDefault="00002B46" w:rsidP="00075900">
            <w:pPr>
              <w:rPr>
                <w:sz w:val="22"/>
                <w:szCs w:val="22"/>
              </w:rPr>
            </w:pPr>
            <w:r>
              <w:rPr>
                <w:sz w:val="22"/>
                <w:szCs w:val="22"/>
              </w:rPr>
              <w:t>Commission 4</w:t>
            </w:r>
            <w:r w:rsidR="00075900" w:rsidRPr="00075900">
              <w:rPr>
                <w:sz w:val="22"/>
                <w:szCs w:val="22"/>
              </w:rPr>
              <w:br/>
              <w:t>(Points spécifiques de l</w:t>
            </w:r>
            <w:r w:rsidR="00D3135C">
              <w:rPr>
                <w:sz w:val="22"/>
                <w:szCs w:val="22"/>
              </w:rPr>
              <w:t>'</w:t>
            </w:r>
            <w:r w:rsidR="00075900" w:rsidRPr="00075900">
              <w:rPr>
                <w:sz w:val="22"/>
                <w:szCs w:val="22"/>
              </w:rPr>
              <w:t>ordre du jour)</w:t>
            </w:r>
          </w:p>
        </w:tc>
        <w:tc>
          <w:tcPr>
            <w:tcW w:w="7371" w:type="dxa"/>
            <w:tcBorders>
              <w:top w:val="single" w:sz="4" w:space="0" w:color="auto"/>
              <w:left w:val="single" w:sz="4" w:space="0" w:color="auto"/>
              <w:bottom w:val="single" w:sz="4" w:space="0" w:color="auto"/>
              <w:right w:val="single" w:sz="4" w:space="0" w:color="auto"/>
            </w:tcBorders>
            <w:hideMark/>
          </w:tcPr>
          <w:p w:rsidR="00BE0203" w:rsidRDefault="00075900" w:rsidP="00BE0203">
            <w:pPr>
              <w:tabs>
                <w:tab w:val="left" w:pos="1735"/>
              </w:tabs>
              <w:spacing w:before="40"/>
              <w:rPr>
                <w:sz w:val="22"/>
                <w:szCs w:val="22"/>
              </w:rPr>
            </w:pPr>
            <w:r w:rsidRPr="00075900">
              <w:rPr>
                <w:b/>
                <w:bCs/>
                <w:sz w:val="22"/>
                <w:szCs w:val="22"/>
              </w:rPr>
              <w:t>Président</w:t>
            </w:r>
            <w:r w:rsidRPr="00075900">
              <w:rPr>
                <w:sz w:val="22"/>
                <w:szCs w:val="22"/>
              </w:rPr>
              <w:t>:</w:t>
            </w:r>
            <w:r w:rsidRPr="00075900">
              <w:rPr>
                <w:sz w:val="22"/>
                <w:szCs w:val="22"/>
              </w:rPr>
              <w:tab/>
            </w:r>
            <w:r w:rsidRPr="00075900">
              <w:rPr>
                <w:sz w:val="22"/>
                <w:szCs w:val="22"/>
              </w:rPr>
              <w:tab/>
              <w:t>M. M. Fenton (</w:t>
            </w:r>
            <w:r w:rsidRPr="00075900">
              <w:rPr>
                <w:color w:val="000000"/>
                <w:sz w:val="22"/>
                <w:szCs w:val="22"/>
              </w:rPr>
              <w:t>Royaume-Uni</w:t>
            </w:r>
            <w:r w:rsidRPr="00075900">
              <w:rPr>
                <w:sz w:val="22"/>
                <w:szCs w:val="22"/>
              </w:rPr>
              <w:t>)</w:t>
            </w:r>
          </w:p>
          <w:p w:rsidR="00075900" w:rsidRPr="00075900" w:rsidRDefault="00075900" w:rsidP="00BE0203">
            <w:pPr>
              <w:tabs>
                <w:tab w:val="left" w:pos="1735"/>
              </w:tabs>
              <w:spacing w:before="40"/>
              <w:ind w:left="1588" w:hanging="1588"/>
              <w:rPr>
                <w:sz w:val="22"/>
                <w:szCs w:val="22"/>
              </w:rPr>
            </w:pPr>
            <w:r w:rsidRPr="00075900">
              <w:rPr>
                <w:b/>
                <w:bCs/>
                <w:sz w:val="22"/>
                <w:szCs w:val="22"/>
              </w:rPr>
              <w:t>Vice-Présidents</w:t>
            </w:r>
            <w:r w:rsidRPr="00075900">
              <w:rPr>
                <w:sz w:val="22"/>
                <w:szCs w:val="22"/>
              </w:rPr>
              <w:t>:</w:t>
            </w:r>
            <w:r w:rsidRPr="00075900">
              <w:rPr>
                <w:sz w:val="22"/>
                <w:szCs w:val="22"/>
              </w:rPr>
              <w:tab/>
              <w:t>M. F. Xie (Chine)</w:t>
            </w:r>
            <w:r>
              <w:rPr>
                <w:sz w:val="22"/>
                <w:szCs w:val="22"/>
              </w:rPr>
              <w:t xml:space="preserve">; </w:t>
            </w:r>
            <w:r w:rsidRPr="00075900">
              <w:rPr>
                <w:sz w:val="22"/>
                <w:szCs w:val="22"/>
              </w:rPr>
              <w:t>M. A. Belkhadir (Maroc)</w:t>
            </w:r>
            <w:r>
              <w:rPr>
                <w:sz w:val="22"/>
                <w:szCs w:val="22"/>
              </w:rPr>
              <w:t xml:space="preserve">; </w:t>
            </w:r>
            <w:r w:rsidRPr="00075900">
              <w:rPr>
                <w:rFonts w:eastAsiaTheme="minorEastAsia"/>
                <w:sz w:val="22"/>
                <w:szCs w:val="22"/>
              </w:rPr>
              <w:t>M. W. Sayed (Egypte)</w:t>
            </w:r>
            <w:r>
              <w:rPr>
                <w:rFonts w:eastAsiaTheme="minorEastAsia"/>
                <w:sz w:val="22"/>
                <w:szCs w:val="22"/>
              </w:rPr>
              <w:t xml:space="preserve">; </w:t>
            </w:r>
            <w:r w:rsidRPr="00075900">
              <w:rPr>
                <w:sz w:val="22"/>
                <w:szCs w:val="22"/>
              </w:rPr>
              <w:t>Mme C. Beaumier (Canada)</w:t>
            </w:r>
            <w:r>
              <w:rPr>
                <w:sz w:val="22"/>
                <w:szCs w:val="22"/>
              </w:rPr>
              <w:t xml:space="preserve">; </w:t>
            </w:r>
            <w:r w:rsidRPr="00075900">
              <w:rPr>
                <w:sz w:val="22"/>
                <w:szCs w:val="22"/>
              </w:rPr>
              <w:t>M. V. Poskakukhin (Fédération de Russie)</w:t>
            </w:r>
          </w:p>
        </w:tc>
      </w:tr>
      <w:tr w:rsidR="00075900" w:rsidRPr="00075900" w:rsidTr="00A47565">
        <w:tc>
          <w:tcPr>
            <w:tcW w:w="2126" w:type="dxa"/>
            <w:tcBorders>
              <w:top w:val="single" w:sz="4" w:space="0" w:color="auto"/>
              <w:left w:val="single" w:sz="4" w:space="0" w:color="auto"/>
              <w:bottom w:val="single" w:sz="4" w:space="0" w:color="auto"/>
              <w:right w:val="single" w:sz="4" w:space="0" w:color="auto"/>
            </w:tcBorders>
          </w:tcPr>
          <w:p w:rsidR="00075900" w:rsidRPr="00075900" w:rsidRDefault="00075900" w:rsidP="00075900">
            <w:pPr>
              <w:rPr>
                <w:sz w:val="22"/>
                <w:szCs w:val="22"/>
              </w:rPr>
            </w:pPr>
            <w:r w:rsidRPr="00075900">
              <w:rPr>
                <w:sz w:val="22"/>
                <w:szCs w:val="22"/>
              </w:rPr>
              <w:br w:type="page"/>
            </w:r>
            <w:r w:rsidR="00002B46">
              <w:rPr>
                <w:sz w:val="22"/>
                <w:szCs w:val="22"/>
              </w:rPr>
              <w:t>Commission 5</w:t>
            </w:r>
            <w:r w:rsidRPr="00075900">
              <w:rPr>
                <w:sz w:val="22"/>
                <w:szCs w:val="22"/>
              </w:rPr>
              <w:br/>
              <w:t>(Points spécifiques de l</w:t>
            </w:r>
            <w:r w:rsidR="00D3135C">
              <w:rPr>
                <w:sz w:val="22"/>
                <w:szCs w:val="22"/>
              </w:rPr>
              <w:t>'</w:t>
            </w:r>
            <w:r w:rsidRPr="00075900">
              <w:rPr>
                <w:sz w:val="22"/>
                <w:szCs w:val="22"/>
              </w:rPr>
              <w:t>ordre du jour)</w:t>
            </w:r>
          </w:p>
        </w:tc>
        <w:tc>
          <w:tcPr>
            <w:tcW w:w="7371" w:type="dxa"/>
            <w:tcBorders>
              <w:top w:val="single" w:sz="4" w:space="0" w:color="auto"/>
              <w:left w:val="single" w:sz="4" w:space="0" w:color="auto"/>
              <w:bottom w:val="single" w:sz="4" w:space="0" w:color="auto"/>
              <w:right w:val="single" w:sz="4" w:space="0" w:color="auto"/>
            </w:tcBorders>
          </w:tcPr>
          <w:p w:rsidR="00BE0203" w:rsidRDefault="00075900" w:rsidP="00BE0203">
            <w:pPr>
              <w:tabs>
                <w:tab w:val="left" w:pos="1735"/>
              </w:tabs>
              <w:rPr>
                <w:sz w:val="22"/>
                <w:szCs w:val="22"/>
              </w:rPr>
            </w:pPr>
            <w:r w:rsidRPr="00075900">
              <w:rPr>
                <w:b/>
                <w:bCs/>
                <w:sz w:val="22"/>
                <w:szCs w:val="22"/>
              </w:rPr>
              <w:t>Président</w:t>
            </w:r>
            <w:r w:rsidRPr="00075900">
              <w:rPr>
                <w:sz w:val="22"/>
                <w:szCs w:val="22"/>
              </w:rPr>
              <w:t>:</w:t>
            </w:r>
            <w:r w:rsidRPr="00075900">
              <w:rPr>
                <w:sz w:val="22"/>
                <w:szCs w:val="22"/>
              </w:rPr>
              <w:tab/>
            </w:r>
            <w:r w:rsidRPr="00075900">
              <w:rPr>
                <w:sz w:val="22"/>
                <w:szCs w:val="22"/>
              </w:rPr>
              <w:tab/>
              <w:t>M. K. Al Awadhi (Emirats arabes unis)</w:t>
            </w:r>
          </w:p>
          <w:p w:rsidR="00075900" w:rsidRPr="00075900" w:rsidRDefault="00075900" w:rsidP="00BE0203">
            <w:pPr>
              <w:tabs>
                <w:tab w:val="left" w:pos="1735"/>
              </w:tabs>
              <w:ind w:left="1588" w:hanging="1588"/>
              <w:rPr>
                <w:sz w:val="22"/>
                <w:szCs w:val="22"/>
              </w:rPr>
            </w:pPr>
            <w:r w:rsidRPr="00075900">
              <w:rPr>
                <w:b/>
                <w:bCs/>
                <w:sz w:val="22"/>
                <w:szCs w:val="22"/>
              </w:rPr>
              <w:t>Vice-Présidents</w:t>
            </w:r>
            <w:r w:rsidRPr="00075900">
              <w:rPr>
                <w:sz w:val="22"/>
                <w:szCs w:val="22"/>
              </w:rPr>
              <w:t>:</w:t>
            </w:r>
            <w:r w:rsidRPr="00075900">
              <w:rPr>
                <w:sz w:val="22"/>
                <w:szCs w:val="22"/>
              </w:rPr>
              <w:tab/>
              <w:t>M. P.N. Phuong (Viet Nam)</w:t>
            </w:r>
            <w:r>
              <w:rPr>
                <w:sz w:val="22"/>
                <w:szCs w:val="22"/>
              </w:rPr>
              <w:t xml:space="preserve">; </w:t>
            </w:r>
            <w:r w:rsidRPr="00075900">
              <w:rPr>
                <w:sz w:val="22"/>
                <w:szCs w:val="22"/>
              </w:rPr>
              <w:t>M. M. Abdelhafiz (Soudan)</w:t>
            </w:r>
            <w:r>
              <w:rPr>
                <w:sz w:val="22"/>
                <w:szCs w:val="22"/>
              </w:rPr>
              <w:t xml:space="preserve">; </w:t>
            </w:r>
            <w:r w:rsidRPr="00075900">
              <w:rPr>
                <w:sz w:val="22"/>
                <w:szCs w:val="22"/>
              </w:rPr>
              <w:t>M.</w:t>
            </w:r>
            <w:r w:rsidR="00BE0203">
              <w:rPr>
                <w:sz w:val="22"/>
                <w:szCs w:val="22"/>
              </w:rPr>
              <w:t> </w:t>
            </w:r>
            <w:r w:rsidRPr="00075900">
              <w:rPr>
                <w:sz w:val="22"/>
                <w:szCs w:val="22"/>
              </w:rPr>
              <w:t>J. Levi (Argentine)</w:t>
            </w:r>
            <w:r>
              <w:rPr>
                <w:sz w:val="22"/>
                <w:szCs w:val="22"/>
              </w:rPr>
              <w:t xml:space="preserve">; </w:t>
            </w:r>
            <w:r w:rsidRPr="00075900">
              <w:rPr>
                <w:sz w:val="22"/>
                <w:szCs w:val="22"/>
              </w:rPr>
              <w:t xml:space="preserve">M. </w:t>
            </w:r>
            <w:bookmarkStart w:id="19" w:name="OLE_LINK1"/>
            <w:bookmarkStart w:id="20" w:name="OLE_LINK2"/>
            <w:r w:rsidRPr="00075900">
              <w:rPr>
                <w:sz w:val="22"/>
                <w:szCs w:val="22"/>
              </w:rPr>
              <w:t>E. Fournier (France)</w:t>
            </w:r>
            <w:bookmarkEnd w:id="19"/>
            <w:bookmarkEnd w:id="20"/>
            <w:r>
              <w:rPr>
                <w:sz w:val="22"/>
                <w:szCs w:val="22"/>
              </w:rPr>
              <w:t xml:space="preserve">; </w:t>
            </w:r>
            <w:r w:rsidRPr="00075900">
              <w:rPr>
                <w:sz w:val="22"/>
                <w:szCs w:val="22"/>
              </w:rPr>
              <w:t>M. T. Kim (Kazakhstan)</w:t>
            </w:r>
          </w:p>
        </w:tc>
      </w:tr>
      <w:tr w:rsidR="00075900" w:rsidRPr="00075900" w:rsidTr="00A47565">
        <w:tc>
          <w:tcPr>
            <w:tcW w:w="2126" w:type="dxa"/>
            <w:tcBorders>
              <w:top w:val="single" w:sz="4" w:space="0" w:color="auto"/>
              <w:left w:val="single" w:sz="4" w:space="0" w:color="auto"/>
              <w:bottom w:val="single" w:sz="4" w:space="0" w:color="auto"/>
              <w:right w:val="single" w:sz="4" w:space="0" w:color="auto"/>
            </w:tcBorders>
          </w:tcPr>
          <w:p w:rsidR="00075900" w:rsidRPr="00075900" w:rsidRDefault="00002B46" w:rsidP="00075900">
            <w:pPr>
              <w:rPr>
                <w:sz w:val="22"/>
                <w:szCs w:val="22"/>
              </w:rPr>
            </w:pPr>
            <w:r>
              <w:rPr>
                <w:sz w:val="22"/>
                <w:szCs w:val="22"/>
              </w:rPr>
              <w:t>Commission 6</w:t>
            </w:r>
            <w:r w:rsidR="00075900" w:rsidRPr="00075900">
              <w:rPr>
                <w:sz w:val="22"/>
                <w:szCs w:val="22"/>
              </w:rPr>
              <w:br/>
              <w:t>(Points spécifiques de l</w:t>
            </w:r>
            <w:r w:rsidR="00D3135C">
              <w:rPr>
                <w:sz w:val="22"/>
                <w:szCs w:val="22"/>
              </w:rPr>
              <w:t>'</w:t>
            </w:r>
            <w:r w:rsidR="00075900" w:rsidRPr="00075900">
              <w:rPr>
                <w:sz w:val="22"/>
                <w:szCs w:val="22"/>
              </w:rPr>
              <w:t>ordre du jour)</w:t>
            </w:r>
          </w:p>
        </w:tc>
        <w:tc>
          <w:tcPr>
            <w:tcW w:w="7371" w:type="dxa"/>
            <w:tcBorders>
              <w:top w:val="single" w:sz="4" w:space="0" w:color="auto"/>
              <w:left w:val="single" w:sz="4" w:space="0" w:color="auto"/>
              <w:bottom w:val="single" w:sz="4" w:space="0" w:color="auto"/>
              <w:right w:val="single" w:sz="4" w:space="0" w:color="auto"/>
            </w:tcBorders>
          </w:tcPr>
          <w:p w:rsidR="00075900" w:rsidRPr="00075900" w:rsidRDefault="00075900" w:rsidP="00075900">
            <w:pPr>
              <w:tabs>
                <w:tab w:val="left" w:pos="1735"/>
              </w:tabs>
              <w:ind w:left="1735" w:hanging="1735"/>
              <w:rPr>
                <w:sz w:val="22"/>
                <w:szCs w:val="22"/>
              </w:rPr>
            </w:pPr>
            <w:r w:rsidRPr="00075900">
              <w:rPr>
                <w:b/>
                <w:bCs/>
                <w:sz w:val="22"/>
                <w:szCs w:val="22"/>
              </w:rPr>
              <w:t>Présidente</w:t>
            </w:r>
            <w:r w:rsidRPr="00075900">
              <w:rPr>
                <w:sz w:val="22"/>
                <w:szCs w:val="22"/>
              </w:rPr>
              <w:t>:</w:t>
            </w:r>
            <w:r w:rsidRPr="00075900">
              <w:rPr>
                <w:sz w:val="22"/>
                <w:szCs w:val="22"/>
              </w:rPr>
              <w:tab/>
            </w:r>
            <w:r w:rsidRPr="00075900">
              <w:rPr>
                <w:sz w:val="22"/>
                <w:szCs w:val="22"/>
              </w:rPr>
              <w:tab/>
              <w:t>Mme A. Allison (Etats-Unis</w:t>
            </w:r>
            <w:r w:rsidR="00002B46">
              <w:rPr>
                <w:sz w:val="22"/>
                <w:szCs w:val="22"/>
              </w:rPr>
              <w:t xml:space="preserve"> d</w:t>
            </w:r>
            <w:r w:rsidR="00D3135C">
              <w:rPr>
                <w:sz w:val="22"/>
                <w:szCs w:val="22"/>
              </w:rPr>
              <w:t>'</w:t>
            </w:r>
            <w:r w:rsidR="00002B46">
              <w:rPr>
                <w:sz w:val="22"/>
                <w:szCs w:val="22"/>
              </w:rPr>
              <w:t>Amérique</w:t>
            </w:r>
            <w:r w:rsidRPr="00075900">
              <w:rPr>
                <w:sz w:val="22"/>
                <w:szCs w:val="22"/>
              </w:rPr>
              <w:t>)</w:t>
            </w:r>
          </w:p>
          <w:p w:rsidR="00075900" w:rsidRPr="00075900" w:rsidRDefault="00075900" w:rsidP="00BE0203">
            <w:pPr>
              <w:tabs>
                <w:tab w:val="left" w:pos="1735"/>
              </w:tabs>
              <w:spacing w:before="0"/>
              <w:ind w:left="1588" w:hanging="1588"/>
              <w:rPr>
                <w:sz w:val="22"/>
                <w:szCs w:val="22"/>
              </w:rPr>
            </w:pPr>
            <w:r w:rsidRPr="00075900">
              <w:rPr>
                <w:b/>
                <w:bCs/>
                <w:sz w:val="22"/>
                <w:szCs w:val="22"/>
              </w:rPr>
              <w:t>Vice-Présidents</w:t>
            </w:r>
            <w:r w:rsidRPr="00075900">
              <w:rPr>
                <w:sz w:val="22"/>
                <w:szCs w:val="22"/>
              </w:rPr>
              <w:t>:</w:t>
            </w:r>
            <w:r w:rsidRPr="00075900">
              <w:rPr>
                <w:sz w:val="22"/>
                <w:szCs w:val="22"/>
              </w:rPr>
              <w:tab/>
              <w:t>Mme K. Kim (Corée (Rép. de))</w:t>
            </w:r>
            <w:r>
              <w:rPr>
                <w:sz w:val="22"/>
                <w:szCs w:val="22"/>
              </w:rPr>
              <w:t xml:space="preserve">; </w:t>
            </w:r>
            <w:r w:rsidRPr="00075900">
              <w:rPr>
                <w:sz w:val="22"/>
                <w:szCs w:val="22"/>
              </w:rPr>
              <w:t>M. M. Al-Badi (Oman)</w:t>
            </w:r>
            <w:r>
              <w:rPr>
                <w:sz w:val="22"/>
                <w:szCs w:val="22"/>
              </w:rPr>
              <w:t xml:space="preserve">; </w:t>
            </w:r>
            <w:r w:rsidRPr="00075900">
              <w:rPr>
                <w:sz w:val="22"/>
                <w:szCs w:val="22"/>
              </w:rPr>
              <w:t>M.</w:t>
            </w:r>
            <w:r w:rsidR="00BE0203">
              <w:rPr>
                <w:sz w:val="22"/>
                <w:szCs w:val="22"/>
              </w:rPr>
              <w:t> </w:t>
            </w:r>
            <w:r w:rsidRPr="00075900">
              <w:rPr>
                <w:sz w:val="22"/>
                <w:szCs w:val="22"/>
              </w:rPr>
              <w:t>K. Niane (Sénégal)</w:t>
            </w:r>
            <w:r>
              <w:rPr>
                <w:sz w:val="22"/>
                <w:szCs w:val="22"/>
              </w:rPr>
              <w:t xml:space="preserve">; </w:t>
            </w:r>
            <w:r w:rsidRPr="00075900">
              <w:rPr>
                <w:sz w:val="22"/>
                <w:szCs w:val="22"/>
              </w:rPr>
              <w:t>M. A. Calinciuc (Roumanie)</w:t>
            </w:r>
            <w:r>
              <w:rPr>
                <w:sz w:val="22"/>
                <w:szCs w:val="22"/>
              </w:rPr>
              <w:t xml:space="preserve">; </w:t>
            </w:r>
            <w:r w:rsidRPr="00075900">
              <w:rPr>
                <w:sz w:val="22"/>
                <w:szCs w:val="22"/>
              </w:rPr>
              <w:t>M.</w:t>
            </w:r>
            <w:r w:rsidR="00BE0203">
              <w:rPr>
                <w:sz w:val="22"/>
                <w:szCs w:val="22"/>
              </w:rPr>
              <w:t> </w:t>
            </w:r>
            <w:r w:rsidRPr="00075900">
              <w:rPr>
                <w:sz w:val="22"/>
                <w:szCs w:val="22"/>
              </w:rPr>
              <w:t>D.</w:t>
            </w:r>
            <w:r w:rsidR="00BE0203">
              <w:rPr>
                <w:sz w:val="22"/>
                <w:szCs w:val="22"/>
              </w:rPr>
              <w:t> </w:t>
            </w:r>
            <w:r w:rsidRPr="00075900">
              <w:rPr>
                <w:sz w:val="22"/>
                <w:szCs w:val="22"/>
              </w:rPr>
              <w:t>Korzun (Bélarus)</w:t>
            </w:r>
          </w:p>
        </w:tc>
      </w:tr>
      <w:tr w:rsidR="00075900" w:rsidRPr="00075900" w:rsidTr="00A47565">
        <w:tc>
          <w:tcPr>
            <w:tcW w:w="2126" w:type="dxa"/>
            <w:tcBorders>
              <w:top w:val="single" w:sz="4" w:space="0" w:color="auto"/>
              <w:left w:val="single" w:sz="4" w:space="0" w:color="auto"/>
              <w:bottom w:val="single" w:sz="4" w:space="0" w:color="auto"/>
              <w:right w:val="single" w:sz="4" w:space="0" w:color="auto"/>
            </w:tcBorders>
          </w:tcPr>
          <w:p w:rsidR="00075900" w:rsidRPr="00075900" w:rsidRDefault="00002B46" w:rsidP="00075900">
            <w:pPr>
              <w:rPr>
                <w:sz w:val="22"/>
                <w:szCs w:val="22"/>
              </w:rPr>
            </w:pPr>
            <w:r>
              <w:rPr>
                <w:sz w:val="22"/>
                <w:szCs w:val="22"/>
              </w:rPr>
              <w:t>Commission 7</w:t>
            </w:r>
            <w:r w:rsidR="00075900" w:rsidRPr="00075900">
              <w:rPr>
                <w:sz w:val="22"/>
                <w:szCs w:val="22"/>
              </w:rPr>
              <w:br/>
              <w:t>(Rédaction)</w:t>
            </w:r>
          </w:p>
        </w:tc>
        <w:tc>
          <w:tcPr>
            <w:tcW w:w="7371" w:type="dxa"/>
            <w:tcBorders>
              <w:top w:val="single" w:sz="4" w:space="0" w:color="auto"/>
              <w:left w:val="single" w:sz="4" w:space="0" w:color="auto"/>
              <w:bottom w:val="single" w:sz="4" w:space="0" w:color="auto"/>
              <w:right w:val="single" w:sz="4" w:space="0" w:color="auto"/>
            </w:tcBorders>
          </w:tcPr>
          <w:p w:rsidR="00075900" w:rsidRPr="00075900" w:rsidRDefault="00075900" w:rsidP="00075900">
            <w:pPr>
              <w:tabs>
                <w:tab w:val="left" w:pos="1735"/>
              </w:tabs>
              <w:rPr>
                <w:sz w:val="22"/>
                <w:szCs w:val="22"/>
              </w:rPr>
            </w:pPr>
            <w:r w:rsidRPr="00075900">
              <w:rPr>
                <w:b/>
                <w:bCs/>
                <w:sz w:val="22"/>
                <w:szCs w:val="22"/>
              </w:rPr>
              <w:t>Président</w:t>
            </w:r>
            <w:r w:rsidRPr="00075900">
              <w:rPr>
                <w:sz w:val="22"/>
                <w:szCs w:val="22"/>
              </w:rPr>
              <w:t>:</w:t>
            </w:r>
            <w:r w:rsidRPr="00075900">
              <w:rPr>
                <w:sz w:val="22"/>
                <w:szCs w:val="22"/>
              </w:rPr>
              <w:tab/>
            </w:r>
            <w:r w:rsidRPr="00075900">
              <w:rPr>
                <w:sz w:val="22"/>
                <w:szCs w:val="22"/>
              </w:rPr>
              <w:tab/>
              <w:t>M. C. Rissone (France)</w:t>
            </w:r>
          </w:p>
          <w:p w:rsidR="00075900" w:rsidRPr="00075900" w:rsidRDefault="00075900" w:rsidP="00BE0203">
            <w:pPr>
              <w:tabs>
                <w:tab w:val="clear" w:pos="1588"/>
                <w:tab w:val="clear" w:pos="1985"/>
                <w:tab w:val="left" w:pos="1310"/>
                <w:tab w:val="left" w:pos="1593"/>
              </w:tabs>
              <w:spacing w:before="0"/>
              <w:ind w:left="1593" w:hanging="1593"/>
              <w:rPr>
                <w:sz w:val="22"/>
                <w:szCs w:val="22"/>
              </w:rPr>
            </w:pPr>
            <w:r w:rsidRPr="00075900">
              <w:rPr>
                <w:b/>
                <w:bCs/>
                <w:sz w:val="22"/>
                <w:szCs w:val="22"/>
              </w:rPr>
              <w:t>Vice-Présidents</w:t>
            </w:r>
            <w:r w:rsidRPr="00075900">
              <w:rPr>
                <w:sz w:val="22"/>
                <w:szCs w:val="22"/>
              </w:rPr>
              <w:t>:</w:t>
            </w:r>
            <w:r w:rsidRPr="00075900">
              <w:rPr>
                <w:sz w:val="22"/>
                <w:szCs w:val="22"/>
              </w:rPr>
              <w:tab/>
              <w:t>M. M. Abdulrahman (Liban)</w:t>
            </w:r>
            <w:r>
              <w:rPr>
                <w:sz w:val="22"/>
                <w:szCs w:val="22"/>
              </w:rPr>
              <w:t xml:space="preserve">; </w:t>
            </w:r>
            <w:r w:rsidRPr="00075900">
              <w:rPr>
                <w:sz w:val="22"/>
                <w:szCs w:val="22"/>
              </w:rPr>
              <w:t>Mme M. Donde (</w:t>
            </w:r>
            <w:r>
              <w:rPr>
                <w:sz w:val="22"/>
                <w:szCs w:val="22"/>
              </w:rPr>
              <w:t>Royaume</w:t>
            </w:r>
            <w:r>
              <w:rPr>
                <w:sz w:val="22"/>
                <w:szCs w:val="22"/>
              </w:rPr>
              <w:noBreakHyphen/>
            </w:r>
            <w:r w:rsidRPr="00075900">
              <w:rPr>
                <w:sz w:val="22"/>
                <w:szCs w:val="22"/>
              </w:rPr>
              <w:t>Uni)</w:t>
            </w:r>
            <w:r>
              <w:rPr>
                <w:sz w:val="22"/>
                <w:szCs w:val="22"/>
              </w:rPr>
              <w:t xml:space="preserve">; </w:t>
            </w:r>
            <w:r w:rsidRPr="00075900">
              <w:rPr>
                <w:sz w:val="22"/>
                <w:szCs w:val="22"/>
              </w:rPr>
              <w:t>M. J.G.Orea Sanchez (Espagne)</w:t>
            </w:r>
            <w:r>
              <w:rPr>
                <w:sz w:val="22"/>
                <w:szCs w:val="22"/>
              </w:rPr>
              <w:t xml:space="preserve">; </w:t>
            </w:r>
            <w:r w:rsidRPr="00075900">
              <w:rPr>
                <w:sz w:val="22"/>
                <w:szCs w:val="22"/>
              </w:rPr>
              <w:t>M. G. Cai (Chine)</w:t>
            </w:r>
            <w:r>
              <w:rPr>
                <w:sz w:val="22"/>
                <w:szCs w:val="22"/>
              </w:rPr>
              <w:t xml:space="preserve">; </w:t>
            </w:r>
            <w:r w:rsidRPr="00075900">
              <w:rPr>
                <w:sz w:val="22"/>
                <w:szCs w:val="22"/>
              </w:rPr>
              <w:t>M. A. Zhivov (Fédération de Russie)</w:t>
            </w:r>
          </w:p>
        </w:tc>
      </w:tr>
    </w:tbl>
    <w:p w:rsidR="00002B46" w:rsidRPr="008653E6" w:rsidRDefault="00746EEA" w:rsidP="001C1296">
      <w:pPr>
        <w:rPr>
          <w:rFonts w:eastAsia="Arial Unicode MS"/>
          <w:lang w:val="fr-CH"/>
        </w:rPr>
      </w:pPr>
      <w:bookmarkStart w:id="21" w:name="lt_pId387"/>
      <w:r>
        <w:rPr>
          <w:lang w:val="fr-CH"/>
        </w:rPr>
        <w:t>La CMR</w:t>
      </w:r>
      <w:r w:rsidR="00002B46" w:rsidRPr="008653E6">
        <w:rPr>
          <w:lang w:val="fr-CH"/>
        </w:rPr>
        <w:t xml:space="preserve">-15 </w:t>
      </w:r>
      <w:r>
        <w:rPr>
          <w:lang w:val="fr-CH"/>
        </w:rPr>
        <w:t>s</w:t>
      </w:r>
      <w:r w:rsidR="00D3135C">
        <w:rPr>
          <w:lang w:val="fr-CH"/>
        </w:rPr>
        <w:t>'</w:t>
      </w:r>
      <w:r>
        <w:rPr>
          <w:lang w:val="fr-CH"/>
        </w:rPr>
        <w:t>est</w:t>
      </w:r>
      <w:r w:rsidR="00002B46" w:rsidRPr="008653E6">
        <w:rPr>
          <w:lang w:val="fr-CH"/>
        </w:rPr>
        <w:t xml:space="preserve"> tenue sans</w:t>
      </w:r>
      <w:r w:rsidR="00002B46" w:rsidRPr="008653E6">
        <w:rPr>
          <w:color w:val="000000"/>
        </w:rPr>
        <w:t xml:space="preserve"> document</w:t>
      </w:r>
      <w:r>
        <w:rPr>
          <w:lang w:val="fr-CH"/>
        </w:rPr>
        <w:t xml:space="preserve"> papier</w:t>
      </w:r>
      <w:r w:rsidR="00002B46" w:rsidRPr="008653E6">
        <w:rPr>
          <w:lang w:val="fr-CH"/>
        </w:rPr>
        <w:t>. Afin de faciliter le traitement des</w:t>
      </w:r>
      <w:bookmarkStart w:id="22" w:name="lt_pId388"/>
      <w:bookmarkEnd w:id="21"/>
      <w:r w:rsidR="00002B46" w:rsidRPr="008653E6">
        <w:rPr>
          <w:lang w:val="fr-CH"/>
        </w:rPr>
        <w:t xml:space="preserve"> </w:t>
      </w:r>
      <w:r>
        <w:rPr>
          <w:lang w:val="fr-CH"/>
        </w:rPr>
        <w:t xml:space="preserve">1 </w:t>
      </w:r>
      <w:r w:rsidR="00002B46" w:rsidRPr="008653E6">
        <w:rPr>
          <w:lang w:val="fr-CH"/>
        </w:rPr>
        <w:t>008 documents soumis à l</w:t>
      </w:r>
      <w:r>
        <w:rPr>
          <w:lang w:val="fr-CH"/>
        </w:rPr>
        <w:t xml:space="preserve">a conférence, qui contenaient 6 </w:t>
      </w:r>
      <w:r w:rsidR="00002B46" w:rsidRPr="008653E6">
        <w:rPr>
          <w:lang w:val="fr-CH"/>
        </w:rPr>
        <w:t>047 propositions, le système de gestion des propositions a encore</w:t>
      </w:r>
      <w:r>
        <w:rPr>
          <w:lang w:val="fr-CH"/>
        </w:rPr>
        <w:t xml:space="preserve"> été perfectionné avant la CMR-</w:t>
      </w:r>
      <w:r w:rsidR="00002B46" w:rsidRPr="008653E6">
        <w:rPr>
          <w:lang w:val="fr-CH"/>
        </w:rPr>
        <w:t xml:space="preserve">15, après avoir été utilisé avec succès </w:t>
      </w:r>
      <w:r>
        <w:rPr>
          <w:lang w:val="fr-CH"/>
        </w:rPr>
        <w:t>pendant la PP-</w:t>
      </w:r>
      <w:r w:rsidR="00002B46" w:rsidRPr="008653E6">
        <w:rPr>
          <w:lang w:val="fr-CH"/>
        </w:rPr>
        <w:t>14 et des conférences précédentes de l</w:t>
      </w:r>
      <w:r w:rsidR="00D3135C">
        <w:rPr>
          <w:lang w:val="fr-CH"/>
        </w:rPr>
        <w:t>'</w:t>
      </w:r>
      <w:r w:rsidR="00002B46" w:rsidRPr="008653E6">
        <w:rPr>
          <w:lang w:val="fr-CH"/>
        </w:rPr>
        <w:t>UIT</w:t>
      </w:r>
      <w:bookmarkEnd w:id="22"/>
      <w:r>
        <w:rPr>
          <w:lang w:val="fr-CH"/>
        </w:rPr>
        <w:t>.</w:t>
      </w:r>
    </w:p>
    <w:p w:rsidR="00002B46" w:rsidRPr="008653E6" w:rsidRDefault="00746EEA" w:rsidP="001C1296">
      <w:pPr>
        <w:rPr>
          <w:rFonts w:eastAsia="Arial Unicode MS"/>
          <w:bCs/>
          <w:szCs w:val="24"/>
          <w:lang w:val="fr-CH"/>
        </w:rPr>
      </w:pPr>
      <w:bookmarkStart w:id="23" w:name="lt_pId389"/>
      <w:r>
        <w:rPr>
          <w:rFonts w:eastAsia="Arial Unicode MS"/>
          <w:bCs/>
          <w:szCs w:val="24"/>
          <w:lang w:val="fr-CH"/>
        </w:rPr>
        <w:t>L</w:t>
      </w:r>
      <w:r w:rsidR="00D3135C">
        <w:t>'</w:t>
      </w:r>
      <w:r w:rsidR="00002B46" w:rsidRPr="008653E6">
        <w:t>interface pour les propositions présentées à la Conférence (CPI) a encore été améliorée, afin d</w:t>
      </w:r>
      <w:r w:rsidR="00D3135C">
        <w:t>'</w:t>
      </w:r>
      <w:r w:rsidR="00002B46" w:rsidRPr="008653E6">
        <w:t>aider les Etats Membres à élaborer et à soumettre leurs propositions pour les travaux de la conférence.</w:t>
      </w:r>
      <w:bookmarkEnd w:id="23"/>
      <w:r w:rsidR="00002B46" w:rsidRPr="008653E6">
        <w:rPr>
          <w:rFonts w:eastAsia="Arial Unicode MS"/>
          <w:bCs/>
          <w:szCs w:val="24"/>
          <w:lang w:val="fr-CH"/>
        </w:rPr>
        <w:t xml:space="preserve"> Ce système a été largement utilisé par les membres pendant l</w:t>
      </w:r>
      <w:r>
        <w:rPr>
          <w:rFonts w:eastAsia="Arial Unicode MS"/>
          <w:bCs/>
          <w:szCs w:val="24"/>
          <w:lang w:val="fr-CH"/>
        </w:rPr>
        <w:t>a période ayant précédé la CMR-</w:t>
      </w:r>
      <w:r w:rsidR="00002B46" w:rsidRPr="008653E6">
        <w:rPr>
          <w:rFonts w:eastAsia="Arial Unicode MS"/>
          <w:bCs/>
          <w:szCs w:val="24"/>
          <w:lang w:val="fr-CH"/>
        </w:rPr>
        <w:t>15</w:t>
      </w:r>
      <w:bookmarkStart w:id="24" w:name="lt_pId391"/>
      <w:r>
        <w:rPr>
          <w:rFonts w:eastAsia="Arial Unicode MS"/>
          <w:bCs/>
          <w:szCs w:val="24"/>
          <w:lang w:val="fr-CH"/>
        </w:rPr>
        <w:t>.</w:t>
      </w:r>
    </w:p>
    <w:p w:rsidR="00002B46" w:rsidRPr="001C1296" w:rsidRDefault="00002B46" w:rsidP="001C1296">
      <w:pPr>
        <w:rPr>
          <w:lang w:val="fr-CH"/>
        </w:rPr>
      </w:pPr>
      <w:r w:rsidRPr="001C1296">
        <w:rPr>
          <w:lang w:val="fr-CH"/>
        </w:rPr>
        <w:t>D</w:t>
      </w:r>
      <w:r w:rsidR="00D3135C" w:rsidRPr="001C1296">
        <w:rPr>
          <w:lang w:val="fr-CH"/>
        </w:rPr>
        <w:t>'</w:t>
      </w:r>
      <w:r w:rsidRPr="001C1296">
        <w:rPr>
          <w:lang w:val="fr-CH"/>
        </w:rPr>
        <w:t xml:space="preserve">autres outils électroniques ont été utilisés </w:t>
      </w:r>
      <w:r w:rsidR="00746EEA" w:rsidRPr="001C1296">
        <w:rPr>
          <w:lang w:val="fr-CH"/>
        </w:rPr>
        <w:t>pendant la conférence, à savoir</w:t>
      </w:r>
      <w:r w:rsidRPr="001C1296">
        <w:rPr>
          <w:lang w:val="fr-CH"/>
        </w:rPr>
        <w:t xml:space="preserve">: </w:t>
      </w:r>
      <w:bookmarkStart w:id="25" w:name="lt_pId392"/>
      <w:bookmarkEnd w:id="24"/>
      <w:r w:rsidRPr="001C1296">
        <w:rPr>
          <w:lang w:val="fr-CH"/>
        </w:rPr>
        <w:t xml:space="preserve">site SharePoint de la </w:t>
      </w:r>
      <w:r w:rsidR="00746EEA" w:rsidRPr="001C1296">
        <w:rPr>
          <w:lang w:val="fr-CH"/>
        </w:rPr>
        <w:t>CMR</w:t>
      </w:r>
      <w:r w:rsidRPr="001C1296">
        <w:rPr>
          <w:lang w:val="fr-CH"/>
        </w:rPr>
        <w:t xml:space="preserve">-15, application mobile </w:t>
      </w:r>
      <w:r w:rsidR="00746EEA" w:rsidRPr="001C1296">
        <w:rPr>
          <w:lang w:val="fr-CH"/>
        </w:rPr>
        <w:t>pour le CMR-15</w:t>
      </w:r>
      <w:r w:rsidRPr="001C1296">
        <w:rPr>
          <w:lang w:val="fr-CH"/>
        </w:rPr>
        <w:t xml:space="preserve">, outil de navigation pour le </w:t>
      </w:r>
      <w:r w:rsidR="00BE0203" w:rsidRPr="001C1296">
        <w:rPr>
          <w:lang w:val="fr-CH"/>
        </w:rPr>
        <w:t>R</w:t>
      </w:r>
      <w:r w:rsidRPr="001C1296">
        <w:rPr>
          <w:lang w:val="fr-CH"/>
        </w:rPr>
        <w:t>èglement des radioc</w:t>
      </w:r>
      <w:r w:rsidR="00746EEA" w:rsidRPr="001C1296">
        <w:rPr>
          <w:lang w:val="fr-CH"/>
        </w:rPr>
        <w:t>ommunications et application de synchronisation des documents</w:t>
      </w:r>
      <w:r w:rsidRPr="001C1296">
        <w:rPr>
          <w:lang w:val="fr-CH"/>
        </w:rPr>
        <w:t>.</w:t>
      </w:r>
      <w:bookmarkEnd w:id="25"/>
    </w:p>
    <w:p w:rsidR="00002B46" w:rsidRPr="001C1296" w:rsidRDefault="00A47565" w:rsidP="001C1296">
      <w:pPr>
        <w:rPr>
          <w:lang w:val="fr-CH"/>
        </w:rPr>
      </w:pPr>
      <w:bookmarkStart w:id="26" w:name="lt_pId393"/>
      <w:r>
        <w:rPr>
          <w:lang w:val="fr-CH"/>
        </w:rPr>
        <w:t xml:space="preserve">Conformément à la décision de la </w:t>
      </w:r>
      <w:r w:rsidR="00002B46" w:rsidRPr="008653E6">
        <w:rPr>
          <w:lang w:val="fr-CH"/>
        </w:rPr>
        <w:t>PP-14, toutes les contributions étaient librement accessibles au public avant le début de la conférence</w:t>
      </w:r>
      <w:r w:rsidRPr="001C1296">
        <w:rPr>
          <w:lang w:val="fr-CH"/>
        </w:rPr>
        <w:t>, aucun E</w:t>
      </w:r>
      <w:r w:rsidR="00002B46" w:rsidRPr="001C1296">
        <w:rPr>
          <w:lang w:val="fr-CH"/>
        </w:rPr>
        <w:t>tat Membre n</w:t>
      </w:r>
      <w:r w:rsidR="00D3135C" w:rsidRPr="001C1296">
        <w:rPr>
          <w:lang w:val="fr-CH"/>
        </w:rPr>
        <w:t>'</w:t>
      </w:r>
      <w:r w:rsidR="00002B46" w:rsidRPr="001C1296">
        <w:rPr>
          <w:lang w:val="fr-CH"/>
        </w:rPr>
        <w:t>ayant estimé que leur divulgation risquait de causer à des intérêts publics ou privés légitimes un préjudice que ne sauraient justifier les avantages de l</w:t>
      </w:r>
      <w:r w:rsidR="00D3135C" w:rsidRPr="001C1296">
        <w:rPr>
          <w:lang w:val="fr-CH"/>
        </w:rPr>
        <w:t>'</w:t>
      </w:r>
      <w:r w:rsidR="00002B46" w:rsidRPr="001C1296">
        <w:rPr>
          <w:lang w:val="fr-CH"/>
        </w:rPr>
        <w:t>accessibilité</w:t>
      </w:r>
      <w:r w:rsidR="00002B46" w:rsidRPr="008653E6">
        <w:rPr>
          <w:lang w:val="fr-CH"/>
        </w:rPr>
        <w:t>. Les Act</w:t>
      </w:r>
      <w:r>
        <w:rPr>
          <w:lang w:val="fr-CH"/>
        </w:rPr>
        <w:t>es finals provisoires de la CMR-</w:t>
      </w:r>
      <w:r w:rsidR="00002B46" w:rsidRPr="008653E6">
        <w:rPr>
          <w:lang w:val="fr-CH"/>
        </w:rPr>
        <w:t>15 sont également accessibles au p</w:t>
      </w:r>
      <w:r>
        <w:rPr>
          <w:lang w:val="fr-CH"/>
        </w:rPr>
        <w:t>ublic,</w:t>
      </w:r>
      <w:r w:rsidR="00002B46" w:rsidRPr="008653E6">
        <w:rPr>
          <w:lang w:val="fr-CH"/>
        </w:rPr>
        <w:t xml:space="preserve"> étant donné qu</w:t>
      </w:r>
      <w:r w:rsidR="00D3135C">
        <w:rPr>
          <w:lang w:val="fr-CH"/>
        </w:rPr>
        <w:t>'</w:t>
      </w:r>
      <w:r w:rsidR="00002B46" w:rsidRPr="008653E6">
        <w:rPr>
          <w:lang w:val="fr-CH"/>
        </w:rPr>
        <w:t>ils sont considérés comme les principaux résultats de la conférence.</w:t>
      </w:r>
      <w:bookmarkEnd w:id="26"/>
    </w:p>
    <w:p w:rsidR="00002B46" w:rsidRPr="009E42AD" w:rsidRDefault="00002B46" w:rsidP="00002B46">
      <w:pPr>
        <w:rPr>
          <w:rFonts w:eastAsia="Arial Unicode MS"/>
        </w:rPr>
      </w:pPr>
      <w:bookmarkStart w:id="27" w:name="lt_pId395"/>
      <w:r w:rsidRPr="008653E6">
        <w:rPr>
          <w:lang w:val="fr-CH"/>
        </w:rPr>
        <w:t xml:space="preserve">Les séances plénières, ainsi que les séances des commissions et </w:t>
      </w:r>
      <w:r w:rsidR="005106DB">
        <w:rPr>
          <w:lang w:val="fr-CH"/>
        </w:rPr>
        <w:t>des groupes de travail</w:t>
      </w:r>
      <w:r w:rsidRPr="008653E6">
        <w:rPr>
          <w:lang w:val="fr-CH"/>
        </w:rPr>
        <w:t xml:space="preserve">, ont été </w:t>
      </w:r>
      <w:r w:rsidRPr="008653E6">
        <w:rPr>
          <w:color w:val="000000"/>
        </w:rPr>
        <w:t xml:space="preserve">retransmises en direct </w:t>
      </w:r>
      <w:r w:rsidRPr="008653E6">
        <w:rPr>
          <w:lang w:val="fr-CH"/>
        </w:rPr>
        <w:t xml:space="preserve">sur le web </w:t>
      </w:r>
      <w:r w:rsidRPr="008653E6">
        <w:rPr>
          <w:color w:val="000000"/>
        </w:rPr>
        <w:t>et sous-titrées à l</w:t>
      </w:r>
      <w:r w:rsidR="00D3135C">
        <w:rPr>
          <w:color w:val="000000"/>
        </w:rPr>
        <w:t>'</w:t>
      </w:r>
      <w:r w:rsidRPr="008653E6">
        <w:rPr>
          <w:color w:val="000000"/>
        </w:rPr>
        <w:t>intention des utilisateurs du système</w:t>
      </w:r>
      <w:r w:rsidRPr="008653E6">
        <w:rPr>
          <w:rFonts w:eastAsia="Arial Unicode MS"/>
          <w:bCs/>
          <w:szCs w:val="24"/>
          <w:lang w:val="fr-CH"/>
        </w:rPr>
        <w:t xml:space="preserve"> TIES pendant la conférence</w:t>
      </w:r>
      <w:r w:rsidRPr="008653E6">
        <w:rPr>
          <w:color w:val="000000"/>
        </w:rPr>
        <w:t>; les fichiers (archives) correspondants peuvent être consultés par les utilisateurs du système</w:t>
      </w:r>
      <w:r w:rsidRPr="008653E6">
        <w:rPr>
          <w:rFonts w:eastAsia="Arial Unicode MS"/>
          <w:bCs/>
          <w:szCs w:val="24"/>
          <w:lang w:val="fr-CH"/>
        </w:rPr>
        <w:t xml:space="preserve"> TIES</w:t>
      </w:r>
      <w:r w:rsidRPr="008653E6">
        <w:rPr>
          <w:color w:val="000000"/>
        </w:rPr>
        <w:t xml:space="preserve"> sur le site web de</w:t>
      </w:r>
      <w:r w:rsidRPr="008653E6">
        <w:rPr>
          <w:lang w:val="fr-CH"/>
        </w:rPr>
        <w:t xml:space="preserve"> la </w:t>
      </w:r>
      <w:r w:rsidR="005106DB">
        <w:rPr>
          <w:rFonts w:eastAsia="Arial Unicode MS"/>
          <w:bCs/>
          <w:szCs w:val="24"/>
          <w:lang w:val="fr-CH"/>
        </w:rPr>
        <w:t>CMR</w:t>
      </w:r>
      <w:r w:rsidRPr="008653E6">
        <w:rPr>
          <w:rFonts w:eastAsia="Arial Unicode MS"/>
          <w:bCs/>
          <w:szCs w:val="24"/>
          <w:lang w:val="fr-CH"/>
        </w:rPr>
        <w:t>-15</w:t>
      </w:r>
      <w:bookmarkEnd w:id="27"/>
      <w:r w:rsidR="005106DB">
        <w:rPr>
          <w:rFonts w:eastAsia="Arial Unicode MS"/>
          <w:bCs/>
          <w:szCs w:val="24"/>
          <w:lang w:val="fr-CH"/>
        </w:rPr>
        <w:t>.</w:t>
      </w:r>
    </w:p>
    <w:p w:rsidR="00002B46" w:rsidRPr="009E42AD" w:rsidRDefault="00002B46" w:rsidP="001C1296">
      <w:bookmarkStart w:id="28" w:name="lt_pId396"/>
      <w:r w:rsidRPr="001C1296">
        <w:rPr>
          <w:lang w:val="fr-CH"/>
        </w:rPr>
        <w:t xml:space="preserve">Des informations complètes sur la </w:t>
      </w:r>
      <w:r w:rsidR="005106DB" w:rsidRPr="001C1296">
        <w:rPr>
          <w:lang w:val="fr-CH"/>
        </w:rPr>
        <w:t>CMR</w:t>
      </w:r>
      <w:r w:rsidRPr="001C1296">
        <w:rPr>
          <w:lang w:val="fr-CH"/>
        </w:rPr>
        <w:t>-15</w:t>
      </w:r>
      <w:r w:rsidR="005106DB" w:rsidRPr="001C1296">
        <w:rPr>
          <w:lang w:val="fr-CH"/>
        </w:rPr>
        <w:t>, y compris</w:t>
      </w:r>
      <w:r w:rsidRPr="001C1296">
        <w:rPr>
          <w:lang w:val="fr-CH"/>
        </w:rPr>
        <w:t xml:space="preserve"> les</w:t>
      </w:r>
      <w:r w:rsidRPr="008653E6">
        <w:rPr>
          <w:lang w:val="fr-CH"/>
        </w:rPr>
        <w:t xml:space="preserve"> Actes finals provisoires</w:t>
      </w:r>
      <w:r w:rsidR="005106DB">
        <w:rPr>
          <w:lang w:val="fr-CH"/>
        </w:rPr>
        <w:t xml:space="preserve"> et</w:t>
      </w:r>
      <w:r w:rsidRPr="008653E6">
        <w:rPr>
          <w:lang w:val="fr-CH"/>
        </w:rPr>
        <w:t xml:space="preserve"> tous les </w:t>
      </w:r>
      <w:r w:rsidRPr="001C1296">
        <w:rPr>
          <w:lang w:val="fr-CH"/>
        </w:rPr>
        <w:t xml:space="preserve">documents, photos et </w:t>
      </w:r>
      <w:r w:rsidR="005106DB" w:rsidRPr="001C1296">
        <w:rPr>
          <w:lang w:val="fr-CH"/>
        </w:rPr>
        <w:t xml:space="preserve">vidéos </w:t>
      </w:r>
      <w:r w:rsidRPr="001C1296">
        <w:rPr>
          <w:lang w:val="fr-CH"/>
        </w:rPr>
        <w:t>sont disponibles à l</w:t>
      </w:r>
      <w:r w:rsidR="00D3135C" w:rsidRPr="001C1296">
        <w:rPr>
          <w:lang w:val="fr-CH"/>
        </w:rPr>
        <w:t>'</w:t>
      </w:r>
      <w:r w:rsidRPr="001C1296">
        <w:rPr>
          <w:lang w:val="fr-CH"/>
        </w:rPr>
        <w:t>adresse:</w:t>
      </w:r>
      <w:r w:rsidRPr="008653E6">
        <w:rPr>
          <w:szCs w:val="24"/>
          <w:lang w:val="fr-CH"/>
        </w:rPr>
        <w:t xml:space="preserve"> </w:t>
      </w:r>
      <w:hyperlink r:id="rId22" w:history="1">
        <w:bookmarkEnd w:id="28"/>
        <w:r w:rsidR="005106DB">
          <w:rPr>
            <w:rStyle w:val="Hyperlink"/>
            <w:szCs w:val="24"/>
            <w:lang w:val="fr-CH"/>
          </w:rPr>
          <w:t>http://www.itu.int/en/ITU-R/conferences/wrc/2015</w:t>
        </w:r>
      </w:hyperlink>
      <w:r w:rsidR="005106DB" w:rsidRPr="005106DB">
        <w:t>.</w:t>
      </w:r>
    </w:p>
    <w:p w:rsidR="00002B46" w:rsidRPr="008653E6" w:rsidRDefault="005106DB" w:rsidP="005106DB">
      <w:pPr>
        <w:pStyle w:val="Heading3"/>
        <w:rPr>
          <w:lang w:val="fr-CH"/>
        </w:rPr>
      </w:pPr>
      <w:r>
        <w:rPr>
          <w:lang w:val="fr-CH"/>
        </w:rPr>
        <w:t>3.2.3</w:t>
      </w:r>
      <w:r>
        <w:rPr>
          <w:lang w:val="fr-CH"/>
        </w:rPr>
        <w:tab/>
      </w:r>
      <w:r w:rsidR="00002B46" w:rsidRPr="008653E6">
        <w:rPr>
          <w:lang w:val="fr-CH"/>
        </w:rPr>
        <w:t>Incidences financières des décisions de la CMR-15</w:t>
      </w:r>
    </w:p>
    <w:p w:rsidR="00002B46" w:rsidRPr="001C1296" w:rsidRDefault="005106DB" w:rsidP="001C1296">
      <w:pPr>
        <w:rPr>
          <w:lang w:val="fr-CH"/>
        </w:rPr>
      </w:pPr>
      <w:r w:rsidRPr="001C1296">
        <w:rPr>
          <w:lang w:val="fr-CH"/>
        </w:rPr>
        <w:t>L</w:t>
      </w:r>
      <w:r w:rsidR="00002B46" w:rsidRPr="001C1296">
        <w:rPr>
          <w:lang w:val="fr-CH"/>
        </w:rPr>
        <w:t xml:space="preserve">a </w:t>
      </w:r>
      <w:r w:rsidRPr="001C1296">
        <w:rPr>
          <w:lang w:val="fr-CH"/>
        </w:rPr>
        <w:t>CMR</w:t>
      </w:r>
      <w:r w:rsidR="00002B46" w:rsidRPr="001C1296">
        <w:rPr>
          <w:lang w:val="fr-CH"/>
        </w:rPr>
        <w:t xml:space="preserve">-15 </w:t>
      </w:r>
      <w:r>
        <w:rPr>
          <w:lang w:val="fr-CH"/>
        </w:rPr>
        <w:t>a modifié</w:t>
      </w:r>
      <w:r w:rsidR="00002B46" w:rsidRPr="008653E6">
        <w:rPr>
          <w:lang w:val="fr-CH"/>
        </w:rPr>
        <w:t xml:space="preserve"> des </w:t>
      </w:r>
      <w:r>
        <w:rPr>
          <w:lang w:val="fr-CH"/>
        </w:rPr>
        <w:t>R</w:t>
      </w:r>
      <w:r w:rsidR="00002B46" w:rsidRPr="008653E6">
        <w:rPr>
          <w:lang w:val="fr-CH"/>
        </w:rPr>
        <w:t>ésolutions existantes et adopté de nouvelles Résolutions ayant des incidences financières pour l</w:t>
      </w:r>
      <w:r w:rsidR="00D3135C">
        <w:rPr>
          <w:lang w:val="fr-CH"/>
        </w:rPr>
        <w:t>'</w:t>
      </w:r>
      <w:r w:rsidR="00002B46" w:rsidRPr="008653E6">
        <w:rPr>
          <w:lang w:val="fr-CH"/>
        </w:rPr>
        <w:t xml:space="preserve">Union </w:t>
      </w:r>
      <w:r w:rsidRPr="001C1296">
        <w:rPr>
          <w:lang w:val="fr-CH"/>
        </w:rPr>
        <w:t>sur le plan des</w:t>
      </w:r>
      <w:r w:rsidR="00002B46" w:rsidRPr="001C1296">
        <w:rPr>
          <w:lang w:val="fr-CH"/>
        </w:rPr>
        <w:t xml:space="preserve"> </w:t>
      </w:r>
      <w:r w:rsidR="00002B46" w:rsidRPr="008653E6">
        <w:rPr>
          <w:lang w:val="fr-CH"/>
        </w:rPr>
        <w:t xml:space="preserve">dépenses additionnelles. </w:t>
      </w:r>
      <w:r w:rsidR="00002B46" w:rsidRPr="001C1296">
        <w:rPr>
          <w:lang w:val="fr-CH"/>
        </w:rPr>
        <w:t>Ces Résolutions sont les suivantes:</w:t>
      </w:r>
    </w:p>
    <w:p w:rsidR="00002B46" w:rsidRPr="005106DB" w:rsidRDefault="00002B46" w:rsidP="00BE0203">
      <w:pPr>
        <w:pStyle w:val="enumlev1"/>
      </w:pPr>
      <w:r w:rsidRPr="005106DB">
        <w:t>•</w:t>
      </w:r>
      <w:r w:rsidRPr="005106DB">
        <w:tab/>
      </w:r>
      <w:r w:rsidRPr="005106DB">
        <w:rPr>
          <w:b/>
          <w:bCs/>
        </w:rPr>
        <w:t>Résolution 907 (Rév.CMR-15)</w:t>
      </w:r>
      <w:r w:rsidR="00BE0203" w:rsidRPr="00BE0203">
        <w:t>:</w:t>
      </w:r>
      <w:r w:rsidRPr="005106DB">
        <w:t xml:space="preserve"> Utilisation de moyens modernes de communication électroniques pour la correspondance administrative concernant la publication anticipée, la coordination et la notification des réseaux à satellite, y compris celle concernant les Appendices 30, 30A et 30B, les stations terriennes et les stations de radioastronomie.</w:t>
      </w:r>
    </w:p>
    <w:p w:rsidR="00002B46" w:rsidRPr="005106DB" w:rsidRDefault="00002B46" w:rsidP="00BE0203">
      <w:pPr>
        <w:pStyle w:val="enumlev1"/>
      </w:pPr>
      <w:r w:rsidRPr="005106DB">
        <w:t>•</w:t>
      </w:r>
      <w:r w:rsidRPr="005106DB">
        <w:tab/>
      </w:r>
      <w:r w:rsidRPr="005106DB">
        <w:rPr>
          <w:b/>
          <w:bCs/>
        </w:rPr>
        <w:t>Résolution 908 (Rév.CMR-15)</w:t>
      </w:r>
      <w:r w:rsidR="00BE0203" w:rsidRPr="00BE0203">
        <w:t>:</w:t>
      </w:r>
      <w:r w:rsidRPr="005106DB">
        <w:t xml:space="preserve"> Soumission et publication par voie électronique des fiches de notifications des réseaux à satellite.</w:t>
      </w:r>
    </w:p>
    <w:p w:rsidR="00002B46" w:rsidRPr="008653E6" w:rsidRDefault="00002B46" w:rsidP="001C1296">
      <w:pPr>
        <w:pStyle w:val="enumlev1"/>
      </w:pPr>
      <w:r w:rsidRPr="008653E6">
        <w:t>•</w:t>
      </w:r>
      <w:r w:rsidRPr="008653E6">
        <w:tab/>
      </w:r>
      <w:r w:rsidRPr="008653E6">
        <w:rPr>
          <w:b/>
          <w:bCs/>
        </w:rPr>
        <w:t>Résolution 238 (CMR-15)</w:t>
      </w:r>
      <w:r w:rsidRPr="008653E6">
        <w:t>: Etudes sur les questions liées aux fréquences en vue de l</w:t>
      </w:r>
      <w:r w:rsidR="00D3135C">
        <w:t>'</w:t>
      </w:r>
      <w:r w:rsidRPr="008653E6">
        <w:t>identification des bandes de fréquences pour les IMT, y compris des attributions additionnelles possibles à titre primaire au service mobile dans une ou plusieurs parties de la gamme de fréquences comprise entre 24, 25 et 86 GHz pour le développement futur des IMT à l</w:t>
      </w:r>
      <w:r w:rsidR="00D3135C">
        <w:t>'</w:t>
      </w:r>
      <w:r w:rsidRPr="008653E6">
        <w:t>horizon 2020 et au-delà.</w:t>
      </w:r>
    </w:p>
    <w:p w:rsidR="00002B46" w:rsidRDefault="005106DB" w:rsidP="00BE0203">
      <w:pPr>
        <w:rPr>
          <w:rFonts w:asciiTheme="minorHAnsi" w:hAnsiTheme="minorHAnsi" w:cstheme="minorHAnsi"/>
          <w:lang w:val="fr-CH"/>
        </w:rPr>
      </w:pPr>
      <w:r>
        <w:rPr>
          <w:lang w:val="fr-CH"/>
        </w:rPr>
        <w:t xml:space="preserve">On trouvera dans le </w:t>
      </w:r>
      <w:r w:rsidR="00BE0203">
        <w:rPr>
          <w:lang w:val="fr-CH"/>
        </w:rPr>
        <w:t>t</w:t>
      </w:r>
      <w:r>
        <w:rPr>
          <w:lang w:val="fr-CH"/>
        </w:rPr>
        <w:t>ableau</w:t>
      </w:r>
      <w:r w:rsidR="00002B46" w:rsidRPr="008653E6">
        <w:rPr>
          <w:lang w:val="fr-CH"/>
        </w:rPr>
        <w:t xml:space="preserve"> ci-dessous le réc</w:t>
      </w:r>
      <w:r>
        <w:rPr>
          <w:lang w:val="fr-CH"/>
        </w:rPr>
        <w:t>apitulatif de ces décisions et</w:t>
      </w:r>
      <w:r w:rsidR="00002B46" w:rsidRPr="008653E6">
        <w:rPr>
          <w:lang w:val="fr-CH"/>
        </w:rPr>
        <w:t xml:space="preserve"> leurs incidences financières respectives</w:t>
      </w:r>
      <w:r w:rsidR="00002B46" w:rsidRPr="008653E6">
        <w:rPr>
          <w:rFonts w:asciiTheme="minorHAnsi" w:hAnsiTheme="minorHAnsi" w:cstheme="minorHAnsi"/>
          <w:lang w:val="fr-CH"/>
        </w:rPr>
        <w:t>:</w:t>
      </w:r>
    </w:p>
    <w:tbl>
      <w:tblPr>
        <w:tblStyle w:val="TableGrid"/>
        <w:tblW w:w="0" w:type="auto"/>
        <w:tblLook w:val="04A0" w:firstRow="1" w:lastRow="0" w:firstColumn="1" w:lastColumn="0" w:noHBand="0" w:noVBand="1"/>
      </w:tblPr>
      <w:tblGrid>
        <w:gridCol w:w="7674"/>
        <w:gridCol w:w="1819"/>
      </w:tblGrid>
      <w:tr w:rsidR="009B2A62" w:rsidRPr="00E43943" w:rsidTr="009B2A62">
        <w:tc>
          <w:tcPr>
            <w:tcW w:w="7674" w:type="dxa"/>
          </w:tcPr>
          <w:p w:rsidR="009B2A62" w:rsidRPr="00FD777A" w:rsidRDefault="009B2A62" w:rsidP="009B2A62">
            <w:pPr>
              <w:pStyle w:val="Tablehead"/>
              <w:rPr>
                <w:szCs w:val="24"/>
              </w:rPr>
            </w:pPr>
            <w:r w:rsidRPr="00FD777A">
              <w:rPr>
                <w:szCs w:val="24"/>
              </w:rPr>
              <w:t>R</w:t>
            </w:r>
            <w:r>
              <w:rPr>
                <w:szCs w:val="24"/>
              </w:rPr>
              <w:t>é</w:t>
            </w:r>
            <w:r w:rsidRPr="00FD777A">
              <w:rPr>
                <w:szCs w:val="24"/>
              </w:rPr>
              <w:t>solution</w:t>
            </w:r>
          </w:p>
        </w:tc>
        <w:tc>
          <w:tcPr>
            <w:tcW w:w="1819" w:type="dxa"/>
          </w:tcPr>
          <w:p w:rsidR="009B2A62" w:rsidRPr="00FD777A" w:rsidRDefault="009B2A62" w:rsidP="00E3472E">
            <w:pPr>
              <w:pStyle w:val="Tablehead"/>
              <w:rPr>
                <w:szCs w:val="24"/>
              </w:rPr>
            </w:pPr>
            <w:r>
              <w:rPr>
                <w:szCs w:val="24"/>
              </w:rPr>
              <w:t>Montant</w:t>
            </w:r>
            <w:r w:rsidRPr="00FD777A">
              <w:rPr>
                <w:szCs w:val="24"/>
              </w:rPr>
              <w:t xml:space="preserve"> (CHF)</w:t>
            </w:r>
          </w:p>
        </w:tc>
      </w:tr>
      <w:tr w:rsidR="009B2A62" w:rsidRPr="00E43943" w:rsidTr="009B2A62">
        <w:tc>
          <w:tcPr>
            <w:tcW w:w="7674" w:type="dxa"/>
          </w:tcPr>
          <w:p w:rsidR="009B2A62" w:rsidRPr="00FD777A" w:rsidRDefault="009B2A62" w:rsidP="00E3472E">
            <w:pPr>
              <w:pStyle w:val="Tabletext"/>
              <w:rPr>
                <w:szCs w:val="24"/>
              </w:rPr>
            </w:pPr>
            <w:r w:rsidRPr="008653E6">
              <w:rPr>
                <w:color w:val="000000"/>
                <w:lang w:val="fr-CH"/>
              </w:rPr>
              <w:t>Utilisation de moyens modernes de communication électroniques pour la correspondance administrative concernant la publication anticipée, la coordination et la notification des réseaux à satellite, y compris ceux relevant des Appendices 30, 30A et 30B, des stations terriennes et des stations de radioastronomie</w:t>
            </w:r>
            <w:r w:rsidRPr="008653E6">
              <w:rPr>
                <w:rFonts w:asciiTheme="minorHAnsi" w:hAnsiTheme="minorHAnsi"/>
                <w:szCs w:val="22"/>
                <w:lang w:val="fr-CH"/>
              </w:rPr>
              <w:t xml:space="preserve">. </w:t>
            </w:r>
            <w:r>
              <w:rPr>
                <w:b/>
                <w:bCs/>
                <w:color w:val="000000"/>
                <w:lang w:val="fr-CH"/>
              </w:rPr>
              <w:t>Résolution </w:t>
            </w:r>
            <w:r w:rsidRPr="009B2A62">
              <w:rPr>
                <w:b/>
                <w:bCs/>
                <w:color w:val="000000"/>
                <w:lang w:val="fr-CH"/>
              </w:rPr>
              <w:t>907 (Rév.CMR</w:t>
            </w:r>
            <w:r w:rsidRPr="009B2A62">
              <w:rPr>
                <w:b/>
                <w:bCs/>
                <w:color w:val="000000"/>
                <w:lang w:val="fr-CH"/>
              </w:rPr>
              <w:noBreakHyphen/>
              <w:t>15)</w:t>
            </w:r>
          </w:p>
        </w:tc>
        <w:tc>
          <w:tcPr>
            <w:tcW w:w="1819" w:type="dxa"/>
          </w:tcPr>
          <w:p w:rsidR="009B2A62" w:rsidRPr="00FD777A" w:rsidRDefault="009B2A62" w:rsidP="00E3472E">
            <w:pPr>
              <w:pStyle w:val="Tabletext"/>
              <w:jc w:val="center"/>
              <w:rPr>
                <w:szCs w:val="24"/>
              </w:rPr>
            </w:pPr>
            <w:r w:rsidRPr="00FD777A">
              <w:rPr>
                <w:szCs w:val="24"/>
              </w:rPr>
              <w:t>350 000</w:t>
            </w:r>
          </w:p>
        </w:tc>
      </w:tr>
      <w:tr w:rsidR="009B2A62" w:rsidRPr="00E43943" w:rsidTr="009B2A62">
        <w:trPr>
          <w:trHeight w:val="477"/>
        </w:trPr>
        <w:tc>
          <w:tcPr>
            <w:tcW w:w="7674" w:type="dxa"/>
          </w:tcPr>
          <w:p w:rsidR="009B2A62" w:rsidRPr="00FD777A" w:rsidRDefault="009B2A62" w:rsidP="009B2A62">
            <w:pPr>
              <w:pStyle w:val="Tabletext"/>
              <w:rPr>
                <w:b/>
                <w:bCs/>
                <w:szCs w:val="24"/>
              </w:rPr>
            </w:pPr>
            <w:r w:rsidRPr="008653E6">
              <w:rPr>
                <w:color w:val="000000"/>
                <w:lang w:val="fr-CH"/>
              </w:rPr>
              <w:t>Soumission et publication par voie électronique des fiches de notification des réseaux à satellite</w:t>
            </w:r>
            <w:r w:rsidRPr="008653E6">
              <w:rPr>
                <w:rFonts w:asciiTheme="minorHAnsi" w:hAnsiTheme="minorHAnsi"/>
                <w:szCs w:val="22"/>
                <w:lang w:val="fr-CH"/>
              </w:rPr>
              <w:t>.</w:t>
            </w:r>
            <w:r w:rsidRPr="009B2A62">
              <w:rPr>
                <w:szCs w:val="24"/>
                <w:lang w:val="fr-CH"/>
              </w:rPr>
              <w:t xml:space="preserve"> </w:t>
            </w:r>
            <w:r>
              <w:rPr>
                <w:b/>
                <w:bCs/>
                <w:szCs w:val="24"/>
              </w:rPr>
              <w:t>Résolution 908 (Rév.CMR</w:t>
            </w:r>
            <w:r w:rsidRPr="00FD777A">
              <w:rPr>
                <w:b/>
                <w:bCs/>
                <w:szCs w:val="24"/>
              </w:rPr>
              <w:noBreakHyphen/>
              <w:t>15)</w:t>
            </w:r>
          </w:p>
        </w:tc>
        <w:tc>
          <w:tcPr>
            <w:tcW w:w="1819" w:type="dxa"/>
          </w:tcPr>
          <w:p w:rsidR="009B2A62" w:rsidRPr="00FD777A" w:rsidRDefault="009B2A62" w:rsidP="00E3472E">
            <w:pPr>
              <w:pStyle w:val="Tabletext"/>
              <w:jc w:val="center"/>
              <w:rPr>
                <w:szCs w:val="24"/>
              </w:rPr>
            </w:pPr>
            <w:r w:rsidRPr="00FD777A">
              <w:rPr>
                <w:szCs w:val="24"/>
              </w:rPr>
              <w:t>200 000</w:t>
            </w:r>
          </w:p>
        </w:tc>
      </w:tr>
      <w:tr w:rsidR="009B2A62" w:rsidRPr="00E43943" w:rsidTr="009B2A62">
        <w:trPr>
          <w:trHeight w:val="789"/>
        </w:trPr>
        <w:tc>
          <w:tcPr>
            <w:tcW w:w="7674" w:type="dxa"/>
          </w:tcPr>
          <w:p w:rsidR="009B2A62" w:rsidRPr="00FD777A" w:rsidRDefault="009B2A62" w:rsidP="009B2A62">
            <w:pPr>
              <w:pStyle w:val="Tabletext"/>
              <w:rPr>
                <w:szCs w:val="24"/>
              </w:rPr>
            </w:pPr>
            <w:r w:rsidRPr="008653E6">
              <w:rPr>
                <w:color w:val="000000"/>
                <w:lang w:val="fr-CH"/>
              </w:rPr>
              <w:t>Etudes sur les questions liées aux fréquences en vue de l</w:t>
            </w:r>
            <w:r w:rsidR="00D3135C">
              <w:rPr>
                <w:color w:val="000000"/>
                <w:lang w:val="fr-CH"/>
              </w:rPr>
              <w:t>'</w:t>
            </w:r>
            <w:r w:rsidRPr="008653E6">
              <w:rPr>
                <w:color w:val="000000"/>
                <w:lang w:val="fr-CH"/>
              </w:rPr>
              <w:t>identification des bandes de fréquences pour les IMT, y compris des attributions additionnelles possibles à titre primaire au service mobile dans une ou plusieurs parties de la gamme de fréquences comprise entre 24,25 et 86 GHz pour le développement futur des IMT à l</w:t>
            </w:r>
            <w:r w:rsidR="00D3135C">
              <w:rPr>
                <w:color w:val="000000"/>
                <w:lang w:val="fr-CH"/>
              </w:rPr>
              <w:t>'</w:t>
            </w:r>
            <w:r w:rsidRPr="008653E6">
              <w:rPr>
                <w:color w:val="000000"/>
                <w:lang w:val="fr-CH"/>
              </w:rPr>
              <w:t>horizon 2020 et au-delà</w:t>
            </w:r>
            <w:r w:rsidRPr="008653E6">
              <w:rPr>
                <w:rFonts w:asciiTheme="minorHAnsi" w:hAnsiTheme="minorHAnsi"/>
                <w:szCs w:val="22"/>
                <w:lang w:val="fr-CH"/>
              </w:rPr>
              <w:t xml:space="preserve">. </w:t>
            </w:r>
            <w:r w:rsidRPr="009B2A62">
              <w:rPr>
                <w:b/>
                <w:bCs/>
                <w:color w:val="000000"/>
                <w:lang w:val="fr-CH"/>
              </w:rPr>
              <w:t>Résolution 238 (CMR</w:t>
            </w:r>
            <w:r w:rsidRPr="009B2A62">
              <w:rPr>
                <w:b/>
                <w:bCs/>
                <w:color w:val="000000"/>
                <w:lang w:val="fr-CH"/>
              </w:rPr>
              <w:noBreakHyphen/>
              <w:t>15)</w:t>
            </w:r>
            <w:r w:rsidRPr="008653E6">
              <w:rPr>
                <w:rFonts w:asciiTheme="minorHAnsi" w:hAnsiTheme="minorHAnsi"/>
                <w:szCs w:val="22"/>
                <w:lang w:val="fr-CH"/>
              </w:rPr>
              <w:t xml:space="preserve"> </w:t>
            </w:r>
            <w:r w:rsidRPr="00D04881">
              <w:rPr>
                <w:color w:val="000000"/>
                <w:lang w:val="fr-CH"/>
              </w:rPr>
              <w:t>(anciennement Rés. COM6/20)</w:t>
            </w:r>
          </w:p>
        </w:tc>
        <w:tc>
          <w:tcPr>
            <w:tcW w:w="1819" w:type="dxa"/>
          </w:tcPr>
          <w:p w:rsidR="009B2A62" w:rsidRPr="00FD777A" w:rsidRDefault="009B2A62" w:rsidP="00E3472E">
            <w:pPr>
              <w:pStyle w:val="Tabletext"/>
              <w:jc w:val="center"/>
              <w:rPr>
                <w:szCs w:val="24"/>
              </w:rPr>
            </w:pPr>
            <w:r w:rsidRPr="00FD777A">
              <w:rPr>
                <w:szCs w:val="24"/>
              </w:rPr>
              <w:t>280 000</w:t>
            </w:r>
          </w:p>
        </w:tc>
      </w:tr>
      <w:tr w:rsidR="009B2A62" w:rsidRPr="00E43943" w:rsidTr="009B2A62">
        <w:trPr>
          <w:trHeight w:val="275"/>
        </w:trPr>
        <w:tc>
          <w:tcPr>
            <w:tcW w:w="7674" w:type="dxa"/>
            <w:shd w:val="clear" w:color="auto" w:fill="auto"/>
          </w:tcPr>
          <w:p w:rsidR="009B2A62" w:rsidRPr="00FD777A" w:rsidRDefault="009B2A62" w:rsidP="00E3472E">
            <w:pPr>
              <w:pStyle w:val="Tabletext"/>
              <w:rPr>
                <w:b/>
                <w:caps/>
                <w:szCs w:val="24"/>
                <w:highlight w:val="yellow"/>
              </w:rPr>
            </w:pPr>
            <w:r w:rsidRPr="00FD777A">
              <w:rPr>
                <w:b/>
                <w:szCs w:val="24"/>
              </w:rPr>
              <w:t>Total</w:t>
            </w:r>
          </w:p>
        </w:tc>
        <w:tc>
          <w:tcPr>
            <w:tcW w:w="1819" w:type="dxa"/>
          </w:tcPr>
          <w:p w:rsidR="009B2A62" w:rsidRPr="00FD777A" w:rsidRDefault="009B2A62" w:rsidP="00E3472E">
            <w:pPr>
              <w:pStyle w:val="Tabletext"/>
              <w:jc w:val="center"/>
              <w:rPr>
                <w:b/>
                <w:szCs w:val="24"/>
                <w:highlight w:val="yellow"/>
              </w:rPr>
            </w:pPr>
            <w:r w:rsidRPr="00FD777A">
              <w:rPr>
                <w:b/>
                <w:szCs w:val="24"/>
              </w:rPr>
              <w:t>830 000</w:t>
            </w:r>
          </w:p>
        </w:tc>
      </w:tr>
    </w:tbl>
    <w:p w:rsidR="009B2A62" w:rsidRPr="008653E6" w:rsidRDefault="00230501" w:rsidP="009B2A62">
      <w:pPr>
        <w:rPr>
          <w:rFonts w:asciiTheme="minorHAnsi" w:hAnsiTheme="minorHAnsi" w:cstheme="minorHAnsi"/>
          <w:szCs w:val="24"/>
          <w:lang w:val="fr-CH"/>
        </w:rPr>
      </w:pPr>
      <w:r>
        <w:rPr>
          <w:lang w:val="fr-CH"/>
        </w:rPr>
        <w:t xml:space="preserve">Compte tenu </w:t>
      </w:r>
      <w:r w:rsidR="009B2A62" w:rsidRPr="008653E6">
        <w:rPr>
          <w:lang w:val="fr-CH"/>
        </w:rPr>
        <w:t>de l</w:t>
      </w:r>
      <w:r w:rsidR="00D3135C">
        <w:rPr>
          <w:lang w:val="fr-CH"/>
        </w:rPr>
        <w:t>'</w:t>
      </w:r>
      <w:r w:rsidR="009B2A62" w:rsidRPr="008653E6">
        <w:rPr>
          <w:lang w:val="fr-CH"/>
        </w:rPr>
        <w:t>analyse ci-dessus des incidences financières résultant des diverses décisions et Résolutions, le montant total est estimé à 830 000 CHF. La mise en oeuvre de ces activités sera, dans un premier temps, couverte par des économies réalisées dans le cadre du budget alloué. Toutefois, si le Bureau n</w:t>
      </w:r>
      <w:r w:rsidR="00D3135C">
        <w:rPr>
          <w:lang w:val="fr-CH"/>
        </w:rPr>
        <w:t>'</w:t>
      </w:r>
      <w:r w:rsidR="009B2A62" w:rsidRPr="008653E6">
        <w:rPr>
          <w:lang w:val="fr-CH"/>
        </w:rPr>
        <w:t>est pas en mesure d</w:t>
      </w:r>
      <w:r w:rsidR="00D3135C">
        <w:rPr>
          <w:lang w:val="fr-CH"/>
        </w:rPr>
        <w:t>'</w:t>
      </w:r>
      <w:r w:rsidR="009B2A62" w:rsidRPr="008653E6">
        <w:rPr>
          <w:lang w:val="fr-CH"/>
        </w:rPr>
        <w:t>assurer le financement de ces activités dans les limites des crédits actuels, d</w:t>
      </w:r>
      <w:r w:rsidR="00D3135C">
        <w:rPr>
          <w:lang w:val="fr-CH"/>
        </w:rPr>
        <w:t>'</w:t>
      </w:r>
      <w:r w:rsidR="009B2A62" w:rsidRPr="008653E6">
        <w:rPr>
          <w:lang w:val="fr-CH"/>
        </w:rPr>
        <w:t>autres sources de financement pourront être envisagées</w:t>
      </w:r>
      <w:r w:rsidR="009B2A62" w:rsidRPr="008653E6">
        <w:rPr>
          <w:rFonts w:asciiTheme="minorHAnsi" w:hAnsiTheme="minorHAnsi" w:cstheme="minorHAnsi"/>
          <w:szCs w:val="24"/>
          <w:lang w:val="fr-CH"/>
        </w:rPr>
        <w:t>.</w:t>
      </w:r>
    </w:p>
    <w:p w:rsidR="009B2A62" w:rsidRPr="008653E6" w:rsidRDefault="00230501" w:rsidP="009B2A62">
      <w:pPr>
        <w:pStyle w:val="Heading3"/>
        <w:rPr>
          <w:rFonts w:asciiTheme="minorHAnsi" w:hAnsiTheme="minorHAnsi"/>
          <w:b w:val="0"/>
          <w:bCs/>
          <w:szCs w:val="22"/>
          <w:lang w:val="fr-CH"/>
        </w:rPr>
      </w:pPr>
      <w:r>
        <w:rPr>
          <w:lang w:val="fr-CH"/>
        </w:rPr>
        <w:t>3.2.4</w:t>
      </w:r>
      <w:r>
        <w:rPr>
          <w:lang w:val="fr-CH"/>
        </w:rPr>
        <w:tab/>
      </w:r>
      <w:r w:rsidR="009B2A62" w:rsidRPr="008653E6">
        <w:rPr>
          <w:lang w:val="fr-CH"/>
        </w:rPr>
        <w:t xml:space="preserve">Conception de logiciels en application des décisions de la </w:t>
      </w:r>
      <w:r w:rsidR="009B2A62" w:rsidRPr="00230501">
        <w:rPr>
          <w:lang w:val="fr-CH"/>
        </w:rPr>
        <w:t>CMR</w:t>
      </w:r>
      <w:r w:rsidR="009B2A62" w:rsidRPr="00230501">
        <w:rPr>
          <w:lang w:val="fr-CH"/>
        </w:rPr>
        <w:noBreakHyphen/>
        <w:t>15</w:t>
      </w:r>
    </w:p>
    <w:p w:rsidR="009B2A62" w:rsidRPr="008653E6" w:rsidRDefault="009B2A62" w:rsidP="00230501">
      <w:pPr>
        <w:rPr>
          <w:lang w:val="fr-CH"/>
        </w:rPr>
      </w:pPr>
      <w:r w:rsidRPr="008653E6">
        <w:rPr>
          <w:lang w:val="fr-CH"/>
        </w:rPr>
        <w:t xml:space="preserve">Le BR </w:t>
      </w:r>
      <w:r w:rsidRPr="008653E6">
        <w:rPr>
          <w:color w:val="000000"/>
        </w:rPr>
        <w:t>poursui</w:t>
      </w:r>
      <w:r w:rsidR="00230501">
        <w:rPr>
          <w:color w:val="000000"/>
        </w:rPr>
        <w:t>t</w:t>
      </w:r>
      <w:r w:rsidRPr="008653E6">
        <w:rPr>
          <w:color w:val="000000"/>
        </w:rPr>
        <w:t xml:space="preserve"> ses activités liées à la conception et à l</w:t>
      </w:r>
      <w:r w:rsidR="00D3135C">
        <w:rPr>
          <w:color w:val="000000"/>
        </w:rPr>
        <w:t>'</w:t>
      </w:r>
      <w:r w:rsidRPr="008653E6">
        <w:rPr>
          <w:color w:val="000000"/>
        </w:rPr>
        <w:t>utilisation</w:t>
      </w:r>
      <w:r w:rsidRPr="008653E6">
        <w:rPr>
          <w:lang w:val="fr-CH"/>
        </w:rPr>
        <w:t xml:space="preserve"> de logiciels en application des décisions de la CMR-15. On trouvera dans le tableau ci-dessous un résumé des principales tâches à l</w:t>
      </w:r>
      <w:r w:rsidR="00D3135C">
        <w:rPr>
          <w:lang w:val="fr-CH"/>
        </w:rPr>
        <w:t>'</w:t>
      </w:r>
      <w:r w:rsidRPr="008653E6">
        <w:rPr>
          <w:lang w:val="fr-CH"/>
        </w:rPr>
        <w:t>étude.</w:t>
      </w:r>
    </w:p>
    <w:p w:rsidR="009B2A62" w:rsidRPr="008653E6" w:rsidRDefault="00A73646" w:rsidP="009B2A62">
      <w:pPr>
        <w:pStyle w:val="TabletitleBR"/>
        <w:spacing w:before="360"/>
      </w:pPr>
      <w:r>
        <w:rPr>
          <w:color w:val="000000"/>
        </w:rPr>
        <w:t>A</w:t>
      </w:r>
      <w:r w:rsidR="009B2A62" w:rsidRPr="008653E6">
        <w:rPr>
          <w:color w:val="000000"/>
        </w:rPr>
        <w:t>ctivités liées à la conception</w:t>
      </w:r>
      <w:r w:rsidR="009B2A62" w:rsidRPr="008653E6">
        <w:t xml:space="preserve"> de logiciels en application des décisions de la CMR-15</w:t>
      </w:r>
    </w:p>
    <w:tbl>
      <w:tblPr>
        <w:tblW w:w="0" w:type="auto"/>
        <w:jc w:val="center"/>
        <w:tblLook w:val="04A0" w:firstRow="1" w:lastRow="0" w:firstColumn="1" w:lastColumn="0" w:noHBand="0" w:noVBand="1"/>
      </w:tblPr>
      <w:tblGrid>
        <w:gridCol w:w="9463"/>
      </w:tblGrid>
      <w:tr w:rsidR="009B2A62" w:rsidRPr="008653E6" w:rsidTr="00E3472E">
        <w:trPr>
          <w:cantSplit/>
          <w:jc w:val="center"/>
        </w:trPr>
        <w:tc>
          <w:tcPr>
            <w:tcW w:w="9463" w:type="dxa"/>
            <w:tcBorders>
              <w:top w:val="single" w:sz="4" w:space="0" w:color="auto"/>
              <w:left w:val="single" w:sz="4" w:space="0" w:color="auto"/>
              <w:bottom w:val="single" w:sz="4" w:space="0" w:color="auto"/>
              <w:right w:val="single" w:sz="4" w:space="0" w:color="auto"/>
            </w:tcBorders>
          </w:tcPr>
          <w:p w:rsidR="009B2A62" w:rsidRPr="008653E6" w:rsidRDefault="009B2A62" w:rsidP="001C1296">
            <w:pPr>
              <w:pStyle w:val="Tabletext"/>
            </w:pPr>
            <w:r w:rsidRPr="008653E6">
              <w:rPr>
                <w:bCs/>
                <w:lang w:val="fr-CH"/>
              </w:rPr>
              <w:t>Résolution 907</w:t>
            </w:r>
            <w:r w:rsidR="00432165">
              <w:t xml:space="preserve"> (Ré</w:t>
            </w:r>
            <w:r w:rsidR="00BE0203">
              <w:t>v.</w:t>
            </w:r>
            <w:r w:rsidRPr="008653E6">
              <w:t>CMR-15)</w:t>
            </w:r>
            <w:r w:rsidRPr="008653E6">
              <w:rPr>
                <w:bCs/>
                <w:lang w:val="fr-CH"/>
              </w:rPr>
              <w:t xml:space="preserve">: </w:t>
            </w:r>
            <w:r w:rsidRPr="008653E6">
              <w:t>Utilisation de moyens modernes de communication électroniques pour l</w:t>
            </w:r>
            <w:r w:rsidR="00432165">
              <w:t>a correspondance administrative</w:t>
            </w:r>
          </w:p>
          <w:p w:rsidR="009B2A62" w:rsidRPr="008653E6" w:rsidRDefault="009B2A62" w:rsidP="001C1296">
            <w:pPr>
              <w:pStyle w:val="Tabletext"/>
              <w:rPr>
                <w:b/>
                <w:bCs/>
              </w:rPr>
            </w:pPr>
            <w:r w:rsidRPr="008653E6">
              <w:rPr>
                <w:bCs/>
              </w:rPr>
              <w:t>Situation: phase de conception (en collaboration avec le Département des services informatiques pour les aspects relatifs à l</w:t>
            </w:r>
            <w:r w:rsidR="00D3135C">
              <w:rPr>
                <w:bCs/>
              </w:rPr>
              <w:t>'</w:t>
            </w:r>
            <w:r w:rsidRPr="008653E6">
              <w:rPr>
                <w:bCs/>
              </w:rPr>
              <w:t>infrastructure de sécurité).</w:t>
            </w:r>
          </w:p>
        </w:tc>
      </w:tr>
      <w:tr w:rsidR="009B2A62" w:rsidRPr="008653E6" w:rsidTr="00E3472E">
        <w:trPr>
          <w:jc w:val="center"/>
        </w:trPr>
        <w:tc>
          <w:tcPr>
            <w:tcW w:w="9463" w:type="dxa"/>
            <w:tcBorders>
              <w:top w:val="single" w:sz="4" w:space="0" w:color="auto"/>
              <w:left w:val="single" w:sz="4" w:space="0" w:color="auto"/>
              <w:bottom w:val="single" w:sz="4" w:space="0" w:color="auto"/>
              <w:right w:val="single" w:sz="4" w:space="0" w:color="auto"/>
            </w:tcBorders>
          </w:tcPr>
          <w:p w:rsidR="009B2A62" w:rsidRPr="008653E6" w:rsidRDefault="009B2A62" w:rsidP="00D04881">
            <w:pPr>
              <w:pStyle w:val="Tabletext"/>
            </w:pPr>
            <w:r w:rsidRPr="008653E6">
              <w:rPr>
                <w:bCs/>
                <w:lang w:val="fr-CH"/>
              </w:rPr>
              <w:t>Résolution 908</w:t>
            </w:r>
            <w:r w:rsidRPr="008653E6">
              <w:t xml:space="preserve"> (Rév.CMR-15)</w:t>
            </w:r>
            <w:r w:rsidR="00D04881">
              <w:t>:</w:t>
            </w:r>
            <w:r w:rsidRPr="008653E6">
              <w:t xml:space="preserve"> Soumission et publication par voie électronique des fiches de notifications des réseaux à satellite.</w:t>
            </w:r>
          </w:p>
          <w:p w:rsidR="009B2A62" w:rsidRPr="00432165" w:rsidRDefault="00432165" w:rsidP="001C1296">
            <w:pPr>
              <w:pStyle w:val="Tabletext"/>
              <w:rPr>
                <w:bCs/>
                <w:lang w:val="fr-CH"/>
              </w:rPr>
            </w:pPr>
            <w:r>
              <w:rPr>
                <w:bCs/>
                <w:lang w:val="fr-CH"/>
              </w:rPr>
              <w:t>Situation: l</w:t>
            </w:r>
            <w:r w:rsidR="00D3135C">
              <w:rPr>
                <w:bCs/>
                <w:lang w:val="fr-CH"/>
              </w:rPr>
              <w:t>'</w:t>
            </w:r>
            <w:r>
              <w:rPr>
                <w:bCs/>
                <w:lang w:val="fr-CH"/>
              </w:rPr>
              <w:t>application SpaceWISC</w:t>
            </w:r>
            <w:r w:rsidR="009B2A62" w:rsidRPr="008653E6">
              <w:rPr>
                <w:bCs/>
                <w:lang w:val="fr-CH"/>
              </w:rPr>
              <w:t xml:space="preserve"> est en service depuis le 1</w:t>
            </w:r>
            <w:r>
              <w:rPr>
                <w:bCs/>
                <w:lang w:val="fr-CH"/>
              </w:rPr>
              <w:t>er</w:t>
            </w:r>
            <w:r w:rsidR="009B2A62" w:rsidRPr="008653E6">
              <w:rPr>
                <w:bCs/>
                <w:lang w:val="fr-CH"/>
              </w:rPr>
              <w:t xml:space="preserve"> mars 2015 et a été utilisée pour soumettre et p</w:t>
            </w:r>
            <w:bookmarkStart w:id="29" w:name="lt_pId438"/>
            <w:r>
              <w:rPr>
                <w:bCs/>
                <w:lang w:val="fr-CH"/>
              </w:rPr>
              <w:t>ublier plus de 1</w:t>
            </w:r>
            <w:r w:rsidR="00BE0203">
              <w:rPr>
                <w:bCs/>
                <w:lang w:val="fr-CH"/>
              </w:rPr>
              <w:t> </w:t>
            </w:r>
            <w:r>
              <w:rPr>
                <w:bCs/>
                <w:lang w:val="fr-CH"/>
              </w:rPr>
              <w:t>600 fiches API. L</w:t>
            </w:r>
            <w:r w:rsidR="00BE0203">
              <w:rPr>
                <w:bCs/>
                <w:lang w:val="fr-CH"/>
              </w:rPr>
              <w:t>a</w:t>
            </w:r>
            <w:r>
              <w:rPr>
                <w:bCs/>
                <w:lang w:val="fr-CH"/>
              </w:rPr>
              <w:t xml:space="preserve"> CMR-</w:t>
            </w:r>
            <w:r w:rsidR="009B2A62" w:rsidRPr="008653E6">
              <w:rPr>
                <w:bCs/>
                <w:lang w:val="fr-CH"/>
              </w:rPr>
              <w:t>15 a décidé d</w:t>
            </w:r>
            <w:r w:rsidR="00D3135C">
              <w:rPr>
                <w:bCs/>
                <w:lang w:val="fr-CH"/>
              </w:rPr>
              <w:t>'</w:t>
            </w:r>
            <w:r w:rsidR="009B2A62" w:rsidRPr="008653E6">
              <w:rPr>
                <w:bCs/>
                <w:lang w:val="fr-CH"/>
              </w:rPr>
              <w:t>élargi</w:t>
            </w:r>
            <w:r>
              <w:rPr>
                <w:bCs/>
                <w:lang w:val="fr-CH"/>
              </w:rPr>
              <w:t>r le champ d</w:t>
            </w:r>
            <w:r w:rsidR="00D3135C">
              <w:rPr>
                <w:bCs/>
                <w:lang w:val="fr-CH"/>
              </w:rPr>
              <w:t>'</w:t>
            </w:r>
            <w:r>
              <w:rPr>
                <w:bCs/>
                <w:lang w:val="fr-CH"/>
              </w:rPr>
              <w:t>application de la R</w:t>
            </w:r>
            <w:r w:rsidR="009B2A62" w:rsidRPr="008653E6">
              <w:rPr>
                <w:bCs/>
                <w:lang w:val="fr-CH"/>
              </w:rPr>
              <w:t>ésolution 908 et de modifier également la manière dont les renseignements</w:t>
            </w:r>
            <w:r>
              <w:rPr>
                <w:bCs/>
                <w:lang w:val="fr-CH"/>
              </w:rPr>
              <w:t xml:space="preserve"> API sont produits et publiés. E</w:t>
            </w:r>
            <w:r w:rsidR="009B2A62" w:rsidRPr="008653E6">
              <w:rPr>
                <w:bCs/>
                <w:lang w:val="fr-CH"/>
              </w:rPr>
              <w:t xml:space="preserve">n conséquence, le BR </w:t>
            </w:r>
            <w:bookmarkStart w:id="30" w:name="lt_pId439"/>
            <w:bookmarkEnd w:id="29"/>
            <w:r w:rsidR="009B2A62" w:rsidRPr="008653E6">
              <w:rPr>
                <w:lang w:val="fr-CH"/>
              </w:rPr>
              <w:t>modifie actuellement la conception de l</w:t>
            </w:r>
            <w:r w:rsidR="00D3135C">
              <w:rPr>
                <w:lang w:val="fr-CH"/>
              </w:rPr>
              <w:t>'</w:t>
            </w:r>
            <w:r w:rsidR="009B2A62" w:rsidRPr="008653E6">
              <w:rPr>
                <w:lang w:val="fr-CH"/>
              </w:rPr>
              <w:t>application SpaceWISC pour répondre aux nouveaux besoins. Le sys</w:t>
            </w:r>
            <w:r>
              <w:rPr>
                <w:lang w:val="fr-CH"/>
              </w:rPr>
              <w:t xml:space="preserve">tème devrait être mis en oeuvre </w:t>
            </w:r>
            <w:r w:rsidR="009B2A62" w:rsidRPr="008653E6">
              <w:rPr>
                <w:lang w:val="fr-CH"/>
              </w:rPr>
              <w:t>en 2017</w:t>
            </w:r>
            <w:bookmarkEnd w:id="30"/>
            <w:r>
              <w:rPr>
                <w:lang w:val="fr-CH"/>
              </w:rPr>
              <w:t>.</w:t>
            </w:r>
          </w:p>
        </w:tc>
      </w:tr>
      <w:tr w:rsidR="009B2A62" w:rsidRPr="008653E6" w:rsidTr="00E3472E">
        <w:trPr>
          <w:jc w:val="center"/>
        </w:trPr>
        <w:tc>
          <w:tcPr>
            <w:tcW w:w="9463" w:type="dxa"/>
            <w:tcBorders>
              <w:top w:val="single" w:sz="4" w:space="0" w:color="auto"/>
              <w:left w:val="single" w:sz="4" w:space="0" w:color="auto"/>
              <w:bottom w:val="single" w:sz="4" w:space="0" w:color="auto"/>
              <w:right w:val="single" w:sz="4" w:space="0" w:color="auto"/>
            </w:tcBorders>
          </w:tcPr>
          <w:p w:rsidR="009B2A62" w:rsidRPr="008653E6" w:rsidRDefault="00432165" w:rsidP="001C1296">
            <w:pPr>
              <w:pStyle w:val="Tabletext"/>
              <w:rPr>
                <w:lang w:val="fr-CH"/>
              </w:rPr>
            </w:pPr>
            <w:bookmarkStart w:id="31" w:name="lt_pId441"/>
            <w:r>
              <w:rPr>
                <w:lang w:val="fr-CH"/>
              </w:rPr>
              <w:t>Mise en oeuvre des décisions de la CMR-</w:t>
            </w:r>
            <w:r w:rsidR="009B2A62" w:rsidRPr="008653E6">
              <w:rPr>
                <w:lang w:val="fr-CH"/>
              </w:rPr>
              <w:t>15 se rap</w:t>
            </w:r>
            <w:r>
              <w:rPr>
                <w:lang w:val="fr-CH"/>
              </w:rPr>
              <w:t>portant aux réseaux à satellite: la mise en oe</w:t>
            </w:r>
            <w:r w:rsidR="009B2A62" w:rsidRPr="008653E6">
              <w:rPr>
                <w:lang w:val="fr-CH"/>
              </w:rPr>
              <w:t>uvre s</w:t>
            </w:r>
            <w:r w:rsidR="00D3135C">
              <w:rPr>
                <w:lang w:val="fr-CH"/>
              </w:rPr>
              <w:t>'</w:t>
            </w:r>
            <w:r w:rsidR="009B2A62" w:rsidRPr="008653E6">
              <w:rPr>
                <w:lang w:val="fr-CH"/>
              </w:rPr>
              <w:t>effectue en deux ét</w:t>
            </w:r>
            <w:r>
              <w:rPr>
                <w:lang w:val="fr-CH"/>
              </w:rPr>
              <w:t>apes</w:t>
            </w:r>
            <w:r w:rsidR="009B2A62" w:rsidRPr="008653E6">
              <w:rPr>
                <w:lang w:val="fr-CH"/>
              </w:rPr>
              <w:t>:</w:t>
            </w:r>
            <w:bookmarkEnd w:id="31"/>
          </w:p>
          <w:p w:rsidR="009B2A62" w:rsidRPr="008653E6" w:rsidRDefault="00432165" w:rsidP="001C1296">
            <w:pPr>
              <w:pStyle w:val="Tabletext"/>
              <w:rPr>
                <w:lang w:val="fr-CH"/>
              </w:rPr>
            </w:pPr>
            <w:bookmarkStart w:id="32" w:name="lt_pId443"/>
            <w:r>
              <w:rPr>
                <w:lang w:val="fr-CH"/>
              </w:rPr>
              <w:t>E</w:t>
            </w:r>
            <w:r w:rsidR="009B2A62" w:rsidRPr="008653E6">
              <w:rPr>
                <w:lang w:val="fr-CH"/>
              </w:rPr>
              <w:t>tape 1:</w:t>
            </w:r>
            <w:bookmarkEnd w:id="32"/>
            <w:r w:rsidR="009B2A62" w:rsidRPr="008653E6">
              <w:rPr>
                <w:lang w:val="fr-CH"/>
              </w:rPr>
              <w:t xml:space="preserve"> </w:t>
            </w:r>
            <w:bookmarkStart w:id="33" w:name="lt_pId444"/>
            <w:r>
              <w:rPr>
                <w:lang w:val="fr-CH"/>
              </w:rPr>
              <w:t>Mise en oe</w:t>
            </w:r>
            <w:r w:rsidR="009B2A62" w:rsidRPr="008653E6">
              <w:rPr>
                <w:lang w:val="fr-CH"/>
              </w:rPr>
              <w:t>uvre des décisions qui sont entrée</w:t>
            </w:r>
            <w:r>
              <w:rPr>
                <w:lang w:val="fr-CH"/>
              </w:rPr>
              <w:t>s en vigueur à la fin de la CMR-</w:t>
            </w:r>
            <w:r w:rsidR="009B2A62" w:rsidRPr="008653E6">
              <w:rPr>
                <w:lang w:val="fr-CH"/>
              </w:rPr>
              <w:t xml:space="preserve">15 et des </w:t>
            </w:r>
            <w:r w:rsidR="00D04881" w:rsidRPr="008653E6">
              <w:rPr>
                <w:lang w:val="fr-CH"/>
              </w:rPr>
              <w:t>R</w:t>
            </w:r>
            <w:r w:rsidR="009B2A62" w:rsidRPr="008653E6">
              <w:rPr>
                <w:lang w:val="fr-CH"/>
              </w:rPr>
              <w:t>ègles de procédure connexes</w:t>
            </w:r>
            <w:bookmarkStart w:id="34" w:name="lt_pId445"/>
            <w:bookmarkEnd w:id="33"/>
            <w:r>
              <w:rPr>
                <w:lang w:val="fr-CH"/>
              </w:rPr>
              <w:t>. Date de mise en oeuvre</w:t>
            </w:r>
            <w:r w:rsidR="009B2A62" w:rsidRPr="008653E6">
              <w:rPr>
                <w:lang w:val="fr-CH"/>
              </w:rPr>
              <w:t>:</w:t>
            </w:r>
            <w:bookmarkStart w:id="35" w:name="lt_pId446"/>
            <w:bookmarkEnd w:id="34"/>
            <w:r w:rsidR="009B2A62" w:rsidRPr="008653E6">
              <w:rPr>
                <w:lang w:val="fr-CH"/>
              </w:rPr>
              <w:t xml:space="preserve"> 1</w:t>
            </w:r>
            <w:r>
              <w:rPr>
                <w:lang w:val="fr-CH"/>
              </w:rPr>
              <w:t>er</w:t>
            </w:r>
            <w:r w:rsidR="009B2A62" w:rsidRPr="008653E6">
              <w:rPr>
                <w:lang w:val="fr-CH"/>
              </w:rPr>
              <w:t xml:space="preserve"> avril 2016</w:t>
            </w:r>
            <w:bookmarkEnd w:id="35"/>
          </w:p>
          <w:p w:rsidR="00D04881" w:rsidRDefault="007D40E6" w:rsidP="00D04881">
            <w:pPr>
              <w:pStyle w:val="Tabletext"/>
              <w:rPr>
                <w:lang w:val="fr-CH"/>
              </w:rPr>
            </w:pPr>
            <w:bookmarkStart w:id="36" w:name="lt_pId447"/>
            <w:r>
              <w:rPr>
                <w:lang w:val="fr-CH"/>
              </w:rPr>
              <w:t>E</w:t>
            </w:r>
            <w:r w:rsidR="009B2A62" w:rsidRPr="008653E6">
              <w:rPr>
                <w:lang w:val="fr-CH"/>
              </w:rPr>
              <w:t>tape 2:</w:t>
            </w:r>
            <w:bookmarkEnd w:id="36"/>
            <w:r w:rsidR="009B2A62" w:rsidRPr="008653E6">
              <w:rPr>
                <w:lang w:val="fr-CH"/>
              </w:rPr>
              <w:t xml:space="preserve"> </w:t>
            </w:r>
            <w:bookmarkStart w:id="37" w:name="lt_pId448"/>
            <w:r>
              <w:rPr>
                <w:lang w:val="fr-CH"/>
              </w:rPr>
              <w:t>Mise en oe</w:t>
            </w:r>
            <w:r w:rsidR="009B2A62" w:rsidRPr="008653E6">
              <w:rPr>
                <w:lang w:val="fr-CH"/>
              </w:rPr>
              <w:t>uvre</w:t>
            </w:r>
            <w:r>
              <w:rPr>
                <w:lang w:val="fr-CH"/>
              </w:rPr>
              <w:t xml:space="preserve"> des autres décisions de la CMR-</w:t>
            </w:r>
            <w:r w:rsidR="009B2A62" w:rsidRPr="008653E6">
              <w:rPr>
                <w:lang w:val="fr-CH"/>
              </w:rPr>
              <w:t>15, qui entreront en vigueur le 1</w:t>
            </w:r>
            <w:r>
              <w:rPr>
                <w:lang w:val="fr-CH"/>
              </w:rPr>
              <w:t>er </w:t>
            </w:r>
            <w:r w:rsidR="009B2A62" w:rsidRPr="008653E6">
              <w:rPr>
                <w:lang w:val="fr-CH"/>
              </w:rPr>
              <w:t>janvier</w:t>
            </w:r>
            <w:r w:rsidR="00D04881">
              <w:rPr>
                <w:lang w:val="fr-CH"/>
              </w:rPr>
              <w:t> </w:t>
            </w:r>
            <w:r w:rsidR="009B2A62" w:rsidRPr="008653E6">
              <w:rPr>
                <w:lang w:val="fr-CH"/>
              </w:rPr>
              <w:t>2017</w:t>
            </w:r>
            <w:bookmarkEnd w:id="37"/>
            <w:r>
              <w:rPr>
                <w:lang w:val="fr-CH"/>
              </w:rPr>
              <w:t>.</w:t>
            </w:r>
            <w:r w:rsidR="009B2A62" w:rsidRPr="008653E6">
              <w:rPr>
                <w:lang w:val="fr-CH"/>
              </w:rPr>
              <w:t xml:space="preserve"> </w:t>
            </w:r>
          </w:p>
          <w:p w:rsidR="009B2A62" w:rsidRPr="008653E6" w:rsidRDefault="007D40E6" w:rsidP="00D04881">
            <w:pPr>
              <w:pStyle w:val="Tabletext"/>
              <w:rPr>
                <w:lang w:val="fr-CH"/>
              </w:rPr>
            </w:pPr>
            <w:r>
              <w:rPr>
                <w:lang w:val="fr-CH"/>
              </w:rPr>
              <w:t>Date de mise en oe</w:t>
            </w:r>
            <w:r w:rsidR="009B2A62" w:rsidRPr="008653E6">
              <w:rPr>
                <w:lang w:val="fr-CH"/>
              </w:rPr>
              <w:t xml:space="preserve">uvre: </w:t>
            </w:r>
            <w:bookmarkStart w:id="38" w:name="lt_pId450"/>
            <w:r w:rsidR="009B2A62" w:rsidRPr="008653E6">
              <w:rPr>
                <w:lang w:val="fr-CH"/>
              </w:rPr>
              <w:t>1er janvier 2017.</w:t>
            </w:r>
            <w:bookmarkEnd w:id="38"/>
          </w:p>
        </w:tc>
      </w:tr>
      <w:tr w:rsidR="009B2A62" w:rsidRPr="008653E6" w:rsidTr="00E3472E">
        <w:trPr>
          <w:jc w:val="center"/>
        </w:trPr>
        <w:tc>
          <w:tcPr>
            <w:tcW w:w="9463" w:type="dxa"/>
            <w:tcBorders>
              <w:top w:val="single" w:sz="4" w:space="0" w:color="auto"/>
              <w:left w:val="single" w:sz="4" w:space="0" w:color="auto"/>
              <w:bottom w:val="single" w:sz="4" w:space="0" w:color="auto"/>
              <w:right w:val="single" w:sz="4" w:space="0" w:color="auto"/>
            </w:tcBorders>
          </w:tcPr>
          <w:p w:rsidR="009B2A62" w:rsidRPr="008653E6" w:rsidRDefault="009B2A62" w:rsidP="00BE0203">
            <w:pPr>
              <w:pStyle w:val="Tabletext"/>
              <w:rPr>
                <w:lang w:val="fr-CH"/>
              </w:rPr>
            </w:pPr>
            <w:bookmarkStart w:id="39" w:name="lt_pId451"/>
            <w:r w:rsidRPr="008653E6">
              <w:rPr>
                <w:lang w:val="fr-CH"/>
              </w:rPr>
              <w:t xml:space="preserve">Examen et mise à jour du logiciel de validation et des tableaux de référence concernant les services de Terre, par suite des modifications apportées aux </w:t>
            </w:r>
            <w:r w:rsidRPr="008653E6">
              <w:t>situations relatives aux attributions et de l</w:t>
            </w:r>
            <w:r w:rsidR="00D3135C">
              <w:t>'</w:t>
            </w:r>
            <w:r w:rsidRPr="008653E6">
              <w:t>instauration de conditions additionnelles, par exemple dans la Résolution</w:t>
            </w:r>
            <w:r w:rsidRPr="008653E6">
              <w:rPr>
                <w:lang w:val="fr-CH"/>
              </w:rPr>
              <w:t xml:space="preserve"> 205</w:t>
            </w:r>
            <w:bookmarkEnd w:id="39"/>
            <w:r w:rsidR="00BE0203">
              <w:rPr>
                <w:lang w:val="fr-CH"/>
              </w:rPr>
              <w:t>.</w:t>
            </w:r>
          </w:p>
          <w:p w:rsidR="009B2A62" w:rsidRPr="008653E6" w:rsidRDefault="00FA1CB5" w:rsidP="001C1296">
            <w:pPr>
              <w:pStyle w:val="Tabletext"/>
            </w:pPr>
            <w:bookmarkStart w:id="40" w:name="lt_pId452"/>
            <w:r>
              <w:t>Date de mise en oeuvre</w:t>
            </w:r>
            <w:r w:rsidR="009B2A62" w:rsidRPr="008653E6">
              <w:t>: 1</w:t>
            </w:r>
            <w:r>
              <w:t>er</w:t>
            </w:r>
            <w:r w:rsidR="009B2A62" w:rsidRPr="008653E6">
              <w:t xml:space="preserve"> janvier 2017</w:t>
            </w:r>
            <w:bookmarkEnd w:id="40"/>
            <w:r>
              <w:t>.</w:t>
            </w:r>
          </w:p>
        </w:tc>
      </w:tr>
      <w:tr w:rsidR="009B2A62" w:rsidRPr="008653E6" w:rsidTr="00E3472E">
        <w:trPr>
          <w:jc w:val="center"/>
        </w:trPr>
        <w:tc>
          <w:tcPr>
            <w:tcW w:w="9463" w:type="dxa"/>
            <w:tcBorders>
              <w:top w:val="single" w:sz="4" w:space="0" w:color="auto"/>
              <w:left w:val="single" w:sz="4" w:space="0" w:color="auto"/>
              <w:bottom w:val="single" w:sz="4" w:space="0" w:color="auto"/>
              <w:right w:val="single" w:sz="4" w:space="0" w:color="auto"/>
            </w:tcBorders>
          </w:tcPr>
          <w:p w:rsidR="009B2A62" w:rsidRPr="008653E6" w:rsidRDefault="00FA1CB5" w:rsidP="001C1296">
            <w:pPr>
              <w:pStyle w:val="Tabletext"/>
              <w:rPr>
                <w:lang w:val="fr-CH"/>
              </w:rPr>
            </w:pPr>
            <w:bookmarkStart w:id="41" w:name="lt_pId454"/>
            <w:r>
              <w:rPr>
                <w:lang w:val="fr-CH"/>
              </w:rPr>
              <w:t xml:space="preserve">Examen et mise </w:t>
            </w:r>
            <w:r w:rsidR="009B2A62" w:rsidRPr="008653E6">
              <w:rPr>
                <w:lang w:val="fr-CH"/>
              </w:rPr>
              <w:t>à jour d</w:t>
            </w:r>
            <w:r>
              <w:rPr>
                <w:lang w:val="fr-CH"/>
              </w:rPr>
              <w:t>es modules du logiciel d</w:t>
            </w:r>
            <w:r w:rsidR="00D3135C">
              <w:rPr>
                <w:lang w:val="fr-CH"/>
              </w:rPr>
              <w:t>'</w:t>
            </w:r>
            <w:r>
              <w:rPr>
                <w:lang w:val="fr-CH"/>
              </w:rPr>
              <w:t>examen</w:t>
            </w:r>
            <w:r w:rsidR="009B2A62" w:rsidRPr="008653E6">
              <w:rPr>
                <w:lang w:val="fr-CH"/>
              </w:rPr>
              <w:t xml:space="preserve"> et des tableaux associés ainsi que des tableaux de référence, par suite des modifications apportées aux situations relatives aux attributions, principalement dans les bandes de fréquences utilisées en partage entre les services spatiaux et les services de Terre.</w:t>
            </w:r>
            <w:bookmarkEnd w:id="41"/>
          </w:p>
          <w:p w:rsidR="009B2A62" w:rsidRPr="008653E6" w:rsidRDefault="00FA1CB5" w:rsidP="001C1296">
            <w:pPr>
              <w:pStyle w:val="Tabletext"/>
            </w:pPr>
            <w:r>
              <w:t>Date de mise en oeuvre</w:t>
            </w:r>
            <w:r w:rsidR="009B2A62" w:rsidRPr="008653E6">
              <w:t>: 1</w:t>
            </w:r>
            <w:r>
              <w:t>er</w:t>
            </w:r>
            <w:r w:rsidR="009B2A62" w:rsidRPr="008653E6">
              <w:t xml:space="preserve"> janvier 2017</w:t>
            </w:r>
            <w:r>
              <w:t>.</w:t>
            </w:r>
          </w:p>
        </w:tc>
      </w:tr>
      <w:tr w:rsidR="00FA1CB5" w:rsidRPr="008653E6" w:rsidTr="00E3472E">
        <w:trPr>
          <w:jc w:val="center"/>
        </w:trPr>
        <w:tc>
          <w:tcPr>
            <w:tcW w:w="9463" w:type="dxa"/>
            <w:tcBorders>
              <w:top w:val="single" w:sz="4" w:space="0" w:color="auto"/>
              <w:left w:val="single" w:sz="4" w:space="0" w:color="auto"/>
              <w:bottom w:val="single" w:sz="4" w:space="0" w:color="auto"/>
              <w:right w:val="single" w:sz="4" w:space="0" w:color="auto"/>
            </w:tcBorders>
          </w:tcPr>
          <w:p w:rsidR="00FA1CB5" w:rsidRPr="008653E6" w:rsidRDefault="00FA1CB5" w:rsidP="001C1296">
            <w:pPr>
              <w:pStyle w:val="Tabletext"/>
              <w:rPr>
                <w:lang w:val="fr-CH"/>
              </w:rPr>
            </w:pPr>
            <w:r w:rsidRPr="008653E6">
              <w:rPr>
                <w:bCs/>
                <w:lang w:val="fr-CH"/>
              </w:rPr>
              <w:t>Harmonisation de la partie du Fichier de référence international des fréquences relative aux services de Terre avec la base de données de l</w:t>
            </w:r>
            <w:r w:rsidR="00D3135C">
              <w:rPr>
                <w:bCs/>
                <w:lang w:val="fr-CH"/>
              </w:rPr>
              <w:t>'</w:t>
            </w:r>
            <w:r w:rsidRPr="008653E6">
              <w:rPr>
                <w:bCs/>
                <w:lang w:val="fr-CH"/>
              </w:rPr>
              <w:t>OACI: le Bureau continue d</w:t>
            </w:r>
            <w:r w:rsidR="00D3135C">
              <w:rPr>
                <w:bCs/>
                <w:lang w:val="fr-CH"/>
              </w:rPr>
              <w:t>'</w:t>
            </w:r>
            <w:r w:rsidRPr="008653E6">
              <w:rPr>
                <w:bCs/>
                <w:lang w:val="fr-CH"/>
              </w:rPr>
              <w:t>élaborer les outils logiciels appropriés qui permettront aux administrations d</w:t>
            </w:r>
            <w:r w:rsidR="00D3135C">
              <w:rPr>
                <w:bCs/>
                <w:lang w:val="fr-CH"/>
              </w:rPr>
              <w:t>'</w:t>
            </w:r>
            <w:r w:rsidRPr="008653E6">
              <w:rPr>
                <w:bCs/>
                <w:lang w:val="fr-CH"/>
              </w:rPr>
              <w:t>harmoniser leurs données figurant dans le Fichier de référence international des fréquences avec les données correspondantes figurant dans la base de données de l</w:t>
            </w:r>
            <w:r w:rsidR="00D3135C">
              <w:rPr>
                <w:bCs/>
                <w:lang w:val="fr-CH"/>
              </w:rPr>
              <w:t>'</w:t>
            </w:r>
            <w:r w:rsidRPr="008653E6">
              <w:rPr>
                <w:bCs/>
                <w:lang w:val="fr-CH"/>
              </w:rPr>
              <w:t xml:space="preserve">OACI. A cette fin, des logiciels de comparaison et des prototypes de création de fiches de notification ont été mis au point, afin de permettre aux administrations </w:t>
            </w:r>
            <w:r w:rsidRPr="008653E6">
              <w:rPr>
                <w:lang w:val="fr-CH"/>
              </w:rPr>
              <w:t>de déterminer la nécessité de mettre à jour le Fichier de référence et de créer automatiquement les fiches de notification électroniques devant être notifiées au BR. Ce travail en est encore au stade des essais et l</w:t>
            </w:r>
            <w:r w:rsidR="00D3135C">
              <w:rPr>
                <w:lang w:val="fr-CH"/>
              </w:rPr>
              <w:t>'</w:t>
            </w:r>
            <w:r w:rsidRPr="008653E6">
              <w:rPr>
                <w:lang w:val="fr-CH"/>
              </w:rPr>
              <w:t>interaction avec l</w:t>
            </w:r>
            <w:r w:rsidR="00D3135C">
              <w:rPr>
                <w:lang w:val="fr-CH"/>
              </w:rPr>
              <w:t>'</w:t>
            </w:r>
            <w:r w:rsidRPr="008653E6">
              <w:rPr>
                <w:lang w:val="fr-CH"/>
              </w:rPr>
              <w:t>OACI se poursuit. Les progrès dépendront en grande partie de la mise à disposition de la base de données de l</w:t>
            </w:r>
            <w:r w:rsidR="00D3135C">
              <w:rPr>
                <w:lang w:val="fr-CH"/>
              </w:rPr>
              <w:t>'</w:t>
            </w:r>
            <w:r w:rsidRPr="008653E6">
              <w:rPr>
                <w:lang w:val="fr-CH"/>
              </w:rPr>
              <w:t>OACI sur le web, qui est actuellement en cours d</w:t>
            </w:r>
            <w:r w:rsidR="00D3135C">
              <w:rPr>
                <w:lang w:val="fr-CH"/>
              </w:rPr>
              <w:t>'</w:t>
            </w:r>
            <w:r w:rsidRPr="008653E6">
              <w:rPr>
                <w:lang w:val="fr-CH"/>
              </w:rPr>
              <w:t>élaboration.</w:t>
            </w:r>
          </w:p>
        </w:tc>
      </w:tr>
    </w:tbl>
    <w:p w:rsidR="009B2A62" w:rsidRPr="008653E6" w:rsidRDefault="009B2A62" w:rsidP="009B2A62">
      <w:pPr>
        <w:pStyle w:val="Heading3"/>
        <w:rPr>
          <w:lang w:val="fr-CH"/>
        </w:rPr>
      </w:pPr>
      <w:bookmarkStart w:id="42" w:name="lt_pId462"/>
      <w:bookmarkStart w:id="43" w:name="_Toc446060765"/>
      <w:r w:rsidRPr="008653E6">
        <w:rPr>
          <w:lang w:val="fr-CH"/>
        </w:rPr>
        <w:t>3.2.5</w:t>
      </w:r>
      <w:bookmarkEnd w:id="42"/>
      <w:r w:rsidRPr="008653E6">
        <w:rPr>
          <w:lang w:val="fr-CH"/>
        </w:rPr>
        <w:tab/>
      </w:r>
      <w:bookmarkStart w:id="44" w:name="lt_pId463"/>
      <w:r w:rsidRPr="008653E6">
        <w:rPr>
          <w:lang w:val="fr-CH"/>
        </w:rPr>
        <w:t>Autres mesures prises en applic</w:t>
      </w:r>
      <w:r w:rsidR="00466809">
        <w:rPr>
          <w:lang w:val="fr-CH"/>
        </w:rPr>
        <w:t>ation des décisions de la CMR-</w:t>
      </w:r>
      <w:r w:rsidRPr="008653E6">
        <w:rPr>
          <w:lang w:val="fr-CH"/>
        </w:rPr>
        <w:t>15</w:t>
      </w:r>
      <w:bookmarkEnd w:id="43"/>
      <w:bookmarkEnd w:id="44"/>
    </w:p>
    <w:p w:rsidR="009B2A62" w:rsidRPr="001C1296" w:rsidRDefault="009B2A62" w:rsidP="001C1296">
      <w:bookmarkStart w:id="45" w:name="lt_pId464"/>
      <w:r w:rsidRPr="008653E6">
        <w:rPr>
          <w:lang w:val="fr-CH"/>
        </w:rPr>
        <w:t>Ainsi qu</w:t>
      </w:r>
      <w:r w:rsidR="00D3135C">
        <w:rPr>
          <w:lang w:val="fr-CH"/>
        </w:rPr>
        <w:t>'</w:t>
      </w:r>
      <w:r w:rsidRPr="008653E6">
        <w:rPr>
          <w:lang w:val="fr-CH"/>
        </w:rPr>
        <w:t>il en était chargé par la conférence, le Bureau a rassemblé</w:t>
      </w:r>
      <w:r w:rsidR="00466809">
        <w:rPr>
          <w:lang w:val="fr-CH"/>
        </w:rPr>
        <w:t xml:space="preserve"> toutes les décisions de la CMR</w:t>
      </w:r>
      <w:r w:rsidR="00466809">
        <w:rPr>
          <w:lang w:val="fr-CH"/>
        </w:rPr>
        <w:noBreakHyphen/>
        <w:t>15</w:t>
      </w:r>
      <w:r w:rsidRPr="008653E6">
        <w:rPr>
          <w:lang w:val="fr-CH"/>
        </w:rPr>
        <w:t xml:space="preserve"> qui ne figurent pas dans les Actes finals</w:t>
      </w:r>
      <w:r w:rsidR="00466809">
        <w:rPr>
          <w:lang w:val="fr-CH"/>
        </w:rPr>
        <w:t xml:space="preserve">, mais </w:t>
      </w:r>
      <w:r w:rsidRPr="008653E6">
        <w:rPr>
          <w:lang w:val="fr-CH"/>
        </w:rPr>
        <w:t xml:space="preserve">sont consignées dans les procès-verbaux des séances plénières de la CMR-15, et les a publiées dans la Lettre circulaire </w:t>
      </w:r>
      <w:r w:rsidRPr="00D04881">
        <w:rPr>
          <w:b/>
          <w:lang w:val="fr-CH"/>
        </w:rPr>
        <w:t>CR/389</w:t>
      </w:r>
      <w:r w:rsidRPr="008653E6">
        <w:rPr>
          <w:lang w:val="fr-CH"/>
        </w:rPr>
        <w:t xml:space="preserve"> (</w:t>
      </w:r>
      <w:r w:rsidR="00466809">
        <w:rPr>
          <w:lang w:val="fr-CH"/>
        </w:rPr>
        <w:t>29 janvier </w:t>
      </w:r>
      <w:r w:rsidRPr="008653E6">
        <w:rPr>
          <w:lang w:val="fr-CH"/>
        </w:rPr>
        <w:t>2015).</w:t>
      </w:r>
      <w:bookmarkEnd w:id="45"/>
    </w:p>
    <w:p w:rsidR="009B2A62" w:rsidRPr="008653E6" w:rsidRDefault="009B2A62" w:rsidP="009B2A62">
      <w:pPr>
        <w:rPr>
          <w:lang w:val="fr-CH"/>
        </w:rPr>
      </w:pPr>
      <w:bookmarkStart w:id="46" w:name="lt_pId465"/>
      <w:r w:rsidRPr="008653E6">
        <w:rPr>
          <w:lang w:val="fr-CH"/>
        </w:rPr>
        <w:t>En outre, le Bureau soumettra au RRB, à sa réunion de mai 2016, des documents contenant une liste des Règles de procédure actuelles qu</w:t>
      </w:r>
      <w:r w:rsidR="00D3135C">
        <w:rPr>
          <w:lang w:val="fr-CH"/>
        </w:rPr>
        <w:t>'</w:t>
      </w:r>
      <w:r w:rsidRPr="008653E6">
        <w:rPr>
          <w:lang w:val="fr-CH"/>
        </w:rPr>
        <w:t>il faudra peut-être revoi</w:t>
      </w:r>
      <w:r w:rsidR="00466809">
        <w:rPr>
          <w:lang w:val="fr-CH"/>
        </w:rPr>
        <w:t>r suite aux décisions de la CMR-</w:t>
      </w:r>
      <w:r w:rsidRPr="008653E6">
        <w:rPr>
          <w:lang w:val="fr-CH"/>
        </w:rPr>
        <w:t>15, ainsi qu</w:t>
      </w:r>
      <w:r w:rsidR="00D3135C">
        <w:rPr>
          <w:lang w:val="fr-CH"/>
        </w:rPr>
        <w:t>'</w:t>
      </w:r>
      <w:r w:rsidRPr="008653E6">
        <w:rPr>
          <w:lang w:val="fr-CH"/>
        </w:rPr>
        <w:t xml:space="preserve">une liste préliminaire des dispositions et des décisions de </w:t>
      </w:r>
      <w:r w:rsidR="00466809">
        <w:rPr>
          <w:lang w:val="fr-CH"/>
        </w:rPr>
        <w:t>la plénière adoptées par la CMR</w:t>
      </w:r>
      <w:r w:rsidR="00466809">
        <w:rPr>
          <w:lang w:val="fr-CH"/>
        </w:rPr>
        <w:noBreakHyphen/>
      </w:r>
      <w:r w:rsidRPr="008653E6">
        <w:rPr>
          <w:lang w:val="fr-CH"/>
        </w:rPr>
        <w:t xml:space="preserve">15, </w:t>
      </w:r>
      <w:r w:rsidRPr="008653E6">
        <w:rPr>
          <w:color w:val="000000"/>
        </w:rPr>
        <w:t xml:space="preserve">qui devront peut-être être </w:t>
      </w:r>
      <w:r w:rsidR="00466809">
        <w:rPr>
          <w:color w:val="000000"/>
        </w:rPr>
        <w:t>examinées par le Comité et qui</w:t>
      </w:r>
      <w:r w:rsidRPr="008653E6">
        <w:rPr>
          <w:color w:val="000000"/>
        </w:rPr>
        <w:t xml:space="preserve"> nécessiteront peut-être l</w:t>
      </w:r>
      <w:r w:rsidR="00D3135C">
        <w:rPr>
          <w:color w:val="000000"/>
        </w:rPr>
        <w:t>'</w:t>
      </w:r>
      <w:r w:rsidRPr="008653E6">
        <w:rPr>
          <w:color w:val="000000"/>
        </w:rPr>
        <w:t>élaboration de nouvelles Règles de procédure</w:t>
      </w:r>
      <w:r w:rsidRPr="008653E6">
        <w:rPr>
          <w:lang w:val="fr-CH"/>
        </w:rPr>
        <w:t>.</w:t>
      </w:r>
      <w:bookmarkEnd w:id="46"/>
    </w:p>
    <w:p w:rsidR="009B2A62" w:rsidRPr="008653E6" w:rsidRDefault="009B2A62" w:rsidP="00466809">
      <w:pPr>
        <w:rPr>
          <w:lang w:val="fr-CH"/>
        </w:rPr>
      </w:pPr>
      <w:bookmarkStart w:id="47" w:name="lt_pId466"/>
      <w:r w:rsidRPr="008653E6">
        <w:rPr>
          <w:lang w:val="fr-CH"/>
        </w:rPr>
        <w:t>Une fois qu</w:t>
      </w:r>
      <w:r w:rsidR="00D3135C">
        <w:rPr>
          <w:lang w:val="fr-CH"/>
        </w:rPr>
        <w:t>'</w:t>
      </w:r>
      <w:r w:rsidRPr="008653E6">
        <w:rPr>
          <w:lang w:val="fr-CH"/>
        </w:rPr>
        <w:t>il aura achevé l</w:t>
      </w:r>
      <w:r w:rsidR="00D3135C">
        <w:rPr>
          <w:lang w:val="fr-CH"/>
        </w:rPr>
        <w:t>'</w:t>
      </w:r>
      <w:r w:rsidRPr="008653E6">
        <w:rPr>
          <w:lang w:val="fr-CH"/>
        </w:rPr>
        <w:t>examen des Ac</w:t>
      </w:r>
      <w:r w:rsidR="00466809">
        <w:rPr>
          <w:lang w:val="fr-CH"/>
        </w:rPr>
        <w:t>tes finals provisoire de la CMR-</w:t>
      </w:r>
      <w:r w:rsidRPr="008653E6">
        <w:rPr>
          <w:lang w:val="fr-CH"/>
        </w:rPr>
        <w:t>15, le Bureau se propose d</w:t>
      </w:r>
      <w:r w:rsidR="00D3135C">
        <w:rPr>
          <w:lang w:val="fr-CH"/>
        </w:rPr>
        <w:t>'</w:t>
      </w:r>
      <w:r w:rsidRPr="008653E6">
        <w:rPr>
          <w:lang w:val="fr-CH"/>
        </w:rPr>
        <w:t xml:space="preserve">informer les administrations, dans </w:t>
      </w:r>
      <w:r w:rsidR="00466809">
        <w:rPr>
          <w:lang w:val="fr-CH"/>
        </w:rPr>
        <w:t>d</w:t>
      </w:r>
      <w:r w:rsidRPr="008653E6">
        <w:rPr>
          <w:lang w:val="fr-CH"/>
        </w:rPr>
        <w:t xml:space="preserve">es </w:t>
      </w:r>
      <w:r w:rsidR="00466809">
        <w:rPr>
          <w:lang w:val="fr-CH"/>
        </w:rPr>
        <w:t>L</w:t>
      </w:r>
      <w:r w:rsidRPr="008653E6">
        <w:rPr>
          <w:lang w:val="fr-CH"/>
        </w:rPr>
        <w:t>ettres circulaires, des</w:t>
      </w:r>
      <w:r w:rsidR="00466809">
        <w:rPr>
          <w:lang w:val="fr-CH"/>
        </w:rPr>
        <w:t xml:space="preserve"> mesures prises pour mettre en oeuvre les </w:t>
      </w:r>
      <w:r w:rsidRPr="008653E6">
        <w:rPr>
          <w:color w:val="000000"/>
          <w:lang w:val="fr-CH"/>
        </w:rPr>
        <w:t>dispositions nouvelles ou révisées du Règlement des radiocommunications</w:t>
      </w:r>
      <w:bookmarkEnd w:id="47"/>
      <w:r w:rsidR="00466809">
        <w:rPr>
          <w:lang w:val="fr-CH"/>
        </w:rPr>
        <w:t>.</w:t>
      </w:r>
    </w:p>
    <w:p w:rsidR="009B2A62" w:rsidRPr="008653E6" w:rsidRDefault="009B2A62" w:rsidP="00BE0203">
      <w:pPr>
        <w:pStyle w:val="Heading1"/>
        <w:rPr>
          <w:lang w:val="fr-CH"/>
        </w:rPr>
      </w:pPr>
      <w:r w:rsidRPr="008653E6">
        <w:rPr>
          <w:rFonts w:eastAsia="SimSun"/>
          <w:lang w:val="fr-CH" w:eastAsia="zh-CN"/>
        </w:rPr>
        <w:t>4</w:t>
      </w:r>
      <w:r w:rsidRPr="008653E6">
        <w:rPr>
          <w:rFonts w:eastAsia="SimSun"/>
          <w:lang w:val="fr-CH" w:eastAsia="zh-CN"/>
        </w:rPr>
        <w:tab/>
        <w:t xml:space="preserve">Activités des </w:t>
      </w:r>
      <w:r w:rsidR="00BE0203">
        <w:rPr>
          <w:rFonts w:eastAsia="SimSun"/>
          <w:lang w:val="fr-CH" w:eastAsia="zh-CN"/>
        </w:rPr>
        <w:t>c</w:t>
      </w:r>
      <w:r w:rsidRPr="008653E6">
        <w:rPr>
          <w:rFonts w:eastAsia="SimSun"/>
          <w:lang w:val="fr-CH" w:eastAsia="zh-CN"/>
        </w:rPr>
        <w:t>ommissions d</w:t>
      </w:r>
      <w:r w:rsidR="00D3135C">
        <w:rPr>
          <w:rFonts w:eastAsia="SimSun"/>
          <w:lang w:val="fr-CH" w:eastAsia="zh-CN"/>
        </w:rPr>
        <w:t>'</w:t>
      </w:r>
      <w:r w:rsidRPr="008653E6">
        <w:rPr>
          <w:rFonts w:eastAsia="SimSun"/>
          <w:lang w:val="fr-CH" w:eastAsia="zh-CN"/>
        </w:rPr>
        <w:t>études</w:t>
      </w:r>
    </w:p>
    <w:p w:rsidR="009B2A62" w:rsidRPr="008653E6" w:rsidRDefault="009B2A62" w:rsidP="009B2A62">
      <w:pPr>
        <w:rPr>
          <w:lang w:val="fr-CH"/>
        </w:rPr>
      </w:pPr>
      <w:r w:rsidRPr="008653E6">
        <w:rPr>
          <w:lang w:val="fr-CH"/>
        </w:rPr>
        <w:t>Cette quest</w:t>
      </w:r>
      <w:r w:rsidR="00B226E0">
        <w:rPr>
          <w:lang w:val="fr-CH"/>
        </w:rPr>
        <w:t>ion fait l</w:t>
      </w:r>
      <w:r w:rsidR="00D3135C">
        <w:rPr>
          <w:lang w:val="fr-CH"/>
        </w:rPr>
        <w:t>'</w:t>
      </w:r>
      <w:r w:rsidR="00B226E0">
        <w:rPr>
          <w:lang w:val="fr-CH"/>
        </w:rPr>
        <w:t>objet de l</w:t>
      </w:r>
      <w:r w:rsidR="00D3135C">
        <w:rPr>
          <w:lang w:val="fr-CH"/>
        </w:rPr>
        <w:t>'</w:t>
      </w:r>
      <w:r w:rsidR="00B226E0">
        <w:rPr>
          <w:lang w:val="fr-CH"/>
        </w:rPr>
        <w:t xml:space="preserve">Addendum </w:t>
      </w:r>
      <w:r w:rsidRPr="008653E6">
        <w:rPr>
          <w:lang w:val="fr-CH"/>
        </w:rPr>
        <w:t>1 au présent document.</w:t>
      </w:r>
    </w:p>
    <w:p w:rsidR="009B2A62" w:rsidRPr="008653E6" w:rsidRDefault="009B2A62" w:rsidP="009B2A62">
      <w:pPr>
        <w:pStyle w:val="Heading1"/>
        <w:rPr>
          <w:lang w:val="fr-CH"/>
        </w:rPr>
      </w:pPr>
      <w:r w:rsidRPr="008653E6">
        <w:rPr>
          <w:lang w:val="pt-BR"/>
        </w:rPr>
        <w:t>5</w:t>
      </w:r>
      <w:r w:rsidRPr="008653E6">
        <w:rPr>
          <w:lang w:val="pt-BR"/>
        </w:rPr>
        <w:tab/>
        <w:t>Travaux préparatoires en vue de la CMR-19</w:t>
      </w:r>
    </w:p>
    <w:p w:rsidR="009B2A62" w:rsidRPr="008653E6" w:rsidRDefault="009B2A62" w:rsidP="001C1296">
      <w:pPr>
        <w:rPr>
          <w:lang w:val="fr-CH"/>
        </w:rPr>
      </w:pPr>
      <w:r w:rsidRPr="008653E6">
        <w:rPr>
          <w:lang w:val="fr-CH"/>
        </w:rPr>
        <w:t>L</w:t>
      </w:r>
      <w:r w:rsidR="00D3135C">
        <w:rPr>
          <w:lang w:val="fr-CH"/>
        </w:rPr>
        <w:t>'</w:t>
      </w:r>
      <w:r w:rsidRPr="008653E6">
        <w:rPr>
          <w:lang w:val="fr-CH"/>
        </w:rPr>
        <w:t>ordre du jour de la CMR-19, tel qu</w:t>
      </w:r>
      <w:r w:rsidR="00D3135C">
        <w:rPr>
          <w:lang w:val="fr-CH"/>
        </w:rPr>
        <w:t>'</w:t>
      </w:r>
      <w:r w:rsidRPr="008653E6">
        <w:rPr>
          <w:lang w:val="fr-CH"/>
        </w:rPr>
        <w:t>il figure dans la Résolution 80</w:t>
      </w:r>
      <w:r w:rsidR="00B226E0">
        <w:rPr>
          <w:lang w:val="fr-CH"/>
        </w:rPr>
        <w:t>9</w:t>
      </w:r>
      <w:r w:rsidRPr="008653E6">
        <w:rPr>
          <w:lang w:val="fr-CH"/>
        </w:rPr>
        <w:t xml:space="preserve"> (CMR-15)</w:t>
      </w:r>
      <w:r w:rsidR="00B226E0">
        <w:t xml:space="preserve"> [COM6/16], </w:t>
      </w:r>
      <w:r w:rsidRPr="008653E6">
        <w:rPr>
          <w:lang w:val="fr-CH"/>
        </w:rPr>
        <w:t>sera examiné par le Conseil à sa session de 2016. Celui</w:t>
      </w:r>
      <w:r w:rsidRPr="008653E6">
        <w:rPr>
          <w:lang w:val="fr-CH"/>
        </w:rPr>
        <w:noBreakHyphen/>
        <w:t>ci sera invité à adopter une Résolution contenant</w:t>
      </w:r>
      <w:r w:rsidR="00B226E0">
        <w:rPr>
          <w:lang w:val="fr-CH"/>
        </w:rPr>
        <w:t xml:space="preserve"> cet ordre du jour et à arrêter le lieu </w:t>
      </w:r>
      <w:r w:rsidRPr="008653E6">
        <w:rPr>
          <w:lang w:val="fr-CH"/>
        </w:rPr>
        <w:t>et les dates exactes de la CMR-19 et de l</w:t>
      </w:r>
      <w:r w:rsidR="00D3135C">
        <w:rPr>
          <w:lang w:val="fr-CH"/>
        </w:rPr>
        <w:t>'</w:t>
      </w:r>
      <w:r w:rsidRPr="008653E6">
        <w:rPr>
          <w:lang w:val="fr-CH"/>
        </w:rPr>
        <w:t>AR-19.</w:t>
      </w:r>
    </w:p>
    <w:p w:rsidR="009B2A62" w:rsidRPr="008653E6" w:rsidRDefault="009B2A62" w:rsidP="001C1296">
      <w:pPr>
        <w:rPr>
          <w:lang w:val="fr-CH"/>
        </w:rPr>
      </w:pPr>
      <w:bookmarkStart w:id="48" w:name="lt_pId473"/>
      <w:r w:rsidRPr="008653E6">
        <w:rPr>
          <w:lang w:val="fr-CH"/>
        </w:rPr>
        <w:t>La première session de la Réunion de préparation à la Conférence en vue de la CMR-19 (RPC19-1),</w:t>
      </w:r>
      <w:r w:rsidR="00B226E0">
        <w:rPr>
          <w:lang w:val="fr-CH"/>
        </w:rPr>
        <w:t xml:space="preserve"> </w:t>
      </w:r>
      <w:r w:rsidR="00B226E0">
        <w:t>s</w:t>
      </w:r>
      <w:r w:rsidR="00D3135C">
        <w:t>'</w:t>
      </w:r>
      <w:r w:rsidR="00B226E0">
        <w:t>est tenue</w:t>
      </w:r>
      <w:r w:rsidRPr="008653E6">
        <w:t xml:space="preserve"> à Genève du 30 novembre au 1er décembre 2015, en vue d</w:t>
      </w:r>
      <w:r w:rsidR="00D3135C">
        <w:t>'</w:t>
      </w:r>
      <w:r w:rsidRPr="008653E6">
        <w:t>organiser et de coordonner les études préparatoires en vue de la CMR-19, sur la ba</w:t>
      </w:r>
      <w:r w:rsidR="00B226E0">
        <w:t>se de l</w:t>
      </w:r>
      <w:r w:rsidR="00D3135C">
        <w:t>'</w:t>
      </w:r>
      <w:r w:rsidR="00B226E0">
        <w:t>ordre du jour de la CMR-</w:t>
      </w:r>
      <w:r w:rsidRPr="008653E6">
        <w:t>19 éla</w:t>
      </w:r>
      <w:r w:rsidR="00B226E0">
        <w:t>boré lors de la CMR-</w:t>
      </w:r>
      <w:r w:rsidRPr="008653E6">
        <w:t xml:space="preserve">15 et compte tenu des </w:t>
      </w:r>
      <w:r w:rsidR="00B226E0">
        <w:t>R</w:t>
      </w:r>
      <w:r w:rsidRPr="008653E6">
        <w:t>ésolutions pertinentes de la CMR</w:t>
      </w:r>
      <w:r w:rsidR="00B226E0">
        <w:t>-</w:t>
      </w:r>
      <w:r w:rsidRPr="008653E6">
        <w:t>15 invitant l</w:t>
      </w:r>
      <w:r w:rsidR="00D3135C">
        <w:t>'</w:t>
      </w:r>
      <w:r w:rsidRPr="008653E6">
        <w:t xml:space="preserve">UIT-R </w:t>
      </w:r>
      <w:r w:rsidR="00B226E0">
        <w:t>à</w:t>
      </w:r>
      <w:r w:rsidRPr="008653E6">
        <w:t xml:space="preserve"> procéder d</w:t>
      </w:r>
      <w:r w:rsidR="00D3135C">
        <w:t>'</w:t>
      </w:r>
      <w:r w:rsidRPr="008653E6">
        <w:t>urgence à des études</w:t>
      </w:r>
      <w:r w:rsidRPr="008653E6">
        <w:rPr>
          <w:lang w:val="fr-CH"/>
        </w:rPr>
        <w:t xml:space="preserve"> </w:t>
      </w:r>
      <w:r w:rsidR="00B226E0">
        <w:rPr>
          <w:lang w:val="fr-CH"/>
        </w:rPr>
        <w:t>et à effectuer d</w:t>
      </w:r>
      <w:r w:rsidR="00D3135C">
        <w:rPr>
          <w:lang w:val="fr-CH"/>
        </w:rPr>
        <w:t>'</w:t>
      </w:r>
      <w:r w:rsidR="00B226E0">
        <w:rPr>
          <w:lang w:val="fr-CH"/>
        </w:rPr>
        <w:t>autres études qui seront présentées dans le rapport du</w:t>
      </w:r>
      <w:r w:rsidRPr="008653E6">
        <w:t xml:space="preserve"> Directeur à la</w:t>
      </w:r>
      <w:r w:rsidRPr="008653E6">
        <w:rPr>
          <w:lang w:val="fr-CH"/>
        </w:rPr>
        <w:t xml:space="preserve"> CMR</w:t>
      </w:r>
      <w:r w:rsidR="00B226E0">
        <w:rPr>
          <w:lang w:val="fr-CH"/>
        </w:rPr>
        <w:t>-</w:t>
      </w:r>
      <w:r w:rsidRPr="008653E6">
        <w:rPr>
          <w:lang w:val="fr-CH"/>
        </w:rPr>
        <w:t>15.</w:t>
      </w:r>
      <w:bookmarkEnd w:id="48"/>
    </w:p>
    <w:p w:rsidR="009B2A62" w:rsidRPr="008653E6" w:rsidRDefault="009B2A62" w:rsidP="009E42AD">
      <w:pPr>
        <w:rPr>
          <w:lang w:val="fr-CH"/>
        </w:rPr>
      </w:pPr>
      <w:r w:rsidRPr="008653E6">
        <w:rPr>
          <w:lang w:val="fr-CH"/>
        </w:rPr>
        <w:t xml:space="preserve">La Lettre circulaire </w:t>
      </w:r>
      <w:hyperlink r:id="rId23" w:history="1">
        <w:r w:rsidR="009E42AD" w:rsidRPr="00FD777A">
          <w:rPr>
            <w:rStyle w:val="Hyperlink"/>
            <w:bCs/>
            <w:szCs w:val="24"/>
          </w:rPr>
          <w:t>CA/226</w:t>
        </w:r>
      </w:hyperlink>
      <w:r w:rsidRPr="008653E6">
        <w:rPr>
          <w:lang w:val="fr-CH"/>
        </w:rPr>
        <w:t xml:space="preserve"> en date du 23 </w:t>
      </w:r>
      <w:r w:rsidR="00B226E0">
        <w:rPr>
          <w:lang w:val="fr-CH"/>
        </w:rPr>
        <w:t>dé</w:t>
      </w:r>
      <w:r w:rsidRPr="008653E6">
        <w:rPr>
          <w:lang w:val="fr-CH"/>
        </w:rPr>
        <w:t>cembre 2015 prés</w:t>
      </w:r>
      <w:r w:rsidR="00D073DE">
        <w:rPr>
          <w:lang w:val="fr-CH"/>
        </w:rPr>
        <w:t xml:space="preserve">ente </w:t>
      </w:r>
      <w:r w:rsidR="00B226E0">
        <w:rPr>
          <w:lang w:val="fr-CH"/>
        </w:rPr>
        <w:t>les résultats de la RPC19-</w:t>
      </w:r>
      <w:r w:rsidRPr="008653E6">
        <w:rPr>
          <w:lang w:val="fr-CH"/>
        </w:rPr>
        <w:t>1 et indique en particulier les groupes responsables et les groupes concernés de l</w:t>
      </w:r>
      <w:r w:rsidR="00D3135C">
        <w:rPr>
          <w:lang w:val="fr-CH"/>
        </w:rPr>
        <w:t>'</w:t>
      </w:r>
      <w:r w:rsidRPr="008653E6">
        <w:rPr>
          <w:lang w:val="fr-CH"/>
        </w:rPr>
        <w:t>UIT-R pour chacun des points de l</w:t>
      </w:r>
      <w:r w:rsidR="00D3135C">
        <w:rPr>
          <w:lang w:val="fr-CH"/>
        </w:rPr>
        <w:t>'</w:t>
      </w:r>
      <w:r w:rsidRPr="008653E6">
        <w:rPr>
          <w:lang w:val="fr-CH"/>
        </w:rPr>
        <w:t>ordre du jour de la CMR-19</w:t>
      </w:r>
      <w:r w:rsidR="00B226E0">
        <w:rPr>
          <w:lang w:val="fr-CH"/>
        </w:rPr>
        <w:t xml:space="preserve"> ainsi que les sujets d</w:t>
      </w:r>
      <w:r w:rsidR="00D3135C">
        <w:rPr>
          <w:lang w:val="fr-CH"/>
        </w:rPr>
        <w:t>'</w:t>
      </w:r>
      <w:r w:rsidR="00B226E0">
        <w:rPr>
          <w:lang w:val="fr-CH"/>
        </w:rPr>
        <w:t>étude identifiés</w:t>
      </w:r>
      <w:r w:rsidRPr="008653E6">
        <w:rPr>
          <w:lang w:val="fr-CH"/>
        </w:rPr>
        <w:t>,</w:t>
      </w:r>
      <w:r w:rsidR="00B226E0">
        <w:rPr>
          <w:lang w:val="fr-CH"/>
        </w:rPr>
        <w:t xml:space="preserve"> y compris la dé</w:t>
      </w:r>
      <w:r w:rsidRPr="008653E6">
        <w:rPr>
          <w:lang w:val="fr-CH"/>
        </w:rPr>
        <w:t>cision</w:t>
      </w:r>
      <w:r w:rsidRPr="008653E6">
        <w:rPr>
          <w:color w:val="000000"/>
          <w:lang w:val="fr-CH"/>
        </w:rPr>
        <w:t xml:space="preserve"> de la RPC19-1</w:t>
      </w:r>
      <w:r w:rsidRPr="008653E6">
        <w:rPr>
          <w:lang w:val="fr-CH"/>
        </w:rPr>
        <w:t xml:space="preserve"> </w:t>
      </w:r>
      <w:r w:rsidRPr="008653E6">
        <w:rPr>
          <w:color w:val="000000"/>
          <w:lang w:val="fr-CH"/>
        </w:rPr>
        <w:t>d</w:t>
      </w:r>
      <w:r w:rsidR="00D3135C">
        <w:rPr>
          <w:color w:val="000000"/>
          <w:lang w:val="fr-CH"/>
        </w:rPr>
        <w:t>'</w:t>
      </w:r>
      <w:r w:rsidRPr="008653E6">
        <w:rPr>
          <w:color w:val="000000"/>
          <w:lang w:val="fr-CH"/>
        </w:rPr>
        <w:t>inviter la Commission d</w:t>
      </w:r>
      <w:r w:rsidR="00D3135C">
        <w:rPr>
          <w:color w:val="000000"/>
          <w:lang w:val="fr-CH"/>
        </w:rPr>
        <w:t>'</w:t>
      </w:r>
      <w:r w:rsidRPr="008653E6">
        <w:rPr>
          <w:color w:val="000000"/>
          <w:lang w:val="fr-CH"/>
        </w:rPr>
        <w:t>études 5 à cré</w:t>
      </w:r>
      <w:r w:rsidR="00D073DE">
        <w:rPr>
          <w:color w:val="000000"/>
          <w:lang w:val="fr-CH"/>
        </w:rPr>
        <w:t>er un Groupe d</w:t>
      </w:r>
      <w:r w:rsidR="00D3135C">
        <w:rPr>
          <w:color w:val="000000"/>
          <w:lang w:val="fr-CH"/>
        </w:rPr>
        <w:t>'</w:t>
      </w:r>
      <w:r w:rsidR="00D073DE">
        <w:rPr>
          <w:color w:val="000000"/>
          <w:lang w:val="fr-CH"/>
        </w:rPr>
        <w:t xml:space="preserve">action (GA 5/1) </w:t>
      </w:r>
      <w:r w:rsidRPr="008653E6">
        <w:rPr>
          <w:color w:val="000000"/>
          <w:lang w:val="fr-CH"/>
        </w:rPr>
        <w:t xml:space="preserve">en tant que groupe responsable du point 1.13 </w:t>
      </w:r>
      <w:r w:rsidR="00D073DE">
        <w:rPr>
          <w:color w:val="000000"/>
          <w:lang w:val="fr-CH"/>
        </w:rPr>
        <w:t>de l</w:t>
      </w:r>
      <w:r w:rsidR="00D3135C">
        <w:rPr>
          <w:color w:val="000000"/>
          <w:lang w:val="fr-CH"/>
        </w:rPr>
        <w:t>'</w:t>
      </w:r>
      <w:r w:rsidR="00D073DE">
        <w:rPr>
          <w:color w:val="000000"/>
          <w:lang w:val="fr-CH"/>
        </w:rPr>
        <w:t>ordre du jour de la CMR-19</w:t>
      </w:r>
      <w:r w:rsidRPr="008653E6">
        <w:rPr>
          <w:color w:val="000000"/>
          <w:lang w:val="fr-CH"/>
        </w:rPr>
        <w:t>,</w:t>
      </w:r>
      <w:r w:rsidR="00D073DE">
        <w:rPr>
          <w:color w:val="000000"/>
          <w:lang w:val="fr-CH"/>
        </w:rPr>
        <w:t xml:space="preserve"> </w:t>
      </w:r>
      <w:r w:rsidRPr="008653E6">
        <w:rPr>
          <w:color w:val="000000"/>
          <w:lang w:val="fr-CH"/>
        </w:rPr>
        <w:t>dont le mandat a été approuvé</w:t>
      </w:r>
      <w:r w:rsidR="00D073DE">
        <w:rPr>
          <w:color w:val="000000"/>
          <w:lang w:val="fr-CH"/>
        </w:rPr>
        <w:t>.</w:t>
      </w:r>
      <w:r w:rsidRPr="008653E6">
        <w:rPr>
          <w:lang w:val="fr-CH"/>
        </w:rPr>
        <w:t xml:space="preserve"> Il a été demandé à tous les groupes responsables de se conformer aux lignes directrices applicables à l</w:t>
      </w:r>
      <w:r w:rsidR="00D3135C">
        <w:rPr>
          <w:lang w:val="fr-CH"/>
        </w:rPr>
        <w:t>'</w:t>
      </w:r>
      <w:r w:rsidRPr="008653E6">
        <w:rPr>
          <w:lang w:val="fr-CH"/>
        </w:rPr>
        <w:t>élaboration des projets de texte de la RPC, telles qu</w:t>
      </w:r>
      <w:r w:rsidR="00D3135C">
        <w:rPr>
          <w:lang w:val="fr-CH"/>
        </w:rPr>
        <w:t>'</w:t>
      </w:r>
      <w:r w:rsidRPr="008653E6">
        <w:rPr>
          <w:lang w:val="fr-CH"/>
        </w:rPr>
        <w:t>elles figurent dans l</w:t>
      </w:r>
      <w:r w:rsidR="00D3135C">
        <w:rPr>
          <w:lang w:val="fr-CH"/>
        </w:rPr>
        <w:t>'</w:t>
      </w:r>
      <w:r w:rsidRPr="008653E6">
        <w:rPr>
          <w:lang w:val="fr-CH"/>
        </w:rPr>
        <w:t>Annex</w:t>
      </w:r>
      <w:r w:rsidR="00D073DE">
        <w:rPr>
          <w:lang w:val="fr-CH"/>
        </w:rPr>
        <w:t>e 2 de la Résolution UIT-R 2-7.</w:t>
      </w:r>
    </w:p>
    <w:p w:rsidR="009B2A62" w:rsidRPr="008653E6" w:rsidRDefault="009B2A62" w:rsidP="009E42AD">
      <w:pPr>
        <w:rPr>
          <w:lang w:val="fr-CH"/>
        </w:rPr>
      </w:pPr>
      <w:r w:rsidRPr="008653E6">
        <w:rPr>
          <w:bCs/>
          <w:lang w:val="fr-CH"/>
        </w:rPr>
        <w:t xml:space="preserve">La Lettre circulaire </w:t>
      </w:r>
      <w:hyperlink r:id="rId24" w:history="1">
        <w:r w:rsidR="009E42AD" w:rsidRPr="00FD777A">
          <w:rPr>
            <w:rStyle w:val="Hyperlink"/>
            <w:bCs/>
            <w:szCs w:val="24"/>
          </w:rPr>
          <w:t>CA/226</w:t>
        </w:r>
      </w:hyperlink>
      <w:r w:rsidRPr="00B226E0">
        <w:t xml:space="preserve"> </w:t>
      </w:r>
      <w:r w:rsidR="00B226E0">
        <w:t>et le Corrigendum 1</w:t>
      </w:r>
      <w:r w:rsidR="00A60D74">
        <w:t xml:space="preserve"> </w:t>
      </w:r>
      <w:r w:rsidRPr="008653E6">
        <w:rPr>
          <w:lang w:val="fr-CH"/>
        </w:rPr>
        <w:t>donne</w:t>
      </w:r>
      <w:r w:rsidR="00A60D74">
        <w:rPr>
          <w:lang w:val="fr-CH"/>
        </w:rPr>
        <w:t>nt</w:t>
      </w:r>
      <w:r w:rsidRPr="008653E6">
        <w:rPr>
          <w:lang w:val="fr-CH"/>
        </w:rPr>
        <w:t xml:space="preserve"> également des renseignements sur la structure et les grandes lignes du projet de Rapport de la RP</w:t>
      </w:r>
      <w:r w:rsidR="00D073DE">
        <w:rPr>
          <w:lang w:val="fr-CH"/>
        </w:rPr>
        <w:t>C à la CMR-19, qui comprend six </w:t>
      </w:r>
      <w:r w:rsidRPr="008653E6">
        <w:rPr>
          <w:lang w:val="fr-CH"/>
        </w:rPr>
        <w:t>ch</w:t>
      </w:r>
      <w:r w:rsidR="00D073DE">
        <w:rPr>
          <w:lang w:val="fr-CH"/>
        </w:rPr>
        <w:t xml:space="preserve">apitres, ainsi que sur les six </w:t>
      </w:r>
      <w:r w:rsidRPr="008653E6">
        <w:rPr>
          <w:lang w:val="fr-CH"/>
        </w:rPr>
        <w:t>Rapporte</w:t>
      </w:r>
      <w:r w:rsidR="00A60D74">
        <w:rPr>
          <w:lang w:val="fr-CH"/>
        </w:rPr>
        <w:t>urs désignés pour ces chapitres</w:t>
      </w:r>
      <w:r w:rsidRPr="008653E6">
        <w:rPr>
          <w:lang w:val="fr-CH"/>
        </w:rPr>
        <w:t xml:space="preserve"> qui seront chargés d</w:t>
      </w:r>
      <w:r w:rsidR="00D3135C">
        <w:rPr>
          <w:lang w:val="fr-CH"/>
        </w:rPr>
        <w:t>'</w:t>
      </w:r>
      <w:r w:rsidRPr="008653E6">
        <w:rPr>
          <w:lang w:val="fr-CH"/>
        </w:rPr>
        <w:t>aider le Président à gérer le flux des contributions et l</w:t>
      </w:r>
      <w:r w:rsidR="00D3135C">
        <w:rPr>
          <w:lang w:val="fr-CH"/>
        </w:rPr>
        <w:t>'</w:t>
      </w:r>
      <w:r w:rsidRPr="008653E6">
        <w:rPr>
          <w:lang w:val="fr-CH"/>
        </w:rPr>
        <w:t>élaboration des projets de texte de la RPC.</w:t>
      </w:r>
    </w:p>
    <w:p w:rsidR="009B2A62" w:rsidRPr="008653E6" w:rsidRDefault="009B2A62" w:rsidP="009B2A62">
      <w:pPr>
        <w:pStyle w:val="Heading1"/>
        <w:rPr>
          <w:lang w:val="fr-CH"/>
        </w:rPr>
      </w:pPr>
      <w:r w:rsidRPr="008653E6">
        <w:rPr>
          <w:lang w:val="fr-CH"/>
        </w:rPr>
        <w:t>6</w:t>
      </w:r>
      <w:r w:rsidRPr="008653E6">
        <w:rPr>
          <w:lang w:val="fr-CH"/>
        </w:rPr>
        <w:tab/>
      </w:r>
      <w:r w:rsidRPr="008653E6">
        <w:rPr>
          <w:color w:val="000000"/>
          <w:lang w:val="fr-CH"/>
        </w:rPr>
        <w:t>Planification opérationnelle</w:t>
      </w:r>
    </w:p>
    <w:p w:rsidR="009B2A62" w:rsidRPr="008653E6" w:rsidRDefault="009B2A62" w:rsidP="001C1296">
      <w:pPr>
        <w:rPr>
          <w:lang w:val="fr-CH"/>
        </w:rPr>
      </w:pPr>
      <w:r w:rsidRPr="001C1296">
        <w:rPr>
          <w:lang w:val="fr-CH"/>
        </w:rPr>
        <w:t xml:space="preserve">Ainsi que le GCR en a </w:t>
      </w:r>
      <w:r w:rsidR="00BF6DC8" w:rsidRPr="001C1296">
        <w:rPr>
          <w:lang w:val="fr-CH"/>
        </w:rPr>
        <w:t>été informé à sa 22ème réunion,</w:t>
      </w:r>
      <w:r w:rsidRPr="001C1296">
        <w:rPr>
          <w:lang w:val="fr-CH"/>
        </w:rPr>
        <w:t xml:space="preserve"> </w:t>
      </w:r>
      <w:r w:rsidRPr="008653E6">
        <w:rPr>
          <w:lang w:val="fr-CH"/>
        </w:rPr>
        <w:t>suite à l</w:t>
      </w:r>
      <w:r w:rsidR="00D3135C">
        <w:rPr>
          <w:lang w:val="fr-CH"/>
        </w:rPr>
        <w:t>'</w:t>
      </w:r>
      <w:r w:rsidRPr="008653E6">
        <w:rPr>
          <w:lang w:val="fr-CH"/>
        </w:rPr>
        <w:t>approbation du Plan stratégique de l</w:t>
      </w:r>
      <w:r w:rsidR="00D3135C">
        <w:rPr>
          <w:lang w:val="fr-CH"/>
        </w:rPr>
        <w:t>'</w:t>
      </w:r>
      <w:r w:rsidRPr="008653E6">
        <w:rPr>
          <w:lang w:val="fr-CH"/>
        </w:rPr>
        <w:t>Union pour la période 2016-2019 par la PP-14,</w:t>
      </w:r>
      <w:r w:rsidRPr="001C1296">
        <w:rPr>
          <w:lang w:val="fr-CH"/>
        </w:rPr>
        <w:t xml:space="preserve"> le Plan opérationnel de l</w:t>
      </w:r>
      <w:r w:rsidR="00D3135C" w:rsidRPr="001C1296">
        <w:rPr>
          <w:lang w:val="fr-CH"/>
        </w:rPr>
        <w:t>'</w:t>
      </w:r>
      <w:r w:rsidRPr="001C1296">
        <w:rPr>
          <w:lang w:val="fr-CH"/>
        </w:rPr>
        <w:t>UIT-R a été structuré sur la base de la méthode de gestion axée sur les résultats (GAR),</w:t>
      </w:r>
      <w:r w:rsidRPr="008653E6">
        <w:rPr>
          <w:lang w:val="fr-CH"/>
        </w:rPr>
        <w:t xml:space="preserve"> afin d</w:t>
      </w:r>
      <w:r w:rsidR="00D3135C">
        <w:rPr>
          <w:lang w:val="fr-CH"/>
        </w:rPr>
        <w:t>'</w:t>
      </w:r>
      <w:r w:rsidRPr="008653E6">
        <w:rPr>
          <w:lang w:val="fr-CH"/>
        </w:rPr>
        <w:t>assurer une parfaite coordination avec le budget et les autres outils financiers de l</w:t>
      </w:r>
      <w:r w:rsidR="00D3135C">
        <w:rPr>
          <w:lang w:val="fr-CH"/>
        </w:rPr>
        <w:t>'</w:t>
      </w:r>
      <w:r w:rsidRPr="008653E6">
        <w:rPr>
          <w:lang w:val="fr-CH"/>
        </w:rPr>
        <w:t>Union.</w:t>
      </w:r>
      <w:r w:rsidRPr="001C1296">
        <w:rPr>
          <w:lang w:val="fr-CH"/>
        </w:rPr>
        <w:t xml:space="preserve"> Le Plan opérationnel de l</w:t>
      </w:r>
      <w:r w:rsidR="00D3135C" w:rsidRPr="001C1296">
        <w:rPr>
          <w:lang w:val="fr-CH"/>
        </w:rPr>
        <w:t>'</w:t>
      </w:r>
      <w:r w:rsidRPr="001C1296">
        <w:rPr>
          <w:lang w:val="fr-CH"/>
        </w:rPr>
        <w:t>UIT</w:t>
      </w:r>
      <w:r w:rsidR="00BF6DC8" w:rsidRPr="001C1296">
        <w:rPr>
          <w:lang w:val="fr-CH"/>
        </w:rPr>
        <w:noBreakHyphen/>
      </w:r>
      <w:r w:rsidRPr="001C1296">
        <w:rPr>
          <w:lang w:val="fr-CH"/>
        </w:rPr>
        <w:t>R</w:t>
      </w:r>
      <w:r w:rsidRPr="008653E6">
        <w:rPr>
          <w:lang w:val="fr-CH"/>
        </w:rPr>
        <w:t xml:space="preserve"> pour la période 2016-2019 a été approuvé par le Conseil à sa session de 2015</w:t>
      </w:r>
      <w:r w:rsidR="00BF6DC8">
        <w:rPr>
          <w:lang w:val="fr-CH"/>
        </w:rPr>
        <w:t xml:space="preserve"> </w:t>
      </w:r>
      <w:r w:rsidR="00BF6DC8">
        <w:rPr>
          <w:szCs w:val="24"/>
        </w:rPr>
        <w:t>(</w:t>
      </w:r>
      <w:hyperlink r:id="rId25" w:history="1">
        <w:r w:rsidR="00BF6DC8" w:rsidRPr="0036438C">
          <w:rPr>
            <w:rStyle w:val="Hyperlink"/>
          </w:rPr>
          <w:t>http://www.itu.int/oth/R0B05000019/fr</w:t>
        </w:r>
      </w:hyperlink>
      <w:r w:rsidR="00BF6DC8" w:rsidRPr="00BF6DC8">
        <w:t>)</w:t>
      </w:r>
      <w:r w:rsidR="00BF6DC8">
        <w:t>.</w:t>
      </w:r>
    </w:p>
    <w:p w:rsidR="009B2A62" w:rsidRPr="008653E6" w:rsidRDefault="009B2A62" w:rsidP="001C1296">
      <w:pPr>
        <w:rPr>
          <w:lang w:val="fr-CH"/>
        </w:rPr>
      </w:pPr>
      <w:r w:rsidRPr="008653E6">
        <w:t>Le projet de Plan opérationnel de l</w:t>
      </w:r>
      <w:r w:rsidR="00D3135C">
        <w:t>'</w:t>
      </w:r>
      <w:r w:rsidRPr="008653E6">
        <w:t xml:space="preserve">UIT-R pour la période </w:t>
      </w:r>
      <w:r w:rsidRPr="008653E6">
        <w:rPr>
          <w:lang w:val="fr-CH"/>
        </w:rPr>
        <w:t>2017-2020 est reproduit dans l</w:t>
      </w:r>
      <w:r w:rsidR="00D3135C">
        <w:rPr>
          <w:lang w:val="fr-CH"/>
        </w:rPr>
        <w:t>'</w:t>
      </w:r>
      <w:r w:rsidR="00BF6DC8">
        <w:rPr>
          <w:lang w:val="fr-CH"/>
        </w:rPr>
        <w:t>A</w:t>
      </w:r>
      <w:r w:rsidRPr="008653E6">
        <w:rPr>
          <w:lang w:val="fr-CH"/>
        </w:rPr>
        <w:t>ddendum</w:t>
      </w:r>
      <w:r w:rsidR="001C1296">
        <w:rPr>
          <w:lang w:val="fr-CH"/>
        </w:rPr>
        <w:t> </w:t>
      </w:r>
      <w:r w:rsidRPr="008653E6">
        <w:rPr>
          <w:lang w:val="fr-CH"/>
        </w:rPr>
        <w:t>2 au présent document, pour examen et commentaires par le GCR.</w:t>
      </w:r>
    </w:p>
    <w:p w:rsidR="009B2A62" w:rsidRPr="008653E6" w:rsidRDefault="009B2A62" w:rsidP="009B2A62">
      <w:pPr>
        <w:pStyle w:val="Heading1"/>
      </w:pPr>
      <w:r w:rsidRPr="008653E6">
        <w:rPr>
          <w:lang w:val="fr-CH"/>
        </w:rPr>
        <w:t>7</w:t>
      </w:r>
      <w:r w:rsidRPr="008653E6">
        <w:rPr>
          <w:lang w:val="fr-CH"/>
        </w:rPr>
        <w:tab/>
      </w:r>
      <w:r w:rsidRPr="008653E6">
        <w:t>Système d</w:t>
      </w:r>
      <w:r w:rsidR="00D3135C">
        <w:t>'</w:t>
      </w:r>
      <w:r w:rsidRPr="008653E6">
        <w:t>information du BR</w:t>
      </w:r>
    </w:p>
    <w:p w:rsidR="009B2A62" w:rsidRPr="008653E6" w:rsidRDefault="009B2A62" w:rsidP="00BF6DC8">
      <w:pPr>
        <w:rPr>
          <w:lang w:val="fr-CH" w:eastAsia="zh-CN"/>
        </w:rPr>
      </w:pPr>
      <w:r w:rsidRPr="008653E6">
        <w:rPr>
          <w:lang w:val="fr-CH" w:eastAsia="zh-CN"/>
        </w:rPr>
        <w:t>A sa 19ème réunion (2012), le GCR a</w:t>
      </w:r>
      <w:r w:rsidR="00BF6DC8">
        <w:rPr>
          <w:lang w:val="fr-CH" w:eastAsia="zh-CN"/>
        </w:rPr>
        <w:t>vait</w:t>
      </w:r>
      <w:r w:rsidRPr="008653E6">
        <w:rPr>
          <w:lang w:val="fr-CH" w:eastAsia="zh-CN"/>
        </w:rPr>
        <w:t xml:space="preserve"> invité le Directeur à mettre en oeuvre les mesures recommandées dans les délais proposés, comme indiqué dans la feuille de route approuvée, qui prévoit les phases suivantes: Phase 1 (Mise en oeuvre des décisions de la CMR-12) jusqu</w:t>
      </w:r>
      <w:r w:rsidR="00D3135C">
        <w:rPr>
          <w:lang w:val="fr-CH" w:eastAsia="zh-CN"/>
        </w:rPr>
        <w:t>'</w:t>
      </w:r>
      <w:r w:rsidRPr="008653E6">
        <w:rPr>
          <w:lang w:val="fr-CH" w:eastAsia="zh-CN"/>
        </w:rPr>
        <w:t>au 31 décembre 2012, Phase 2 (Réécriture de certains logiciels existants) jusqu</w:t>
      </w:r>
      <w:r w:rsidR="00D3135C">
        <w:rPr>
          <w:lang w:val="fr-CH" w:eastAsia="zh-CN"/>
        </w:rPr>
        <w:t>'</w:t>
      </w:r>
      <w:r w:rsidRPr="008653E6">
        <w:rPr>
          <w:lang w:val="fr-CH" w:eastAsia="zh-CN"/>
        </w:rPr>
        <w:t>au 31 décembre 2015 et Phase 3 (Création d</w:t>
      </w:r>
      <w:r w:rsidR="00D3135C">
        <w:rPr>
          <w:lang w:val="fr-CH" w:eastAsia="zh-CN"/>
        </w:rPr>
        <w:t>'</w:t>
      </w:r>
      <w:r w:rsidRPr="008653E6">
        <w:rPr>
          <w:lang w:val="fr-CH" w:eastAsia="zh-CN"/>
        </w:rPr>
        <w:t xml:space="preserve">une équipe de projet chargée de mettre en place un cadre commun, un système de sécurité et une base de données centralisée sur les services spatiaux) du 1er janvier 2016 au 31 décembre 2018. Le GCR a encouragé les Etats Membres et les Membres de Secteur à </w:t>
      </w:r>
      <w:r w:rsidR="00BF6DC8">
        <w:rPr>
          <w:lang w:val="fr-CH" w:eastAsia="zh-CN"/>
        </w:rPr>
        <w:t>soumettre</w:t>
      </w:r>
      <w:r w:rsidRPr="008653E6">
        <w:rPr>
          <w:lang w:val="fr-CH" w:eastAsia="zh-CN"/>
        </w:rPr>
        <w:t xml:space="preserve"> leurs observations concernant la Phase 3.</w:t>
      </w:r>
    </w:p>
    <w:p w:rsidR="009B2A62" w:rsidRPr="008653E6" w:rsidRDefault="009B2A62" w:rsidP="009B2A62">
      <w:pPr>
        <w:rPr>
          <w:lang w:eastAsia="zh-CN"/>
        </w:rPr>
      </w:pPr>
      <w:r w:rsidRPr="008653E6">
        <w:rPr>
          <w:lang w:eastAsia="zh-CN"/>
        </w:rPr>
        <w:t>Le rapport d</w:t>
      </w:r>
      <w:r w:rsidR="00D3135C">
        <w:rPr>
          <w:lang w:eastAsia="zh-CN"/>
        </w:rPr>
        <w:t>'</w:t>
      </w:r>
      <w:r w:rsidRPr="008653E6">
        <w:rPr>
          <w:lang w:eastAsia="zh-CN"/>
        </w:rPr>
        <w:t>activité sur cette question fait l</w:t>
      </w:r>
      <w:r w:rsidR="00D3135C">
        <w:rPr>
          <w:lang w:eastAsia="zh-CN"/>
        </w:rPr>
        <w:t>'</w:t>
      </w:r>
      <w:r w:rsidRPr="008653E6">
        <w:rPr>
          <w:lang w:eastAsia="zh-CN"/>
        </w:rPr>
        <w:t>objet de l</w:t>
      </w:r>
      <w:r w:rsidR="00D3135C">
        <w:rPr>
          <w:lang w:eastAsia="zh-CN"/>
        </w:rPr>
        <w:t>'</w:t>
      </w:r>
      <w:r w:rsidRPr="008653E6">
        <w:rPr>
          <w:lang w:eastAsia="zh-CN"/>
        </w:rPr>
        <w:t>Annexe 1 du présent document. D</w:t>
      </w:r>
      <w:r w:rsidR="00D3135C">
        <w:rPr>
          <w:lang w:eastAsia="zh-CN"/>
        </w:rPr>
        <w:t>'</w:t>
      </w:r>
      <w:r w:rsidRPr="008653E6">
        <w:rPr>
          <w:lang w:eastAsia="zh-CN"/>
        </w:rPr>
        <w:t>autres activités en cours sont présentées dans les lignes qui suivent</w:t>
      </w:r>
      <w:r w:rsidR="00F13804">
        <w:rPr>
          <w:lang w:eastAsia="zh-CN"/>
        </w:rPr>
        <w:t>.</w:t>
      </w:r>
    </w:p>
    <w:p w:rsidR="009B2A62" w:rsidRPr="008653E6" w:rsidRDefault="009B2A62" w:rsidP="009B2A62">
      <w:pPr>
        <w:pStyle w:val="Heading2"/>
        <w:rPr>
          <w:lang w:val="fr-CH"/>
        </w:rPr>
      </w:pPr>
      <w:bookmarkStart w:id="49" w:name="lt_pId491"/>
      <w:bookmarkStart w:id="50" w:name="_Toc446060770"/>
      <w:r w:rsidRPr="008653E6">
        <w:rPr>
          <w:lang w:val="fr-CH"/>
        </w:rPr>
        <w:t>7.1</w:t>
      </w:r>
      <w:bookmarkEnd w:id="49"/>
      <w:r w:rsidRPr="008653E6">
        <w:rPr>
          <w:lang w:val="fr-CH"/>
        </w:rPr>
        <w:tab/>
      </w:r>
      <w:bookmarkStart w:id="51" w:name="lt_pId492"/>
      <w:r w:rsidR="00F13804">
        <w:rPr>
          <w:lang w:val="fr-CH"/>
        </w:rPr>
        <w:t>Mise en oe</w:t>
      </w:r>
      <w:r w:rsidRPr="008653E6">
        <w:rPr>
          <w:lang w:val="fr-CH"/>
        </w:rPr>
        <w:t>uvre de la Résolution 186 (Busan</w:t>
      </w:r>
      <w:r w:rsidR="00F13804">
        <w:rPr>
          <w:lang w:val="fr-CH"/>
        </w:rPr>
        <w:t>, 2014</w:t>
      </w:r>
      <w:r w:rsidRPr="008653E6">
        <w:rPr>
          <w:lang w:val="fr-CH"/>
        </w:rPr>
        <w:t>)</w:t>
      </w:r>
      <w:bookmarkEnd w:id="50"/>
      <w:bookmarkEnd w:id="51"/>
    </w:p>
    <w:p w:rsidR="009B2A62" w:rsidRPr="008653E6" w:rsidRDefault="009B2A62" w:rsidP="009B2A62">
      <w:bookmarkStart w:id="52" w:name="lt_pId493"/>
      <w:r w:rsidRPr="008653E6">
        <w:rPr>
          <w:lang w:val="fr-CH"/>
        </w:rPr>
        <w:t>Le BR élabore actuellement le Système de notification et de résolution des brouillages causés par les systèmes à satellites (SIRRS),</w:t>
      </w:r>
      <w:r w:rsidR="00F13804">
        <w:rPr>
          <w:lang w:val="fr-CH"/>
        </w:rPr>
        <w:t xml:space="preserve"> en application de la R</w:t>
      </w:r>
      <w:r w:rsidRPr="008653E6">
        <w:rPr>
          <w:lang w:val="fr-CH"/>
        </w:rPr>
        <w:t>ésolution 186 (Busan</w:t>
      </w:r>
      <w:r w:rsidR="00F13804">
        <w:rPr>
          <w:lang w:val="fr-CH"/>
        </w:rPr>
        <w:t>, 2014</w:t>
      </w:r>
      <w:r w:rsidRPr="008653E6">
        <w:rPr>
          <w:lang w:val="fr-CH"/>
        </w:rPr>
        <w:t xml:space="preserve">), </w:t>
      </w:r>
      <w:r w:rsidRPr="008653E6">
        <w:rPr>
          <w:color w:val="000000"/>
        </w:rPr>
        <w:t>pour tenir à jour une base de données sur les cas de brouillages préjudiciables signalés conformément aux dispositions pertinentes du Règlement des radiocommunications, après consultation des Etats Membres</w:t>
      </w:r>
      <w:bookmarkEnd w:id="52"/>
      <w:r w:rsidRPr="008653E6">
        <w:rPr>
          <w:lang w:val="fr-CH"/>
        </w:rPr>
        <w:t xml:space="preserve">. Le système </w:t>
      </w:r>
      <w:bookmarkStart w:id="53" w:name="lt_pId494"/>
      <w:r w:rsidRPr="008653E6">
        <w:rPr>
          <w:lang w:val="fr-CH"/>
        </w:rPr>
        <w:t>SIRRS comprendra un portail web sécurisé pour la soumission et la consultation de</w:t>
      </w:r>
      <w:r w:rsidR="00F13804">
        <w:rPr>
          <w:lang w:val="fr-CH"/>
        </w:rPr>
        <w:t>s rapports sur des brouillages</w:t>
      </w:r>
      <w:r w:rsidRPr="008653E6">
        <w:rPr>
          <w:lang w:val="fr-CH"/>
        </w:rPr>
        <w:t>. Il devrait être mis en service en juillet 2016.</w:t>
      </w:r>
      <w:bookmarkStart w:id="54" w:name="lt_pId495"/>
      <w:bookmarkEnd w:id="53"/>
    </w:p>
    <w:p w:rsidR="009B2A62" w:rsidRPr="008653E6" w:rsidRDefault="009B2A62" w:rsidP="009B2A62">
      <w:pPr>
        <w:pStyle w:val="Heading2"/>
        <w:rPr>
          <w:lang w:val="fr-CH"/>
        </w:rPr>
      </w:pPr>
      <w:bookmarkStart w:id="55" w:name="lt_pId496"/>
      <w:bookmarkStart w:id="56" w:name="_Toc446060771"/>
      <w:r w:rsidRPr="008653E6">
        <w:rPr>
          <w:lang w:val="fr-CH"/>
        </w:rPr>
        <w:t>7.2</w:t>
      </w:r>
      <w:bookmarkEnd w:id="55"/>
      <w:r w:rsidRPr="008653E6">
        <w:rPr>
          <w:lang w:val="fr-CH"/>
        </w:rPr>
        <w:tab/>
      </w:r>
      <w:bookmarkStart w:id="57" w:name="lt_pId497"/>
      <w:r w:rsidRPr="008653E6">
        <w:rPr>
          <w:lang w:val="fr-CH"/>
        </w:rPr>
        <w:t>Logiciel</w:t>
      </w:r>
      <w:r w:rsidR="00F13804">
        <w:rPr>
          <w:lang w:val="fr-CH"/>
        </w:rPr>
        <w:t xml:space="preserve"> </w:t>
      </w:r>
      <w:r w:rsidRPr="008653E6">
        <w:rPr>
          <w:lang w:val="fr-CH"/>
        </w:rPr>
        <w:t>de validation des valeurs d</w:t>
      </w:r>
      <w:r w:rsidR="00D3135C">
        <w:rPr>
          <w:lang w:val="fr-CH"/>
        </w:rPr>
        <w:t>'</w:t>
      </w:r>
      <w:r w:rsidRPr="008653E6">
        <w:rPr>
          <w:lang w:val="fr-CH"/>
        </w:rPr>
        <w:t>epfd</w:t>
      </w:r>
      <w:bookmarkEnd w:id="56"/>
      <w:bookmarkEnd w:id="57"/>
    </w:p>
    <w:p w:rsidR="009B2A62" w:rsidRPr="008653E6" w:rsidRDefault="009B2A62" w:rsidP="001C1296">
      <w:pPr>
        <w:rPr>
          <w:lang w:val="fr-CH"/>
        </w:rPr>
      </w:pPr>
      <w:bookmarkStart w:id="58" w:name="lt_pId498"/>
      <w:r w:rsidRPr="008653E6">
        <w:rPr>
          <w:lang w:val="fr-CH"/>
        </w:rPr>
        <w:t xml:space="preserve">Afin </w:t>
      </w:r>
      <w:r w:rsidR="00265708">
        <w:rPr>
          <w:lang w:val="fr-CH"/>
        </w:rPr>
        <w:t>d</w:t>
      </w:r>
      <w:r w:rsidR="00D3135C">
        <w:rPr>
          <w:lang w:val="fr-CH"/>
        </w:rPr>
        <w:t>'</w:t>
      </w:r>
      <w:r w:rsidR="00265708">
        <w:rPr>
          <w:lang w:val="fr-CH"/>
        </w:rPr>
        <w:t>examiner la conformité aux</w:t>
      </w:r>
      <w:r w:rsidRPr="008653E6">
        <w:rPr>
          <w:lang w:val="fr-CH"/>
        </w:rPr>
        <w:t xml:space="preserve"> limites de puissance surfacique équivalente (epfd) indiquées dans l</w:t>
      </w:r>
      <w:r w:rsidR="00D3135C">
        <w:rPr>
          <w:lang w:val="fr-CH"/>
        </w:rPr>
        <w:t>'</w:t>
      </w:r>
      <w:r w:rsidRPr="008653E6">
        <w:rPr>
          <w:lang w:val="fr-CH"/>
        </w:rPr>
        <w:t xml:space="preserve">Article 22 du Règlement des radiocommunications, le Bureau a passé contrat en 2015 avec deux sociétés de service informatique, qui ont été chargées de </w:t>
      </w:r>
      <w:r w:rsidR="00265708">
        <w:rPr>
          <w:lang w:val="fr-CH"/>
        </w:rPr>
        <w:t>procéder à</w:t>
      </w:r>
      <w:r w:rsidRPr="008653E6">
        <w:rPr>
          <w:lang w:val="fr-CH"/>
        </w:rPr>
        <w:t xml:space="preserve"> l</w:t>
      </w:r>
      <w:r w:rsidR="00D3135C">
        <w:rPr>
          <w:lang w:val="fr-CH"/>
        </w:rPr>
        <w:t>'</w:t>
      </w:r>
      <w:r w:rsidRPr="008653E6">
        <w:rPr>
          <w:lang w:val="fr-CH"/>
        </w:rPr>
        <w:t xml:space="preserve">élaboration des outils logiciels de validation </w:t>
      </w:r>
      <w:r w:rsidR="00265708">
        <w:rPr>
          <w:lang w:val="fr-CH"/>
        </w:rPr>
        <w:t>des valeurs d</w:t>
      </w:r>
      <w:r w:rsidR="00D3135C">
        <w:rPr>
          <w:lang w:val="fr-CH"/>
        </w:rPr>
        <w:t>'</w:t>
      </w:r>
      <w:r w:rsidR="00265708">
        <w:rPr>
          <w:lang w:val="fr-CH"/>
        </w:rPr>
        <w:t xml:space="preserve">epfd </w:t>
      </w:r>
      <w:r w:rsidRPr="008653E6">
        <w:rPr>
          <w:lang w:val="fr-CH"/>
        </w:rPr>
        <w:t>p</w:t>
      </w:r>
      <w:r w:rsidR="00265708">
        <w:rPr>
          <w:lang w:val="fr-CH"/>
        </w:rPr>
        <w:t>our l</w:t>
      </w:r>
      <w:r w:rsidR="00D3135C">
        <w:rPr>
          <w:lang w:val="fr-CH"/>
        </w:rPr>
        <w:t>'</w:t>
      </w:r>
      <w:r w:rsidR="00265708">
        <w:rPr>
          <w:lang w:val="fr-CH"/>
        </w:rPr>
        <w:t xml:space="preserve">analyse des systèmes non </w:t>
      </w:r>
      <w:r w:rsidRPr="008653E6">
        <w:rPr>
          <w:lang w:val="fr-CH"/>
        </w:rPr>
        <w:t>OSG du service fixe par satellite (SFS), conformément aux spécifications logicielles indiquées dans la Recommandation UIT</w:t>
      </w:r>
      <w:r w:rsidR="00265708">
        <w:rPr>
          <w:lang w:val="fr-CH"/>
        </w:rPr>
        <w:t>-</w:t>
      </w:r>
      <w:r w:rsidRPr="008653E6">
        <w:rPr>
          <w:lang w:val="fr-CH"/>
        </w:rPr>
        <w:t>R S.1503-2.</w:t>
      </w:r>
      <w:bookmarkEnd w:id="58"/>
    </w:p>
    <w:p w:rsidR="009B2A62" w:rsidRPr="008653E6" w:rsidRDefault="00265708" w:rsidP="00265708">
      <w:pPr>
        <w:rPr>
          <w:lang w:val="fr-CH"/>
        </w:rPr>
      </w:pPr>
      <w:bookmarkStart w:id="59" w:name="lt_pId499"/>
      <w:r>
        <w:rPr>
          <w:lang w:val="fr-CH"/>
        </w:rPr>
        <w:t>C</w:t>
      </w:r>
      <w:r w:rsidR="009B2A62" w:rsidRPr="008653E6">
        <w:rPr>
          <w:lang w:val="fr-CH"/>
        </w:rPr>
        <w:t xml:space="preserve">es deux sociétés ont remis au Bureau, à la mi-février 2016, des </w:t>
      </w:r>
      <w:r w:rsidR="009B2A62" w:rsidRPr="008653E6">
        <w:rPr>
          <w:color w:val="000000"/>
          <w:lang w:val="fr-CH"/>
        </w:rPr>
        <w:t>versions d</w:t>
      </w:r>
      <w:r w:rsidR="00D3135C">
        <w:rPr>
          <w:color w:val="000000"/>
          <w:lang w:val="fr-CH"/>
        </w:rPr>
        <w:t>'</w:t>
      </w:r>
      <w:r w:rsidR="009B2A62" w:rsidRPr="008653E6">
        <w:rPr>
          <w:color w:val="000000"/>
          <w:lang w:val="fr-CH"/>
        </w:rPr>
        <w:t>essai du logiciel</w:t>
      </w:r>
      <w:bookmarkEnd w:id="59"/>
      <w:r w:rsidR="009B2A62" w:rsidRPr="008653E6">
        <w:rPr>
          <w:lang w:val="fr-CH"/>
        </w:rPr>
        <w:t>. Les deux logiciels font actuellement l</w:t>
      </w:r>
      <w:r w:rsidR="00D3135C">
        <w:rPr>
          <w:lang w:val="fr-CH"/>
        </w:rPr>
        <w:t>'</w:t>
      </w:r>
      <w:r w:rsidR="009B2A62" w:rsidRPr="008653E6">
        <w:rPr>
          <w:lang w:val="fr-CH"/>
        </w:rPr>
        <w:t>objet de tests approfondis pour les cas établis en 2000</w:t>
      </w:r>
      <w:bookmarkStart w:id="60" w:name="lt_pId500"/>
      <w:r w:rsidR="009B2A62" w:rsidRPr="008653E6">
        <w:rPr>
          <w:lang w:val="fr-CH"/>
        </w:rPr>
        <w:t xml:space="preserve"> (Skybridge et Boeing) ainsi que pour de nouveaux cas utilisant des orbites différentes (USCSID-P, CANPOL-2, O3B).</w:t>
      </w:r>
      <w:bookmarkStart w:id="61" w:name="lt_pId501"/>
      <w:bookmarkEnd w:id="60"/>
      <w:r w:rsidR="009B2A62" w:rsidRPr="008653E6">
        <w:rPr>
          <w:lang w:val="fr-CH"/>
        </w:rPr>
        <w:t xml:space="preserve"> Le Bureau procédera également à des tests supplémentaires pour un certain nombre de nouvelles c</w:t>
      </w:r>
      <w:r>
        <w:rPr>
          <w:lang w:val="fr-CH"/>
        </w:rPr>
        <w:t>onstellations soumises fin 2014</w:t>
      </w:r>
      <w:r w:rsidR="009B2A62" w:rsidRPr="008653E6">
        <w:rPr>
          <w:lang w:val="fr-CH"/>
        </w:rPr>
        <w:t xml:space="preserve"> (L5, MCSAT-2 LEO…).</w:t>
      </w:r>
      <w:bookmarkEnd w:id="61"/>
      <w:r>
        <w:rPr>
          <w:lang w:val="fr-CH"/>
        </w:rPr>
        <w:t xml:space="preserve"> E</w:t>
      </w:r>
      <w:r w:rsidR="009B2A62" w:rsidRPr="008653E6">
        <w:rPr>
          <w:lang w:val="fr-CH"/>
        </w:rPr>
        <w:t>tant donné que l</w:t>
      </w:r>
      <w:r w:rsidR="00D3135C">
        <w:rPr>
          <w:lang w:val="fr-CH"/>
        </w:rPr>
        <w:t>'</w:t>
      </w:r>
      <w:r w:rsidR="009B2A62" w:rsidRPr="008653E6">
        <w:rPr>
          <w:lang w:val="fr-CH"/>
        </w:rPr>
        <w:t>exécution de tou</w:t>
      </w:r>
      <w:r>
        <w:rPr>
          <w:lang w:val="fr-CH"/>
        </w:rPr>
        <w:t>s les tests</w:t>
      </w:r>
      <w:r w:rsidR="009B2A62" w:rsidRPr="008653E6">
        <w:rPr>
          <w:lang w:val="fr-CH"/>
        </w:rPr>
        <w:t xml:space="preserve"> d</w:t>
      </w:r>
      <w:r w:rsidR="00D3135C">
        <w:rPr>
          <w:lang w:val="fr-CH"/>
        </w:rPr>
        <w:t>'</w:t>
      </w:r>
      <w:r w:rsidR="009B2A62" w:rsidRPr="008653E6">
        <w:rPr>
          <w:lang w:val="fr-CH"/>
        </w:rPr>
        <w:t xml:space="preserve">examen et de validation prend beaucoup de temps, le Bureau espère être en mesure de communiquer les résultats à temps pour la prochaine réunion du </w:t>
      </w:r>
      <w:r>
        <w:rPr>
          <w:lang w:val="fr-CH"/>
        </w:rPr>
        <w:t>Groupe de travail</w:t>
      </w:r>
      <w:r w:rsidR="009B2A62" w:rsidRPr="008653E6">
        <w:rPr>
          <w:lang w:val="fr-CH"/>
        </w:rPr>
        <w:t xml:space="preserve"> 4A</w:t>
      </w:r>
      <w:r>
        <w:rPr>
          <w:lang w:val="fr-CH"/>
        </w:rPr>
        <w:t>,</w:t>
      </w:r>
      <w:r w:rsidR="009B2A62" w:rsidRPr="008653E6">
        <w:rPr>
          <w:lang w:val="fr-CH"/>
        </w:rPr>
        <w:t xml:space="preserve"> qui doit se tenir en avril 2016.</w:t>
      </w:r>
    </w:p>
    <w:p w:rsidR="009B2A62" w:rsidRPr="008653E6" w:rsidRDefault="009B2A62" w:rsidP="009B2A62">
      <w:pPr>
        <w:pStyle w:val="Heading2"/>
        <w:rPr>
          <w:lang w:val="fr-CH"/>
        </w:rPr>
      </w:pPr>
      <w:bookmarkStart w:id="62" w:name="lt_pId503"/>
      <w:bookmarkStart w:id="63" w:name="_Toc446060772"/>
      <w:r w:rsidRPr="008653E6">
        <w:rPr>
          <w:lang w:val="fr-CH"/>
        </w:rPr>
        <w:t>7.3</w:t>
      </w:r>
      <w:bookmarkEnd w:id="62"/>
      <w:r w:rsidRPr="008653E6">
        <w:rPr>
          <w:lang w:val="fr-CH"/>
        </w:rPr>
        <w:tab/>
      </w:r>
      <w:bookmarkEnd w:id="63"/>
      <w:r w:rsidRPr="008653E6">
        <w:rPr>
          <w:color w:val="000000"/>
        </w:rPr>
        <w:t>Autres faits nouveaux</w:t>
      </w:r>
    </w:p>
    <w:p w:rsidR="009B2A62" w:rsidRPr="001C1296" w:rsidRDefault="009B2A62" w:rsidP="00B60727">
      <w:pPr>
        <w:pStyle w:val="Heading3"/>
      </w:pPr>
      <w:bookmarkStart w:id="64" w:name="lt_pId505"/>
      <w:bookmarkStart w:id="65" w:name="_Toc444689399"/>
      <w:bookmarkStart w:id="66" w:name="_Toc446060773"/>
      <w:r w:rsidRPr="008653E6">
        <w:rPr>
          <w:lang w:val="fr-CH"/>
        </w:rPr>
        <w:t>7.3.1</w:t>
      </w:r>
      <w:bookmarkEnd w:id="64"/>
      <w:r w:rsidRPr="008653E6">
        <w:rPr>
          <w:lang w:val="fr-CH"/>
        </w:rPr>
        <w:tab/>
      </w:r>
      <w:bookmarkStart w:id="67" w:name="lt_pId506"/>
      <w:r w:rsidRPr="008653E6">
        <w:rPr>
          <w:color w:val="000000"/>
        </w:rPr>
        <w:t>Poursuite de l</w:t>
      </w:r>
      <w:r w:rsidR="00D3135C">
        <w:rPr>
          <w:color w:val="000000"/>
        </w:rPr>
        <w:t>'</w:t>
      </w:r>
      <w:r w:rsidRPr="008653E6">
        <w:rPr>
          <w:color w:val="000000"/>
        </w:rPr>
        <w:t xml:space="preserve">élaboration du dispositif de recherche de documents </w:t>
      </w:r>
      <w:r w:rsidR="00B60727">
        <w:rPr>
          <w:color w:val="000000"/>
        </w:rPr>
        <w:t xml:space="preserve">dans </w:t>
      </w:r>
      <w:r w:rsidRPr="008653E6">
        <w:rPr>
          <w:color w:val="000000"/>
        </w:rPr>
        <w:t>la base de données de l</w:t>
      </w:r>
      <w:r w:rsidR="00D3135C">
        <w:rPr>
          <w:color w:val="000000"/>
        </w:rPr>
        <w:t>'</w:t>
      </w:r>
      <w:r w:rsidRPr="008653E6">
        <w:rPr>
          <w:color w:val="000000"/>
        </w:rPr>
        <w:t>UIT-R</w:t>
      </w:r>
      <w:bookmarkEnd w:id="65"/>
      <w:bookmarkEnd w:id="66"/>
      <w:bookmarkEnd w:id="67"/>
    </w:p>
    <w:p w:rsidR="009B2A62" w:rsidRPr="008653E6" w:rsidRDefault="009B2A62" w:rsidP="009B2A62">
      <w:pPr>
        <w:rPr>
          <w:lang w:val="fr-CH"/>
        </w:rPr>
      </w:pPr>
      <w:bookmarkStart w:id="68" w:name="lt_pId507"/>
      <w:r w:rsidRPr="008653E6">
        <w:rPr>
          <w:lang w:val="fr-CH"/>
        </w:rPr>
        <w:t xml:space="preserve">On trouvera des </w:t>
      </w:r>
      <w:r w:rsidR="00BE0203">
        <w:rPr>
          <w:lang w:val="fr-CH"/>
        </w:rPr>
        <w:t>r</w:t>
      </w:r>
      <w:r w:rsidRPr="008653E6">
        <w:rPr>
          <w:lang w:val="fr-CH"/>
        </w:rPr>
        <w:t xml:space="preserve">enseignements détaillés sur ce projet au § </w:t>
      </w:r>
      <w:r w:rsidR="00B60727">
        <w:rPr>
          <w:lang w:val="fr-CH"/>
        </w:rPr>
        <w:t>8.1.5.2</w:t>
      </w:r>
      <w:r w:rsidRPr="008653E6">
        <w:rPr>
          <w:lang w:val="fr-CH"/>
        </w:rPr>
        <w:t>.</w:t>
      </w:r>
      <w:bookmarkEnd w:id="68"/>
    </w:p>
    <w:p w:rsidR="009B2A62" w:rsidRPr="001C1296" w:rsidRDefault="009B2A62" w:rsidP="009B2A62">
      <w:pPr>
        <w:pStyle w:val="Heading3"/>
      </w:pPr>
      <w:bookmarkStart w:id="69" w:name="lt_pId508"/>
      <w:bookmarkStart w:id="70" w:name="_Toc444689400"/>
      <w:bookmarkStart w:id="71" w:name="_Toc446060774"/>
      <w:r w:rsidRPr="008653E6">
        <w:rPr>
          <w:lang w:val="fr-CH"/>
        </w:rPr>
        <w:t>7.3.2</w:t>
      </w:r>
      <w:bookmarkEnd w:id="69"/>
      <w:r w:rsidRPr="008653E6">
        <w:rPr>
          <w:lang w:val="fr-CH"/>
        </w:rPr>
        <w:tab/>
      </w:r>
      <w:bookmarkEnd w:id="70"/>
      <w:bookmarkEnd w:id="71"/>
      <w:r w:rsidR="00B60727" w:rsidRPr="001C1296">
        <w:t>D</w:t>
      </w:r>
      <w:r w:rsidRPr="001C1296">
        <w:t>roits de propriété intellectuelle (DPI)</w:t>
      </w:r>
    </w:p>
    <w:p w:rsidR="009B2A62" w:rsidRPr="008653E6" w:rsidRDefault="009B2A62" w:rsidP="009B2A62">
      <w:pPr>
        <w:rPr>
          <w:lang w:val="fr-CH"/>
        </w:rPr>
      </w:pPr>
      <w:bookmarkStart w:id="72" w:name="lt_pId510"/>
      <w:r w:rsidRPr="008653E6">
        <w:rPr>
          <w:lang w:val="fr-CH"/>
        </w:rPr>
        <w:t>Dans le cadre d</w:t>
      </w:r>
      <w:r w:rsidR="00D3135C">
        <w:rPr>
          <w:lang w:val="fr-CH"/>
        </w:rPr>
        <w:t>'</w:t>
      </w:r>
      <w:r w:rsidRPr="008653E6">
        <w:rPr>
          <w:lang w:val="fr-CH"/>
        </w:rPr>
        <w:t>un projet commun mené avec le Bureau de la normalisation des télécommunications</w:t>
      </w:r>
      <w:r w:rsidRPr="008653E6">
        <w:rPr>
          <w:color w:val="000000"/>
        </w:rPr>
        <w:t xml:space="preserve"> </w:t>
      </w:r>
      <w:r w:rsidR="00B60727">
        <w:rPr>
          <w:lang w:val="fr-CH"/>
        </w:rPr>
        <w:t xml:space="preserve">(TSB) </w:t>
      </w:r>
      <w:r w:rsidRPr="008653E6">
        <w:rPr>
          <w:lang w:val="fr-CH"/>
        </w:rPr>
        <w:t>et le Département des services informatiques, le Bureau a poursuivi ses travaux en vue de procéde</w:t>
      </w:r>
      <w:r w:rsidR="00B60727">
        <w:rPr>
          <w:lang w:val="fr-CH"/>
        </w:rPr>
        <w:t>r à l</w:t>
      </w:r>
      <w:r w:rsidR="00D3135C">
        <w:rPr>
          <w:lang w:val="fr-CH"/>
        </w:rPr>
        <w:t>'</w:t>
      </w:r>
      <w:r w:rsidR="00B60727">
        <w:rPr>
          <w:lang w:val="fr-CH"/>
        </w:rPr>
        <w:t xml:space="preserve">harmonisation nécessaire </w:t>
      </w:r>
      <w:r w:rsidRPr="008653E6">
        <w:rPr>
          <w:color w:val="000000"/>
          <w:lang w:val="fr-CH"/>
        </w:rPr>
        <w:t xml:space="preserve">des bases de données </w:t>
      </w:r>
      <w:r w:rsidRPr="008653E6">
        <w:rPr>
          <w:color w:val="000000"/>
        </w:rPr>
        <w:t xml:space="preserve">en matière de brevets </w:t>
      </w:r>
      <w:r w:rsidRPr="008653E6">
        <w:rPr>
          <w:color w:val="000000"/>
          <w:lang w:val="fr-CH"/>
        </w:rPr>
        <w:t>de l</w:t>
      </w:r>
      <w:r w:rsidR="00D3135C">
        <w:rPr>
          <w:color w:val="000000"/>
          <w:lang w:val="fr-CH"/>
        </w:rPr>
        <w:t>'</w:t>
      </w:r>
      <w:r w:rsidRPr="008653E6">
        <w:rPr>
          <w:color w:val="000000"/>
          <w:lang w:val="fr-CH"/>
        </w:rPr>
        <w:t>UIT-R et de l</w:t>
      </w:r>
      <w:r w:rsidR="00D3135C">
        <w:rPr>
          <w:color w:val="000000"/>
          <w:lang w:val="fr-CH"/>
        </w:rPr>
        <w:t>'</w:t>
      </w:r>
      <w:r w:rsidRPr="008653E6">
        <w:rPr>
          <w:color w:val="000000"/>
          <w:lang w:val="fr-CH"/>
        </w:rPr>
        <w:t>UIT-T</w:t>
      </w:r>
      <w:bookmarkStart w:id="73" w:name="lt_pId511"/>
      <w:bookmarkEnd w:id="72"/>
      <w:r w:rsidRPr="008653E6">
        <w:rPr>
          <w:lang w:val="fr-CH"/>
        </w:rPr>
        <w:t xml:space="preserve">. Cette </w:t>
      </w:r>
      <w:r w:rsidR="00B60727">
        <w:rPr>
          <w:lang w:val="fr-CH"/>
        </w:rPr>
        <w:t xml:space="preserve">activité est toujours en cours </w:t>
      </w:r>
      <w:r w:rsidRPr="008653E6">
        <w:rPr>
          <w:lang w:val="fr-CH"/>
        </w:rPr>
        <w:t xml:space="preserve">(voir le lien </w:t>
      </w:r>
      <w:hyperlink r:id="rId26" w:history="1">
        <w:r w:rsidRPr="008653E6">
          <w:rPr>
            <w:rStyle w:val="Hyperlink"/>
            <w:lang w:val="fr-CH"/>
          </w:rPr>
          <w:t>www.itu.int/ipr</w:t>
        </w:r>
      </w:hyperlink>
      <w:r w:rsidRPr="00B60727">
        <w:t>).</w:t>
      </w:r>
      <w:bookmarkEnd w:id="73"/>
    </w:p>
    <w:p w:rsidR="009B2A62" w:rsidRPr="008653E6" w:rsidRDefault="009B2A62" w:rsidP="009B2A62">
      <w:pPr>
        <w:pStyle w:val="Heading3"/>
        <w:rPr>
          <w:lang w:val="fr-CH"/>
        </w:rPr>
      </w:pPr>
      <w:bookmarkStart w:id="74" w:name="lt_pId512"/>
      <w:bookmarkStart w:id="75" w:name="_Toc446060775"/>
      <w:r w:rsidRPr="008653E6">
        <w:rPr>
          <w:lang w:val="fr-CH"/>
        </w:rPr>
        <w:t>7.3.3</w:t>
      </w:r>
      <w:bookmarkEnd w:id="74"/>
      <w:r w:rsidRPr="008653E6">
        <w:rPr>
          <w:lang w:val="fr-CH"/>
        </w:rPr>
        <w:tab/>
      </w:r>
      <w:bookmarkStart w:id="76" w:name="lt_pId513"/>
      <w:r w:rsidR="00B60727">
        <w:rPr>
          <w:lang w:val="fr-CH"/>
        </w:rPr>
        <w:t xml:space="preserve">Mise au point de vues de données </w:t>
      </w:r>
      <w:r w:rsidRPr="008653E6">
        <w:rPr>
          <w:lang w:val="fr-CH"/>
        </w:rPr>
        <w:t>SharePoint</w:t>
      </w:r>
      <w:bookmarkEnd w:id="75"/>
      <w:bookmarkEnd w:id="76"/>
    </w:p>
    <w:p w:rsidR="009B2A62" w:rsidRPr="008653E6" w:rsidRDefault="00B60727" w:rsidP="00B60727">
      <w:pPr>
        <w:rPr>
          <w:lang w:val="fr-CH"/>
        </w:rPr>
      </w:pPr>
      <w:bookmarkStart w:id="77" w:name="lt_pId514"/>
      <w:r>
        <w:rPr>
          <w:lang w:val="fr-CH"/>
        </w:rPr>
        <w:t xml:space="preserve">Les vues de données </w:t>
      </w:r>
      <w:r w:rsidR="009B2A62" w:rsidRPr="008653E6">
        <w:rPr>
          <w:lang w:val="fr-CH"/>
        </w:rPr>
        <w:t xml:space="preserve">SharePoint sont des modules qui peuvent être intégrés sur des pages web pour </w:t>
      </w:r>
      <w:r>
        <w:rPr>
          <w:lang w:val="fr-CH"/>
        </w:rPr>
        <w:t xml:space="preserve">pouvoir </w:t>
      </w:r>
      <w:r w:rsidR="009B2A62" w:rsidRPr="008653E6">
        <w:rPr>
          <w:lang w:val="fr-CH"/>
        </w:rPr>
        <w:t>afficher des contenus dynamiques, c</w:t>
      </w:r>
      <w:r w:rsidR="00D3135C">
        <w:rPr>
          <w:lang w:val="fr-CH"/>
        </w:rPr>
        <w:t>'</w:t>
      </w:r>
      <w:r w:rsidR="009B2A62" w:rsidRPr="008653E6">
        <w:rPr>
          <w:lang w:val="fr-CH"/>
        </w:rPr>
        <w:t xml:space="preserve">est-à-dire des données provenant de (et gérées dans </w:t>
      </w:r>
      <w:r>
        <w:rPr>
          <w:lang w:val="fr-CH"/>
        </w:rPr>
        <w:t>des</w:t>
      </w:r>
      <w:r w:rsidR="009B2A62" w:rsidRPr="008653E6">
        <w:rPr>
          <w:lang w:val="fr-CH"/>
        </w:rPr>
        <w:t xml:space="preserve">) </w:t>
      </w:r>
      <w:r w:rsidRPr="008653E6">
        <w:rPr>
          <w:lang w:val="fr-CH"/>
        </w:rPr>
        <w:t>bases de données</w:t>
      </w:r>
      <w:r w:rsidR="009B2A62" w:rsidRPr="008653E6">
        <w:rPr>
          <w:lang w:val="fr-CH"/>
        </w:rPr>
        <w:t>, des listes SharePoint et des flux XML/RSS</w:t>
      </w:r>
      <w:bookmarkStart w:id="78" w:name="lt_pId515"/>
      <w:bookmarkEnd w:id="77"/>
      <w:r w:rsidR="009B2A62" w:rsidRPr="008653E6">
        <w:rPr>
          <w:lang w:val="fr-CH"/>
        </w:rPr>
        <w:t xml:space="preserve">. Le BR </w:t>
      </w:r>
      <w:r>
        <w:rPr>
          <w:lang w:val="fr-CH"/>
        </w:rPr>
        <w:t xml:space="preserve">perfectionne et </w:t>
      </w:r>
      <w:r w:rsidR="009B2A62" w:rsidRPr="008653E6">
        <w:rPr>
          <w:lang w:val="fr-CH"/>
        </w:rPr>
        <w:t>améliore en permanence ces vues de données, qui permettent d</w:t>
      </w:r>
      <w:r w:rsidR="00D3135C">
        <w:rPr>
          <w:lang w:val="fr-CH"/>
        </w:rPr>
        <w:t>'</w:t>
      </w:r>
      <w:r w:rsidR="009B2A62" w:rsidRPr="008653E6">
        <w:rPr>
          <w:lang w:val="fr-CH"/>
        </w:rPr>
        <w:t>afficher des contenus dynamiques nouveaux et actualisés sur les différent</w:t>
      </w:r>
      <w:r w:rsidR="00BE0203">
        <w:rPr>
          <w:lang w:val="fr-CH"/>
        </w:rPr>
        <w:t>e</w:t>
      </w:r>
      <w:r w:rsidR="009B2A62" w:rsidRPr="008653E6">
        <w:rPr>
          <w:lang w:val="fr-CH"/>
        </w:rPr>
        <w:t>s pages web de l</w:t>
      </w:r>
      <w:r w:rsidR="00D3135C">
        <w:rPr>
          <w:lang w:val="fr-CH"/>
        </w:rPr>
        <w:t>'</w:t>
      </w:r>
      <w:r w:rsidR="009B2A62" w:rsidRPr="008653E6">
        <w:rPr>
          <w:lang w:val="fr-CH"/>
        </w:rPr>
        <w:t>UIT-R</w:t>
      </w:r>
      <w:bookmarkEnd w:id="78"/>
      <w:r>
        <w:rPr>
          <w:lang w:val="fr-CH"/>
        </w:rPr>
        <w:t>.</w:t>
      </w:r>
    </w:p>
    <w:p w:rsidR="009B2A62" w:rsidRPr="008653E6" w:rsidRDefault="009B2A62" w:rsidP="009B2A62">
      <w:pPr>
        <w:pStyle w:val="Heading1"/>
        <w:rPr>
          <w:lang w:val="fr-CH"/>
        </w:rPr>
      </w:pPr>
      <w:bookmarkStart w:id="79" w:name="lt_pId516"/>
      <w:bookmarkStart w:id="80" w:name="_Toc446060776"/>
      <w:r w:rsidRPr="008653E6">
        <w:rPr>
          <w:lang w:val="fr-CH"/>
        </w:rPr>
        <w:t>8</w:t>
      </w:r>
      <w:bookmarkEnd w:id="79"/>
      <w:r w:rsidRPr="008653E6">
        <w:rPr>
          <w:lang w:val="fr-CH"/>
        </w:rPr>
        <w:tab/>
      </w:r>
      <w:bookmarkEnd w:id="80"/>
      <w:r w:rsidRPr="008653E6">
        <w:rPr>
          <w:color w:val="000000"/>
          <w:lang w:val="fr-CH"/>
        </w:rPr>
        <w:t>Sensibilisation des membres</w:t>
      </w:r>
    </w:p>
    <w:p w:rsidR="009B2A62" w:rsidRPr="008653E6" w:rsidRDefault="009B2A62" w:rsidP="001C1296">
      <w:pPr>
        <w:rPr>
          <w:lang w:val="fr-CH"/>
        </w:rPr>
      </w:pPr>
      <w:bookmarkStart w:id="81" w:name="lt_pId518"/>
      <w:r w:rsidRPr="001C1296">
        <w:rPr>
          <w:lang w:val="fr-CH"/>
        </w:rPr>
        <w:t>Au nombre des activités d</w:t>
      </w:r>
      <w:r w:rsidR="00D3135C" w:rsidRPr="001C1296">
        <w:rPr>
          <w:lang w:val="fr-CH"/>
        </w:rPr>
        <w:t>'</w:t>
      </w:r>
      <w:r w:rsidRPr="001C1296">
        <w:rPr>
          <w:lang w:val="fr-CH"/>
        </w:rPr>
        <w:t>ouverture sur l</w:t>
      </w:r>
      <w:r w:rsidR="00D3135C" w:rsidRPr="001C1296">
        <w:rPr>
          <w:lang w:val="fr-CH"/>
        </w:rPr>
        <w:t>'</w:t>
      </w:r>
      <w:r w:rsidRPr="001C1296">
        <w:rPr>
          <w:lang w:val="fr-CH"/>
        </w:rPr>
        <w:t>extérieur figurent les informations et l</w:t>
      </w:r>
      <w:r w:rsidR="00D3135C" w:rsidRPr="001C1296">
        <w:rPr>
          <w:lang w:val="fr-CH"/>
        </w:rPr>
        <w:t>'</w:t>
      </w:r>
      <w:r w:rsidRPr="001C1296">
        <w:rPr>
          <w:lang w:val="fr-CH"/>
        </w:rPr>
        <w:t>assistance fournies</w:t>
      </w:r>
      <w:r w:rsidRPr="008653E6">
        <w:rPr>
          <w:lang w:val="fr-CH"/>
        </w:rPr>
        <w:t xml:space="preserve"> aux membres, la publication des produits de l</w:t>
      </w:r>
      <w:r w:rsidR="00D3135C">
        <w:rPr>
          <w:lang w:val="fr-CH"/>
        </w:rPr>
        <w:t>'</w:t>
      </w:r>
      <w:r w:rsidRPr="008653E6">
        <w:rPr>
          <w:lang w:val="fr-CH"/>
        </w:rPr>
        <w:t>UIT-R et leur diffusion, l</w:t>
      </w:r>
      <w:r w:rsidR="00D3135C">
        <w:rPr>
          <w:lang w:val="fr-CH"/>
        </w:rPr>
        <w:t>'</w:t>
      </w:r>
      <w:r w:rsidRPr="008653E6">
        <w:rPr>
          <w:lang w:val="fr-CH"/>
        </w:rPr>
        <w:t>organisation de séminaires et d</w:t>
      </w:r>
      <w:r w:rsidR="00D3135C">
        <w:rPr>
          <w:lang w:val="fr-CH"/>
        </w:rPr>
        <w:t>'</w:t>
      </w:r>
      <w:r w:rsidRPr="008653E6">
        <w:rPr>
          <w:lang w:val="fr-CH"/>
        </w:rPr>
        <w:t>ateliers et la participation à ces manifestations et l</w:t>
      </w:r>
      <w:r w:rsidR="00D3135C">
        <w:rPr>
          <w:lang w:val="fr-CH"/>
        </w:rPr>
        <w:t>'</w:t>
      </w:r>
      <w:r w:rsidRPr="008653E6">
        <w:rPr>
          <w:lang w:val="fr-CH"/>
        </w:rPr>
        <w:t>élaboration et la tenue à jour d</w:t>
      </w:r>
      <w:r w:rsidR="00D3135C">
        <w:rPr>
          <w:lang w:val="fr-CH"/>
        </w:rPr>
        <w:t>'</w:t>
      </w:r>
      <w:r w:rsidRPr="008653E6">
        <w:rPr>
          <w:lang w:val="fr-CH"/>
        </w:rPr>
        <w:t>outils de communication et de promotion</w:t>
      </w:r>
      <w:r w:rsidR="005A4EB6">
        <w:rPr>
          <w:lang w:val="fr-CH"/>
        </w:rPr>
        <w:t>.</w:t>
      </w:r>
      <w:r w:rsidRPr="008653E6">
        <w:rPr>
          <w:lang w:val="fr-CH"/>
        </w:rPr>
        <w:t xml:space="preserve"> </w:t>
      </w:r>
      <w:bookmarkStart w:id="82" w:name="lt_pId519"/>
      <w:bookmarkEnd w:id="81"/>
      <w:r w:rsidRPr="001C1296">
        <w:rPr>
          <w:lang w:val="fr-CH"/>
        </w:rPr>
        <w:t>L</w:t>
      </w:r>
      <w:r w:rsidR="00D3135C" w:rsidRPr="001C1296">
        <w:rPr>
          <w:lang w:val="fr-CH"/>
        </w:rPr>
        <w:t>'</w:t>
      </w:r>
      <w:r w:rsidR="005A4EB6" w:rsidRPr="001C1296">
        <w:rPr>
          <w:lang w:val="fr-CH"/>
        </w:rPr>
        <w:t xml:space="preserve">objectif de ces activités </w:t>
      </w:r>
      <w:r w:rsidRPr="001C1296">
        <w:rPr>
          <w:lang w:val="fr-CH"/>
        </w:rPr>
        <w:t>est de faire en sorte que les produits résultant des activités menées par le Secteur de l</w:t>
      </w:r>
      <w:r w:rsidR="00D3135C" w:rsidRPr="001C1296">
        <w:rPr>
          <w:lang w:val="fr-CH"/>
        </w:rPr>
        <w:t>'</w:t>
      </w:r>
      <w:r w:rsidRPr="001C1296">
        <w:rPr>
          <w:lang w:val="fr-CH"/>
        </w:rPr>
        <w:t>UIT-R (dispositions réglementaires, recommandations, rapports et manuels) soient diffusés dans le monde entier et soient mieux connus par les membres de l</w:t>
      </w:r>
      <w:r w:rsidR="00D3135C" w:rsidRPr="001C1296">
        <w:rPr>
          <w:lang w:val="fr-CH"/>
        </w:rPr>
        <w:t>'</w:t>
      </w:r>
      <w:r w:rsidRPr="001C1296">
        <w:rPr>
          <w:lang w:val="fr-CH"/>
        </w:rPr>
        <w:t>UIT et les parties prenantes dans le domaine du spectre</w:t>
      </w:r>
      <w:r w:rsidRPr="008653E6">
        <w:rPr>
          <w:lang w:val="fr-CH"/>
        </w:rPr>
        <w:t xml:space="preserve"> et servent de base à la formulation de politiques générales et de décision</w:t>
      </w:r>
      <w:r w:rsidR="005A4EB6">
        <w:rPr>
          <w:lang w:val="fr-CH"/>
        </w:rPr>
        <w:t>s</w:t>
      </w:r>
      <w:r w:rsidRPr="008653E6">
        <w:rPr>
          <w:lang w:val="fr-CH"/>
        </w:rPr>
        <w:t xml:space="preserve"> en matière de gestion du spectre ainsi qu</w:t>
      </w:r>
      <w:r w:rsidR="00D3135C">
        <w:rPr>
          <w:lang w:val="fr-CH"/>
        </w:rPr>
        <w:t>'</w:t>
      </w:r>
      <w:r w:rsidR="005A4EB6">
        <w:rPr>
          <w:lang w:val="fr-CH"/>
        </w:rPr>
        <w:t>à</w:t>
      </w:r>
      <w:r w:rsidRPr="008653E6">
        <w:rPr>
          <w:lang w:val="fr-CH"/>
        </w:rPr>
        <w:t xml:space="preserve"> l</w:t>
      </w:r>
      <w:r w:rsidR="00D3135C">
        <w:rPr>
          <w:lang w:val="fr-CH"/>
        </w:rPr>
        <w:t>'</w:t>
      </w:r>
      <w:r w:rsidRPr="008653E6">
        <w:rPr>
          <w:lang w:val="fr-CH"/>
        </w:rPr>
        <w:t xml:space="preserve">utilisation des radiocommunications en général. </w:t>
      </w:r>
      <w:bookmarkStart w:id="83" w:name="lt_pId520"/>
      <w:bookmarkEnd w:id="82"/>
      <w:r w:rsidRPr="001C1296">
        <w:rPr>
          <w:lang w:val="fr-CH"/>
        </w:rPr>
        <w:t>Pour mener à bien ces activités, le BR assure une collaboration étroi</w:t>
      </w:r>
      <w:r w:rsidR="005A4EB6" w:rsidRPr="001C1296">
        <w:rPr>
          <w:lang w:val="fr-CH"/>
        </w:rPr>
        <w:t>te avec les autres Bureaux et Secteurs,</w:t>
      </w:r>
      <w:r w:rsidRPr="001C1296">
        <w:rPr>
          <w:lang w:val="fr-CH"/>
        </w:rPr>
        <w:t xml:space="preserve"> les bureaux régionaux </w:t>
      </w:r>
      <w:r w:rsidR="005A4EB6" w:rsidRPr="001C1296">
        <w:rPr>
          <w:lang w:val="fr-CH"/>
        </w:rPr>
        <w:t>et les bureaux de zone de l</w:t>
      </w:r>
      <w:r w:rsidR="00D3135C" w:rsidRPr="001C1296">
        <w:rPr>
          <w:lang w:val="fr-CH"/>
        </w:rPr>
        <w:t>'</w:t>
      </w:r>
      <w:r w:rsidR="005A4EB6" w:rsidRPr="001C1296">
        <w:rPr>
          <w:lang w:val="fr-CH"/>
        </w:rPr>
        <w:t>UIT</w:t>
      </w:r>
      <w:r w:rsidRPr="001C1296">
        <w:rPr>
          <w:lang w:val="fr-CH"/>
        </w:rPr>
        <w:t xml:space="preserve"> et les organisations internationales ou les autorités nationales concernées.</w:t>
      </w:r>
      <w:bookmarkEnd w:id="54"/>
      <w:bookmarkEnd w:id="83"/>
    </w:p>
    <w:p w:rsidR="009B2A62" w:rsidRPr="008653E6" w:rsidRDefault="009B2A62" w:rsidP="009B2A62">
      <w:pPr>
        <w:pStyle w:val="Heading2"/>
        <w:rPr>
          <w:lang w:val="fr-CH"/>
        </w:rPr>
      </w:pPr>
      <w:bookmarkStart w:id="84" w:name="_Toc426463253"/>
      <w:r w:rsidRPr="008653E6">
        <w:t>8.1</w:t>
      </w:r>
      <w:r w:rsidRPr="008653E6">
        <w:tab/>
      </w:r>
      <w:r w:rsidRPr="008653E6">
        <w:rPr>
          <w:lang w:val="fr-CH"/>
        </w:rPr>
        <w:t>Publications</w:t>
      </w:r>
      <w:bookmarkEnd w:id="84"/>
    </w:p>
    <w:p w:rsidR="009B2A62" w:rsidRPr="008653E6" w:rsidRDefault="009B2A62" w:rsidP="009B2A62">
      <w:pPr>
        <w:pStyle w:val="Heading3"/>
        <w:rPr>
          <w:lang w:val="fr-CH"/>
        </w:rPr>
      </w:pPr>
      <w:bookmarkStart w:id="85" w:name="_Toc426463254"/>
      <w:r w:rsidRPr="008653E6">
        <w:rPr>
          <w:lang w:val="fr-CH"/>
        </w:rPr>
        <w:t>8.1.1</w:t>
      </w:r>
      <w:r w:rsidRPr="008653E6">
        <w:rPr>
          <w:lang w:val="fr-CH"/>
        </w:rPr>
        <w:tab/>
        <w:t>Publications réglementaires</w:t>
      </w:r>
      <w:bookmarkEnd w:id="85"/>
    </w:p>
    <w:p w:rsidR="009B2A62" w:rsidRPr="008653E6" w:rsidRDefault="009B2A62" w:rsidP="009B2A62">
      <w:pPr>
        <w:rPr>
          <w:lang w:val="fr-CH"/>
        </w:rPr>
      </w:pPr>
      <w:r w:rsidRPr="008653E6">
        <w:rPr>
          <w:lang w:val="fr-CH"/>
        </w:rPr>
        <w:t xml:space="preserve">Pendant la période </w:t>
      </w:r>
      <w:r w:rsidRPr="008653E6">
        <w:t>2012-2015</w:t>
      </w:r>
      <w:r w:rsidRPr="008653E6">
        <w:rPr>
          <w:lang w:val="fr-CH"/>
        </w:rPr>
        <w:t>, les publications réglementaires ont été élaborées selon les modalités habituelles, comme prévu dans le Plan opérationnel, à savoir:</w:t>
      </w:r>
    </w:p>
    <w:p w:rsidR="009B2A62" w:rsidRPr="008653E6" w:rsidRDefault="009B2A62" w:rsidP="009B2A62">
      <w:pPr>
        <w:pStyle w:val="enumlev1"/>
        <w:rPr>
          <w:lang w:val="fr-CH"/>
        </w:rPr>
      </w:pPr>
      <w:r w:rsidRPr="008653E6">
        <w:rPr>
          <w:lang w:val="fr-CH"/>
        </w:rPr>
        <w:t>–</w:t>
      </w:r>
      <w:r w:rsidRPr="008653E6">
        <w:rPr>
          <w:lang w:val="fr-CH"/>
        </w:rPr>
        <w:tab/>
        <w:t>l</w:t>
      </w:r>
      <w:r w:rsidR="00D3135C">
        <w:rPr>
          <w:lang w:val="fr-CH"/>
        </w:rPr>
        <w:t>'</w:t>
      </w:r>
      <w:r w:rsidRPr="008653E6">
        <w:rPr>
          <w:lang w:val="fr-CH"/>
        </w:rPr>
        <w:t>édition du Règlement des radiocommunications tenant compte des modifications arrêtées par la CMR-12 a été publiée au quatrième trimestre de 2012 dans toutes les langues de l</w:t>
      </w:r>
      <w:r w:rsidR="00D3135C">
        <w:rPr>
          <w:lang w:val="fr-CH"/>
        </w:rPr>
        <w:t>'</w:t>
      </w:r>
      <w:r w:rsidRPr="008653E6">
        <w:rPr>
          <w:lang w:val="fr-CH"/>
        </w:rPr>
        <w:t>UIT;</w:t>
      </w:r>
    </w:p>
    <w:p w:rsidR="009B2A62" w:rsidRPr="008653E6" w:rsidRDefault="009B2A62" w:rsidP="009B2A62">
      <w:pPr>
        <w:pStyle w:val="enumlev1"/>
        <w:rPr>
          <w:lang w:val="fr-CH"/>
        </w:rPr>
      </w:pPr>
      <w:r w:rsidRPr="008653E6">
        <w:rPr>
          <w:lang w:val="fr-CH"/>
        </w:rPr>
        <w:t>–</w:t>
      </w:r>
      <w:r w:rsidRPr="008653E6">
        <w:rPr>
          <w:lang w:val="fr-CH"/>
        </w:rPr>
        <w:tab/>
        <w:t>la version complète des Règles de procédure tenant compte des décisions de la CMR-12 a été publiée au quatrième trimestre de 2012. Depuis lors, sept mises à jour ont été publiées compte tenu des modifications décidées par le RRB. Les Règles de procédure et leurs mises à jour sont publiées dans toutes les langues de l</w:t>
      </w:r>
      <w:r w:rsidR="00D3135C">
        <w:rPr>
          <w:lang w:val="fr-CH"/>
        </w:rPr>
        <w:t>'</w:t>
      </w:r>
      <w:r w:rsidRPr="008653E6">
        <w:rPr>
          <w:lang w:val="fr-CH"/>
        </w:rPr>
        <w:t>UIT.</w:t>
      </w:r>
    </w:p>
    <w:p w:rsidR="009B2A62" w:rsidRPr="008653E6" w:rsidRDefault="009B2A62" w:rsidP="009B2A62">
      <w:r w:rsidRPr="008653E6">
        <w:rPr>
          <w:lang w:val="fr-CH"/>
        </w:rPr>
        <w:t xml:space="preserve">Le Tableau </w:t>
      </w:r>
      <w:r w:rsidRPr="008653E6">
        <w:t xml:space="preserve">8.1.1-1 </w:t>
      </w:r>
      <w:r w:rsidRPr="008653E6">
        <w:rPr>
          <w:lang w:val="fr-CH"/>
        </w:rPr>
        <w:t>récapitule les activités du Bureau relatives à d</w:t>
      </w:r>
      <w:r w:rsidR="00D3135C">
        <w:rPr>
          <w:lang w:val="fr-CH"/>
        </w:rPr>
        <w:t>'</w:t>
      </w:r>
      <w:r w:rsidRPr="008653E6">
        <w:rPr>
          <w:lang w:val="fr-CH"/>
        </w:rPr>
        <w:t>autres publications statutaires résultant de l</w:t>
      </w:r>
      <w:r w:rsidR="00D3135C">
        <w:rPr>
          <w:lang w:val="fr-CH"/>
        </w:rPr>
        <w:t>'</w:t>
      </w:r>
      <w:r w:rsidRPr="008653E6">
        <w:rPr>
          <w:lang w:val="fr-CH"/>
        </w:rPr>
        <w:t xml:space="preserve">application du Règlement des radiocommunications pendant la période </w:t>
      </w:r>
      <w:r w:rsidRPr="008653E6">
        <w:t>2012-2015.</w:t>
      </w:r>
    </w:p>
    <w:p w:rsidR="001C1296" w:rsidRDefault="001C1296">
      <w:pPr>
        <w:tabs>
          <w:tab w:val="clear" w:pos="794"/>
          <w:tab w:val="clear" w:pos="1191"/>
          <w:tab w:val="clear" w:pos="1588"/>
          <w:tab w:val="clear" w:pos="1985"/>
        </w:tabs>
        <w:overflowPunct/>
        <w:autoSpaceDE/>
        <w:autoSpaceDN/>
        <w:adjustRightInd/>
        <w:spacing w:before="0"/>
        <w:textAlignment w:val="auto"/>
        <w:rPr>
          <w:rFonts w:ascii="Calibri" w:hAnsi="Calibri"/>
          <w:caps/>
          <w:lang w:val="fr-CH"/>
        </w:rPr>
      </w:pPr>
      <w:r>
        <w:rPr>
          <w:lang w:val="fr-CH"/>
        </w:rPr>
        <w:br w:type="page"/>
      </w:r>
    </w:p>
    <w:p w:rsidR="00D843C6" w:rsidRPr="008653E6" w:rsidRDefault="00D843C6" w:rsidP="00D04881">
      <w:pPr>
        <w:pStyle w:val="TableNoBR"/>
        <w:rPr>
          <w:lang w:val="fr-CH"/>
        </w:rPr>
      </w:pPr>
      <w:r w:rsidRPr="008653E6">
        <w:rPr>
          <w:lang w:val="fr-CH"/>
        </w:rPr>
        <w:t xml:space="preserve">TableAU </w:t>
      </w:r>
      <w:r w:rsidRPr="008653E6">
        <w:t>8.1.1-1</w:t>
      </w:r>
    </w:p>
    <w:p w:rsidR="00D843C6" w:rsidRPr="008653E6" w:rsidRDefault="00D843C6" w:rsidP="00D04881">
      <w:pPr>
        <w:pStyle w:val="TabletitleBR"/>
        <w:rPr>
          <w:lang w:val="fr-CH"/>
        </w:rPr>
      </w:pPr>
      <w:r w:rsidRPr="008653E6">
        <w:rPr>
          <w:lang w:val="fr-CH"/>
        </w:rPr>
        <w:t>Récapitulatif concernant les publications résultant de l</w:t>
      </w:r>
      <w:r w:rsidR="00D3135C">
        <w:rPr>
          <w:lang w:val="fr-CH"/>
        </w:rPr>
        <w:t>'</w:t>
      </w:r>
      <w:r w:rsidRPr="008653E6">
        <w:rPr>
          <w:lang w:val="fr-CH"/>
        </w:rPr>
        <w:t xml:space="preserve">application </w:t>
      </w:r>
      <w:r w:rsidRPr="008653E6">
        <w:rPr>
          <w:lang w:val="fr-CH"/>
        </w:rPr>
        <w:br/>
        <w:t>du Règlement des radiocommunications</w:t>
      </w:r>
    </w:p>
    <w:tbl>
      <w:tblPr>
        <w:tblW w:w="91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835"/>
        <w:gridCol w:w="1835"/>
        <w:gridCol w:w="1835"/>
        <w:gridCol w:w="1835"/>
      </w:tblGrid>
      <w:tr w:rsidR="00D843C6" w:rsidRPr="008653E6" w:rsidTr="00E3472E">
        <w:trPr>
          <w:cantSplit/>
          <w:jc w:val="center"/>
        </w:trPr>
        <w:tc>
          <w:tcPr>
            <w:tcW w:w="1835" w:type="dxa"/>
            <w:tcBorders>
              <w:top w:val="nil"/>
              <w:left w:val="nil"/>
              <w:bottom w:val="single" w:sz="4" w:space="0" w:color="auto"/>
              <w:right w:val="single" w:sz="4" w:space="0" w:color="auto"/>
            </w:tcBorders>
            <w:vAlign w:val="center"/>
          </w:tcPr>
          <w:p w:rsidR="00D843C6" w:rsidRPr="008653E6" w:rsidRDefault="00D843C6" w:rsidP="00E3472E">
            <w:pPr>
              <w:pStyle w:val="Tablehead"/>
              <w:keepNext w:val="0"/>
              <w:rPr>
                <w:rFonts w:asciiTheme="majorBidi" w:hAnsiTheme="majorBidi" w:cstheme="majorBidi"/>
              </w:rPr>
            </w:pPr>
          </w:p>
        </w:tc>
        <w:tc>
          <w:tcPr>
            <w:tcW w:w="1835" w:type="dxa"/>
            <w:tcBorders>
              <w:top w:val="single" w:sz="4" w:space="0" w:color="auto"/>
              <w:bottom w:val="single" w:sz="4" w:space="0" w:color="auto"/>
              <w:right w:val="single" w:sz="4" w:space="0" w:color="auto"/>
            </w:tcBorders>
            <w:vAlign w:val="center"/>
          </w:tcPr>
          <w:p w:rsidR="00D843C6" w:rsidRPr="008653E6" w:rsidRDefault="00D843C6" w:rsidP="00E3472E">
            <w:pPr>
              <w:pStyle w:val="Tablehead"/>
              <w:keepNext w:val="0"/>
              <w:rPr>
                <w:rFonts w:asciiTheme="majorBidi" w:hAnsiTheme="majorBidi" w:cstheme="majorBidi"/>
              </w:rPr>
            </w:pPr>
            <w:r w:rsidRPr="008653E6">
              <w:rPr>
                <w:rFonts w:asciiTheme="majorBidi" w:hAnsiTheme="majorBidi" w:cstheme="majorBidi"/>
              </w:rPr>
              <w:t>2012</w:t>
            </w:r>
          </w:p>
        </w:tc>
        <w:tc>
          <w:tcPr>
            <w:tcW w:w="1835" w:type="dxa"/>
            <w:tcBorders>
              <w:top w:val="single" w:sz="4" w:space="0" w:color="auto"/>
              <w:bottom w:val="single" w:sz="4" w:space="0" w:color="auto"/>
              <w:right w:val="single" w:sz="4" w:space="0" w:color="auto"/>
            </w:tcBorders>
            <w:vAlign w:val="center"/>
          </w:tcPr>
          <w:p w:rsidR="00D843C6" w:rsidRPr="008653E6" w:rsidRDefault="00D843C6" w:rsidP="00E3472E">
            <w:pPr>
              <w:pStyle w:val="Tablehead"/>
              <w:keepNext w:val="0"/>
              <w:rPr>
                <w:rFonts w:asciiTheme="majorBidi" w:hAnsiTheme="majorBidi" w:cstheme="majorBidi"/>
              </w:rPr>
            </w:pPr>
            <w:r w:rsidRPr="008653E6">
              <w:rPr>
                <w:rFonts w:asciiTheme="majorBidi" w:hAnsiTheme="majorBidi" w:cstheme="majorBidi"/>
              </w:rPr>
              <w:t>2013</w:t>
            </w:r>
          </w:p>
        </w:tc>
        <w:tc>
          <w:tcPr>
            <w:tcW w:w="1835" w:type="dxa"/>
            <w:tcBorders>
              <w:top w:val="single" w:sz="4" w:space="0" w:color="auto"/>
              <w:left w:val="single" w:sz="4" w:space="0" w:color="auto"/>
              <w:bottom w:val="single" w:sz="4" w:space="0" w:color="auto"/>
              <w:right w:val="single" w:sz="4" w:space="0" w:color="auto"/>
            </w:tcBorders>
            <w:vAlign w:val="center"/>
          </w:tcPr>
          <w:p w:rsidR="00D843C6" w:rsidRPr="008653E6" w:rsidRDefault="00D843C6" w:rsidP="00E3472E">
            <w:pPr>
              <w:pStyle w:val="Tablehead"/>
              <w:keepNext w:val="0"/>
              <w:rPr>
                <w:rFonts w:asciiTheme="majorBidi" w:hAnsiTheme="majorBidi" w:cstheme="majorBidi"/>
              </w:rPr>
            </w:pPr>
            <w:r w:rsidRPr="008653E6">
              <w:rPr>
                <w:rFonts w:asciiTheme="majorBidi" w:hAnsiTheme="majorBidi" w:cstheme="majorBidi"/>
              </w:rPr>
              <w:t>2014</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D843C6" w:rsidRPr="008653E6" w:rsidRDefault="00D843C6" w:rsidP="00E3472E">
            <w:pPr>
              <w:pStyle w:val="Tablehead"/>
              <w:keepNext w:val="0"/>
              <w:rPr>
                <w:rFonts w:asciiTheme="majorBidi" w:hAnsiTheme="majorBidi" w:cstheme="majorBidi"/>
              </w:rPr>
            </w:pPr>
            <w:r w:rsidRPr="008653E6">
              <w:rPr>
                <w:rFonts w:asciiTheme="majorBidi" w:hAnsiTheme="majorBidi" w:cstheme="majorBidi"/>
              </w:rPr>
              <w:t>2015</w:t>
            </w:r>
          </w:p>
        </w:tc>
      </w:tr>
      <w:tr w:rsidR="00D843C6" w:rsidRPr="008653E6" w:rsidTr="00E3472E">
        <w:trPr>
          <w:cantSplit/>
          <w:jc w:val="center"/>
        </w:trPr>
        <w:tc>
          <w:tcPr>
            <w:tcW w:w="1835" w:type="dxa"/>
            <w:tcBorders>
              <w:top w:val="single" w:sz="4" w:space="0" w:color="auto"/>
              <w:lef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rPr>
                <w:rFonts w:asciiTheme="majorBidi" w:hAnsiTheme="majorBidi" w:cstheme="majorBidi"/>
              </w:rPr>
              <w:t>BR IFIC</w:t>
            </w:r>
          </w:p>
        </w:tc>
        <w:tc>
          <w:tcPr>
            <w:tcW w:w="1835" w:type="dxa"/>
            <w:tcBorders>
              <w:top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rPr>
                <w:rFonts w:asciiTheme="majorBidi" w:hAnsiTheme="majorBidi" w:cstheme="majorBidi"/>
              </w:rPr>
              <w:t xml:space="preserve">25 numéros </w:t>
            </w:r>
            <w:r w:rsidRPr="008653E6">
              <w:rPr>
                <w:rFonts w:asciiTheme="majorBidi" w:hAnsiTheme="majorBidi" w:cstheme="majorBidi"/>
              </w:rPr>
              <w:br/>
              <w:t>(sur DVD-ROM)</w:t>
            </w:r>
          </w:p>
        </w:tc>
        <w:tc>
          <w:tcPr>
            <w:tcW w:w="1835" w:type="dxa"/>
            <w:tcBorders>
              <w:top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rPr>
                <w:rFonts w:asciiTheme="majorBidi" w:hAnsiTheme="majorBidi" w:cstheme="majorBidi"/>
              </w:rPr>
              <w:t>25 numéros</w:t>
            </w:r>
            <w:r w:rsidRPr="008653E6">
              <w:rPr>
                <w:rFonts w:asciiTheme="majorBidi" w:hAnsiTheme="majorBidi" w:cstheme="majorBidi"/>
              </w:rPr>
              <w:br/>
              <w:t>(sur DVD-ROM)</w:t>
            </w:r>
          </w:p>
        </w:tc>
        <w:tc>
          <w:tcPr>
            <w:tcW w:w="1835" w:type="dxa"/>
            <w:tcBorders>
              <w:top w:val="single" w:sz="4" w:space="0" w:color="auto"/>
              <w:left w:val="single" w:sz="4" w:space="0" w:color="auto"/>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rPr>
                <w:rFonts w:asciiTheme="majorBidi" w:hAnsiTheme="majorBidi" w:cstheme="majorBidi"/>
              </w:rPr>
              <w:t xml:space="preserve">25 numéros </w:t>
            </w:r>
            <w:r w:rsidRPr="008653E6">
              <w:rPr>
                <w:rFonts w:asciiTheme="majorBidi" w:hAnsiTheme="majorBidi" w:cstheme="majorBidi"/>
              </w:rPr>
              <w:br/>
              <w:t>(sur DVD-ROM)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D843C6" w:rsidRPr="008653E6" w:rsidRDefault="00D843C6" w:rsidP="00E3472E">
            <w:pPr>
              <w:pStyle w:val="Tabletext"/>
              <w:jc w:val="center"/>
              <w:rPr>
                <w:rFonts w:asciiTheme="majorBidi" w:hAnsiTheme="majorBidi" w:cstheme="majorBidi"/>
                <w:b/>
              </w:rPr>
            </w:pPr>
            <w:r w:rsidRPr="008653E6">
              <w:rPr>
                <w:rFonts w:asciiTheme="majorBidi" w:hAnsiTheme="majorBidi" w:cstheme="majorBidi"/>
              </w:rPr>
              <w:t xml:space="preserve">25 numéros </w:t>
            </w:r>
            <w:r w:rsidRPr="008653E6">
              <w:rPr>
                <w:rFonts w:asciiTheme="majorBidi" w:hAnsiTheme="majorBidi" w:cstheme="majorBidi"/>
              </w:rPr>
              <w:br/>
              <w:t>(sur DVD-ROM)</w:t>
            </w:r>
          </w:p>
        </w:tc>
      </w:tr>
      <w:tr w:rsidR="00D843C6" w:rsidRPr="008653E6" w:rsidTr="00E3472E">
        <w:trPr>
          <w:cantSplit/>
          <w:jc w:val="center"/>
        </w:trPr>
        <w:tc>
          <w:tcPr>
            <w:tcW w:w="1835" w:type="dxa"/>
            <w:tcBorders>
              <w:lef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t>Horaires HFBC</w:t>
            </w:r>
          </w:p>
        </w:tc>
        <w:tc>
          <w:tcPr>
            <w:tcW w:w="1835" w:type="dxa"/>
            <w:tcBorders>
              <w:righ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rPr>
                <w:rFonts w:asciiTheme="majorBidi" w:hAnsiTheme="majorBidi" w:cstheme="majorBidi"/>
              </w:rPr>
              <w:t xml:space="preserve">11 numéros </w:t>
            </w:r>
            <w:r w:rsidRPr="008653E6">
              <w:rPr>
                <w:rFonts w:asciiTheme="majorBidi" w:hAnsiTheme="majorBidi" w:cstheme="majorBidi"/>
              </w:rPr>
              <w:br/>
              <w:t>(sur CD-ROM)</w:t>
            </w:r>
          </w:p>
        </w:tc>
        <w:tc>
          <w:tcPr>
            <w:tcW w:w="1835" w:type="dxa"/>
            <w:tcBorders>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rPr>
              <w:t xml:space="preserve">11 numéros </w:t>
            </w:r>
            <w:r w:rsidRPr="008653E6">
              <w:rPr>
                <w:rFonts w:asciiTheme="majorBidi" w:hAnsiTheme="majorBidi" w:cstheme="majorBidi"/>
              </w:rPr>
              <w:br/>
              <w:t>(sur CD-ROM)</w:t>
            </w:r>
          </w:p>
        </w:tc>
        <w:tc>
          <w:tcPr>
            <w:tcW w:w="1835" w:type="dxa"/>
            <w:tcBorders>
              <w:top w:val="single" w:sz="4" w:space="0" w:color="auto"/>
              <w:left w:val="single" w:sz="4" w:space="0" w:color="auto"/>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11 </w:t>
            </w:r>
            <w:r w:rsidRPr="008653E6">
              <w:rPr>
                <w:rFonts w:asciiTheme="majorBidi" w:hAnsiTheme="majorBidi" w:cstheme="majorBidi"/>
              </w:rPr>
              <w:t xml:space="preserve">numéros </w:t>
            </w:r>
            <w:r w:rsidRPr="008653E6">
              <w:rPr>
                <w:rFonts w:asciiTheme="majorBidi" w:hAnsiTheme="majorBidi" w:cstheme="majorBidi"/>
              </w:rPr>
              <w:br/>
              <w:t>(sur CD-ROM)</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D843C6" w:rsidRPr="008653E6" w:rsidRDefault="00D843C6" w:rsidP="00E3472E">
            <w:pPr>
              <w:pStyle w:val="Tabletext"/>
              <w:jc w:val="center"/>
              <w:rPr>
                <w:rFonts w:asciiTheme="majorBidi" w:hAnsiTheme="majorBidi" w:cstheme="majorBidi"/>
                <w:b/>
                <w:lang w:val="en-GB"/>
              </w:rPr>
            </w:pPr>
            <w:r w:rsidRPr="008653E6">
              <w:rPr>
                <w:rFonts w:asciiTheme="majorBidi" w:hAnsiTheme="majorBidi" w:cstheme="majorBidi"/>
                <w:lang w:val="fr-CH"/>
              </w:rPr>
              <w:t xml:space="preserve">11 </w:t>
            </w:r>
            <w:r w:rsidRPr="008653E6">
              <w:rPr>
                <w:rFonts w:asciiTheme="majorBidi" w:hAnsiTheme="majorBidi" w:cstheme="majorBidi"/>
              </w:rPr>
              <w:t xml:space="preserve">numéros </w:t>
            </w:r>
            <w:r w:rsidRPr="008653E6">
              <w:rPr>
                <w:rFonts w:asciiTheme="majorBidi" w:hAnsiTheme="majorBidi" w:cstheme="majorBidi"/>
              </w:rPr>
              <w:br/>
              <w:t>(sur CD-ROM)</w:t>
            </w:r>
          </w:p>
        </w:tc>
      </w:tr>
      <w:tr w:rsidR="00D843C6" w:rsidRPr="008653E6" w:rsidTr="00E3472E">
        <w:trPr>
          <w:cantSplit/>
          <w:jc w:val="center"/>
        </w:trPr>
        <w:tc>
          <w:tcPr>
            <w:tcW w:w="1835" w:type="dxa"/>
            <w:tcBorders>
              <w:left w:val="single" w:sz="4" w:space="0" w:color="auto"/>
            </w:tcBorders>
            <w:vAlign w:val="center"/>
          </w:tcPr>
          <w:p w:rsidR="00D843C6" w:rsidRPr="008653E6" w:rsidRDefault="00D843C6" w:rsidP="00E3472E">
            <w:pPr>
              <w:pStyle w:val="Tabletext"/>
              <w:jc w:val="center"/>
              <w:rPr>
                <w:rFonts w:asciiTheme="majorBidi" w:hAnsiTheme="majorBidi" w:cstheme="majorBidi"/>
                <w:b/>
                <w:lang w:val="en-GB"/>
              </w:rPr>
            </w:pPr>
            <w:r w:rsidRPr="008653E6">
              <w:t>LIF (services de Terre)</w:t>
            </w:r>
          </w:p>
        </w:tc>
        <w:tc>
          <w:tcPr>
            <w:tcW w:w="1835" w:type="dxa"/>
            <w:tcBorders>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top w:val="single" w:sz="4" w:space="0" w:color="auto"/>
              <w:left w:val="single" w:sz="4" w:space="0" w:color="auto"/>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r>
      <w:tr w:rsidR="00D843C6" w:rsidRPr="008653E6" w:rsidTr="00E3472E">
        <w:trPr>
          <w:cantSplit/>
          <w:jc w:val="center"/>
        </w:trPr>
        <w:tc>
          <w:tcPr>
            <w:tcW w:w="1835" w:type="dxa"/>
            <w:tcBorders>
              <w:left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t>Plans pour les services de Terre</w:t>
            </w:r>
          </w:p>
        </w:tc>
        <w:tc>
          <w:tcPr>
            <w:tcW w:w="1835" w:type="dxa"/>
            <w:tcBorders>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top w:val="single" w:sz="4" w:space="0" w:color="auto"/>
              <w:left w:val="single" w:sz="4" w:space="0" w:color="auto"/>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r>
      <w:tr w:rsidR="00D843C6" w:rsidRPr="008653E6" w:rsidTr="00E3472E">
        <w:trPr>
          <w:cantSplit/>
          <w:jc w:val="center"/>
        </w:trPr>
        <w:tc>
          <w:tcPr>
            <w:tcW w:w="1835" w:type="dxa"/>
            <w:tcBorders>
              <w:left w:val="single" w:sz="4" w:space="0" w:color="auto"/>
              <w:bottom w:val="single" w:sz="4" w:space="0" w:color="auto"/>
            </w:tcBorders>
            <w:vAlign w:val="center"/>
          </w:tcPr>
          <w:p w:rsidR="00D843C6" w:rsidRPr="008653E6" w:rsidRDefault="00D843C6" w:rsidP="00E3472E">
            <w:pPr>
              <w:pStyle w:val="Tabletext"/>
              <w:jc w:val="center"/>
              <w:rPr>
                <w:rFonts w:asciiTheme="majorBidi" w:hAnsiTheme="majorBidi" w:cstheme="majorBidi"/>
                <w:b/>
              </w:rPr>
            </w:pPr>
            <w:r w:rsidRPr="008653E6">
              <w:t>Préface à la LIF</w:t>
            </w:r>
          </w:p>
        </w:tc>
        <w:tc>
          <w:tcPr>
            <w:tcW w:w="1835" w:type="dxa"/>
            <w:tcBorders>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top w:val="single" w:sz="4" w:space="0" w:color="auto"/>
              <w:left w:val="single" w:sz="4" w:space="0" w:color="auto"/>
              <w:bottom w:val="single" w:sz="4" w:space="0" w:color="auto"/>
              <w:right w:val="single" w:sz="4" w:space="0" w:color="auto"/>
            </w:tcBorders>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D843C6" w:rsidRPr="008653E6" w:rsidRDefault="00D843C6" w:rsidP="00E3472E">
            <w:pPr>
              <w:pStyle w:val="Tabletext"/>
              <w:jc w:val="center"/>
              <w:rPr>
                <w:rFonts w:asciiTheme="majorBidi" w:hAnsiTheme="majorBidi" w:cstheme="majorBidi"/>
                <w:b/>
                <w:lang w:val="fr-CH"/>
              </w:rPr>
            </w:pPr>
            <w:r w:rsidRPr="008653E6">
              <w:rPr>
                <w:rFonts w:asciiTheme="majorBidi" w:hAnsiTheme="majorBidi" w:cstheme="majorBidi"/>
                <w:lang w:val="fr-CH"/>
              </w:rPr>
              <w:t xml:space="preserve">25 </w:t>
            </w:r>
            <w:r w:rsidRPr="008653E6">
              <w:t>numéros (incorporés dans chaque BR IFIC)</w:t>
            </w:r>
          </w:p>
        </w:tc>
      </w:tr>
    </w:tbl>
    <w:p w:rsidR="00D843C6" w:rsidRPr="008653E6" w:rsidRDefault="00D843C6" w:rsidP="00D843C6">
      <w:pPr>
        <w:pStyle w:val="Heading3"/>
        <w:rPr>
          <w:lang w:val="fr-CH"/>
        </w:rPr>
      </w:pPr>
      <w:bookmarkStart w:id="86" w:name="_Toc426463255"/>
      <w:r w:rsidRPr="008653E6">
        <w:t>8.1.2</w:t>
      </w:r>
      <w:r w:rsidRPr="008653E6">
        <w:rPr>
          <w:lang w:val="fr-CH"/>
        </w:rPr>
        <w:tab/>
        <w:t>Publications de service</w:t>
      </w:r>
      <w:bookmarkEnd w:id="86"/>
    </w:p>
    <w:p w:rsidR="00D843C6" w:rsidRPr="008653E6" w:rsidRDefault="00D843C6" w:rsidP="00D843C6">
      <w:pPr>
        <w:pStyle w:val="Heading4"/>
        <w:rPr>
          <w:lang w:val="fr-CH"/>
        </w:rPr>
      </w:pPr>
      <w:r w:rsidRPr="008653E6">
        <w:t>8.1.2.1</w:t>
      </w:r>
      <w:r w:rsidRPr="008653E6">
        <w:rPr>
          <w:lang w:val="fr-CH"/>
        </w:rPr>
        <w:tab/>
        <w:t>Rappel et observations générales</w:t>
      </w:r>
    </w:p>
    <w:p w:rsidR="00D843C6" w:rsidRPr="008653E6" w:rsidRDefault="00D843C6" w:rsidP="00D843C6">
      <w:pPr>
        <w:rPr>
          <w:lang w:val="fr-CH"/>
        </w:rPr>
      </w:pPr>
      <w:r w:rsidRPr="008653E6">
        <w:rPr>
          <w:lang w:val="fr-CH"/>
        </w:rPr>
        <w:t>Le Bureau élabore et publie diverses publications de service, comme indiqué dans l</w:t>
      </w:r>
      <w:r w:rsidR="00D3135C">
        <w:rPr>
          <w:lang w:val="fr-CH"/>
        </w:rPr>
        <w:t>'</w:t>
      </w:r>
      <w:r w:rsidRPr="008653E6">
        <w:rPr>
          <w:lang w:val="fr-CH"/>
        </w:rPr>
        <w:t>Article 20 du Règlement des radiocommunications (RR).</w:t>
      </w:r>
    </w:p>
    <w:p w:rsidR="00D843C6" w:rsidRPr="008653E6" w:rsidRDefault="00D843C6" w:rsidP="00D843C6">
      <w:pPr>
        <w:rPr>
          <w:lang w:val="fr-CH"/>
        </w:rPr>
      </w:pPr>
      <w:r w:rsidRPr="008653E6">
        <w:rPr>
          <w:lang w:val="fr-CH"/>
        </w:rPr>
        <w:t>Etant donné l</w:t>
      </w:r>
      <w:r w:rsidR="00D3135C">
        <w:rPr>
          <w:lang w:val="fr-CH"/>
        </w:rPr>
        <w:t>'</w:t>
      </w:r>
      <w:r w:rsidRPr="008653E6">
        <w:rPr>
          <w:lang w:val="fr-CH"/>
        </w:rPr>
        <w:t>importance que revêtent les renseignements relatifs à l</w:t>
      </w:r>
      <w:r w:rsidR="00D3135C">
        <w:rPr>
          <w:lang w:val="fr-CH"/>
        </w:rPr>
        <w:t>'</w:t>
      </w:r>
      <w:r w:rsidRPr="008653E6">
        <w:rPr>
          <w:lang w:val="fr-CH"/>
        </w:rPr>
        <w:t>exploitation qui figurent dans les publications de service relatives au service maritime, particulièrement en ce qui concerne la sécurité, les administrations sont tenues de communiquer les modifications nécessaires, conformément aux dispositions du numéro 20.16 du RR. Néanmoins,</w:t>
      </w:r>
      <w:r w:rsidR="00A20AEB">
        <w:rPr>
          <w:lang w:val="fr-CH"/>
        </w:rPr>
        <w:t xml:space="preserve"> il convient de noter que</w:t>
      </w:r>
      <w:r w:rsidRPr="008653E6">
        <w:rPr>
          <w:lang w:val="fr-CH"/>
        </w:rPr>
        <w:t xml:space="preserve"> les préoccupations exprimées lors de la CMR-12 quant au fait que les administrations ne fournissent pas toujours des renseignements actualisés au BR sont toujours d</w:t>
      </w:r>
      <w:r w:rsidR="00D3135C">
        <w:rPr>
          <w:lang w:val="fr-CH"/>
        </w:rPr>
        <w:t>'</w:t>
      </w:r>
      <w:r w:rsidRPr="008653E6">
        <w:rPr>
          <w:lang w:val="fr-CH"/>
        </w:rPr>
        <w:t>actualité.</w:t>
      </w:r>
    </w:p>
    <w:p w:rsidR="00D843C6" w:rsidRPr="008653E6" w:rsidRDefault="00D843C6" w:rsidP="00D843C6">
      <w:pPr>
        <w:rPr>
          <w:lang w:val="fr-CH"/>
        </w:rPr>
      </w:pPr>
      <w:r w:rsidRPr="008653E6">
        <w:t xml:space="preserve">En outre, les renseignements qui figurent dans les publications de service relatives au service maritime, en particulier dans la Nomenclature des stations de navire et des identités du service mobile maritime assignées (Liste V), </w:t>
      </w:r>
      <w:r w:rsidRPr="008653E6">
        <w:rPr>
          <w:lang w:val="fr-CH"/>
        </w:rPr>
        <w:t>sont également utilisés pour d</w:t>
      </w:r>
      <w:r w:rsidR="00D3135C">
        <w:rPr>
          <w:lang w:val="fr-CH"/>
        </w:rPr>
        <w:t>'</w:t>
      </w:r>
      <w:r w:rsidRPr="008653E6">
        <w:rPr>
          <w:lang w:val="fr-CH"/>
        </w:rPr>
        <w:t>autres procédures administratives (par exemple les conditions à remplir pour obtenir des chiffres MID supplémentaires).</w:t>
      </w:r>
    </w:p>
    <w:p w:rsidR="00D843C6" w:rsidRPr="008653E6" w:rsidRDefault="00D843C6" w:rsidP="00D843C6">
      <w:pPr>
        <w:pStyle w:val="Heading4"/>
      </w:pPr>
      <w:r w:rsidRPr="008653E6">
        <w:t>8.1.2.2</w:t>
      </w:r>
      <w:r w:rsidRPr="008653E6">
        <w:tab/>
      </w:r>
      <w:r w:rsidRPr="008653E6">
        <w:rPr>
          <w:color w:val="000000"/>
        </w:rPr>
        <w:t>Nomenclature des stations côtières et des stations effectuant des services spéciaux (Liste IV)</w:t>
      </w:r>
    </w:p>
    <w:p w:rsidR="00D843C6" w:rsidRPr="008653E6" w:rsidRDefault="00D843C6" w:rsidP="00D843C6">
      <w:r w:rsidRPr="008653E6">
        <w:t>Deux éditions de la Liste IV ont été établies pendant la période couverte par le présent rapport. Cette Liste est composée d</w:t>
      </w:r>
      <w:r w:rsidR="00D3135C">
        <w:t>'</w:t>
      </w:r>
      <w:r w:rsidRPr="008653E6">
        <w:t>une brochure papier, qui contient la Préface et les tableaux de référence, ainsi que d</w:t>
      </w:r>
      <w:r w:rsidR="00D3135C">
        <w:t>'</w:t>
      </w:r>
      <w:r w:rsidRPr="008653E6">
        <w:t>un CD-ROM (en format PDF) comprenant les informations communiquées au BR sur les stations côtières, les stations de pilotage, les stations portuaires, les stations de contrôle du trafic maritime (VTS), etc.</w:t>
      </w:r>
    </w:p>
    <w:p w:rsidR="00D843C6" w:rsidRPr="008653E6" w:rsidRDefault="00D843C6" w:rsidP="00D843C6">
      <w:r w:rsidRPr="008653E6">
        <w:t>Les renseignements relatifs à cette Liste sont également mis à disposition via le système d</w:t>
      </w:r>
      <w:r w:rsidR="00D3135C">
        <w:t>'</w:t>
      </w:r>
      <w:r w:rsidRPr="008653E6">
        <w:t xml:space="preserve">information en ligne </w:t>
      </w:r>
      <w:r w:rsidRPr="008653E6">
        <w:rPr>
          <w:color w:val="000000"/>
        </w:rPr>
        <w:t>MARS</w:t>
      </w:r>
      <w:r w:rsidRPr="008653E6">
        <w:t xml:space="preserve"> (</w:t>
      </w:r>
      <w:r w:rsidRPr="008653E6">
        <w:rPr>
          <w:color w:val="000000"/>
        </w:rPr>
        <w:t>Système d</w:t>
      </w:r>
      <w:r w:rsidR="00D3135C">
        <w:rPr>
          <w:color w:val="000000"/>
        </w:rPr>
        <w:t>'</w:t>
      </w:r>
      <w:r w:rsidRPr="008653E6">
        <w:rPr>
          <w:color w:val="000000"/>
        </w:rPr>
        <w:t>accès et de consultation de la base de données du service mobile maritime) de l</w:t>
      </w:r>
      <w:r w:rsidR="00D3135C">
        <w:rPr>
          <w:color w:val="000000"/>
        </w:rPr>
        <w:t>'</w:t>
      </w:r>
      <w:r w:rsidRPr="008653E6">
        <w:rPr>
          <w:color w:val="000000"/>
        </w:rPr>
        <w:t>UIT.</w:t>
      </w:r>
    </w:p>
    <w:p w:rsidR="00D843C6" w:rsidRPr="001C1296" w:rsidRDefault="00D843C6" w:rsidP="00BE0203">
      <w:pPr>
        <w:keepNext/>
        <w:keepLines/>
      </w:pPr>
      <w:r w:rsidRPr="001C1296">
        <w:t>La page web du système MARS de l</w:t>
      </w:r>
      <w:r w:rsidR="00D3135C" w:rsidRPr="001C1296">
        <w:t>'</w:t>
      </w:r>
      <w:r w:rsidRPr="001C1296">
        <w:t>UIT a été améliorée, afin de permettre aux administrations de télécharger les fichiers contenant toutes leurs stations côtières notifiées à l</w:t>
      </w:r>
      <w:r w:rsidR="00D3135C" w:rsidRPr="001C1296">
        <w:t>'</w:t>
      </w:r>
      <w:r w:rsidRPr="001C1296">
        <w:t>UIT et de rechercher et de consulter des informations concernant une ou plusieurs stations côtières à partir d</w:t>
      </w:r>
      <w:r w:rsidR="00D3135C" w:rsidRPr="001C1296">
        <w:t>'</w:t>
      </w:r>
      <w:r w:rsidRPr="001C1296">
        <w:t>une ou de plusieurs bandes de fréquences.</w:t>
      </w:r>
    </w:p>
    <w:p w:rsidR="00D843C6" w:rsidRPr="008653E6" w:rsidRDefault="00D843C6" w:rsidP="001C1296">
      <w:r w:rsidRPr="001C1296">
        <w:t>Une nouvelle fonctionnalité permet désormais de télécharger, par l</w:t>
      </w:r>
      <w:r w:rsidR="00D3135C" w:rsidRPr="001C1296">
        <w:t>'</w:t>
      </w:r>
      <w:r w:rsidRPr="001C1296">
        <w:t xml:space="preserve">intermédiaire du système </w:t>
      </w:r>
      <w:r w:rsidRPr="008653E6">
        <w:t>MARS de l</w:t>
      </w:r>
      <w:r w:rsidR="00D3135C">
        <w:t>'</w:t>
      </w:r>
      <w:r w:rsidRPr="008653E6">
        <w:t>UIT</w:t>
      </w:r>
      <w:r w:rsidRPr="001C1296">
        <w:t xml:space="preserve">, </w:t>
      </w:r>
      <w:r w:rsidRPr="008653E6">
        <w:t>une compilation de toutes les modifications notifiées à l</w:t>
      </w:r>
      <w:r w:rsidR="00D3135C">
        <w:t>'</w:t>
      </w:r>
      <w:r w:rsidRPr="008653E6">
        <w:t>UIT. Le Bureau continue de publier, tous les six mois, cette compilation.</w:t>
      </w:r>
    </w:p>
    <w:p w:rsidR="00D843C6" w:rsidRPr="008653E6" w:rsidRDefault="00D843C6" w:rsidP="00D843C6">
      <w:pPr>
        <w:pStyle w:val="Heading4"/>
        <w:rPr>
          <w:lang w:val="fr-CH"/>
        </w:rPr>
      </w:pPr>
      <w:r w:rsidRPr="008653E6">
        <w:rPr>
          <w:lang w:val="fr-CH"/>
        </w:rPr>
        <w:t>8.1.2.3</w:t>
      </w:r>
      <w:r w:rsidRPr="008653E6">
        <w:rPr>
          <w:lang w:val="fr-CH"/>
        </w:rPr>
        <w:tab/>
        <w:t>Nomenclature des stations de navire et des identités du service mobile maritime assignées (Liste V)</w:t>
      </w:r>
    </w:p>
    <w:p w:rsidR="00D843C6" w:rsidRPr="008653E6" w:rsidRDefault="00D843C6" w:rsidP="00D843C6">
      <w:r w:rsidRPr="008653E6">
        <w:t>Quatre éditions de la Liste V ont été établies pendant la période couverte par le présent rapport. Cette Liste est composée d</w:t>
      </w:r>
      <w:r w:rsidR="00D3135C">
        <w:t>'</w:t>
      </w:r>
      <w:r w:rsidRPr="008653E6">
        <w:t>une brochure papier, qui contient la Préface et les tableaux de référence, ainsi que d</w:t>
      </w:r>
      <w:r w:rsidR="00D3135C">
        <w:t>'</w:t>
      </w:r>
      <w:r w:rsidRPr="008653E6">
        <w:t>un CD-ROM (format PDF et base de données MS Access) comprenant les informations communiquées au BR en ce qui concerne les stations de navire, les stations côtières et les aéronefs de recherche et de sauvetage (SAR) auxquels une identité MMSI a été assignée, etc.</w:t>
      </w:r>
    </w:p>
    <w:p w:rsidR="00D843C6" w:rsidRPr="008653E6" w:rsidRDefault="00D843C6" w:rsidP="00D843C6">
      <w:pPr>
        <w:rPr>
          <w:color w:val="000000"/>
        </w:rPr>
      </w:pPr>
      <w:r w:rsidRPr="008653E6">
        <w:t>Les renseignements relatifs à cette Liste sont également mis à disposition quotidiennement via le système d</w:t>
      </w:r>
      <w:r w:rsidR="00D3135C">
        <w:t>'</w:t>
      </w:r>
      <w:r w:rsidRPr="008653E6">
        <w:t>information en ligne</w:t>
      </w:r>
      <w:r w:rsidRPr="008653E6">
        <w:rPr>
          <w:color w:val="000000"/>
        </w:rPr>
        <w:t xml:space="preserve"> MARS</w:t>
      </w:r>
      <w:r w:rsidRPr="008653E6">
        <w:t xml:space="preserve"> (</w:t>
      </w:r>
      <w:r w:rsidRPr="008653E6">
        <w:rPr>
          <w:color w:val="000000"/>
        </w:rPr>
        <w:t>Système d</w:t>
      </w:r>
      <w:r w:rsidR="00D3135C">
        <w:rPr>
          <w:color w:val="000000"/>
        </w:rPr>
        <w:t>'</w:t>
      </w:r>
      <w:r w:rsidRPr="008653E6">
        <w:rPr>
          <w:color w:val="000000"/>
        </w:rPr>
        <w:t>accès et de consultation de la base de données du service mobile maritime) de l</w:t>
      </w:r>
      <w:r w:rsidR="00D3135C">
        <w:rPr>
          <w:color w:val="000000"/>
        </w:rPr>
        <w:t>'</w:t>
      </w:r>
      <w:r w:rsidRPr="008653E6">
        <w:rPr>
          <w:color w:val="000000"/>
        </w:rPr>
        <w:t>UIT.</w:t>
      </w:r>
    </w:p>
    <w:p w:rsidR="00D843C6" w:rsidRPr="008653E6" w:rsidRDefault="00D843C6" w:rsidP="00D843C6">
      <w:r w:rsidRPr="008653E6">
        <w:rPr>
          <w:szCs w:val="24"/>
          <w:lang w:val="fr-CH" w:eastAsia="zh-CN"/>
        </w:rPr>
        <w:t>La nouvelle fonctionnalité permettant de télécharger, par l</w:t>
      </w:r>
      <w:r w:rsidR="00D3135C">
        <w:rPr>
          <w:szCs w:val="24"/>
          <w:lang w:val="fr-CH" w:eastAsia="zh-CN"/>
        </w:rPr>
        <w:t>'</w:t>
      </w:r>
      <w:r w:rsidRPr="008653E6">
        <w:rPr>
          <w:szCs w:val="24"/>
          <w:lang w:val="fr-CH" w:eastAsia="zh-CN"/>
        </w:rPr>
        <w:t xml:space="preserve">intermédiaire du système </w:t>
      </w:r>
      <w:r w:rsidRPr="008653E6">
        <w:t>MARS de l</w:t>
      </w:r>
      <w:r w:rsidR="00D3135C">
        <w:t>'</w:t>
      </w:r>
      <w:r w:rsidRPr="008653E6">
        <w:t>UIT</w:t>
      </w:r>
      <w:r w:rsidRPr="008653E6">
        <w:rPr>
          <w:szCs w:val="24"/>
          <w:lang w:val="fr-CH" w:eastAsia="zh-CN"/>
        </w:rPr>
        <w:t xml:space="preserve">, </w:t>
      </w:r>
      <w:r w:rsidRPr="008653E6">
        <w:t>une compilation de toutes les modifications notifiées à l</w:t>
      </w:r>
      <w:r w:rsidR="00D3135C">
        <w:t>'</w:t>
      </w:r>
      <w:r w:rsidRPr="008653E6">
        <w:t>UIT, continue d</w:t>
      </w:r>
      <w:r w:rsidR="00D3135C">
        <w:t>'</w:t>
      </w:r>
      <w:r w:rsidRPr="008653E6">
        <w:t>être mise à disposition tous les trois mois.</w:t>
      </w:r>
    </w:p>
    <w:p w:rsidR="00D843C6" w:rsidRPr="001C1296" w:rsidRDefault="00D843C6" w:rsidP="001C1296">
      <w:pPr>
        <w:pStyle w:val="Heading4"/>
      </w:pPr>
      <w:r w:rsidRPr="001C1296">
        <w:t>8</w:t>
      </w:r>
      <w:r w:rsidR="00BE0203">
        <w:t>.</w:t>
      </w:r>
      <w:r w:rsidRPr="001C1296">
        <w:t>1.2.4</w:t>
      </w:r>
      <w:r w:rsidRPr="001C1296">
        <w:tab/>
        <w:t xml:space="preserve">Nomenclature des stations de contrôle international des émissions (Liste VIII) </w:t>
      </w:r>
    </w:p>
    <w:p w:rsidR="00D843C6" w:rsidRPr="008653E6" w:rsidRDefault="00D843C6" w:rsidP="00D843C6">
      <w:r w:rsidRPr="008653E6">
        <w:rPr>
          <w:lang w:val="fr-CH" w:eastAsia="zh-CN"/>
        </w:rPr>
        <w:t>Le GT 1C, à sa réunion de juin 2012, a décidé de procéder à la mise à jour de la Liste VIII</w:t>
      </w:r>
      <w:r w:rsidRPr="008653E6">
        <w:rPr>
          <w:color w:val="000000"/>
        </w:rPr>
        <w:t xml:space="preserve"> en la présentant dans un nouveau format</w:t>
      </w:r>
      <w:r w:rsidRPr="008653E6">
        <w:t>. En conséquence, le BR a établi la Lettre circulaire CR/348, publiée le 10 mai 2013, relative à l</w:t>
      </w:r>
      <w:r w:rsidR="00D3135C">
        <w:t>'</w:t>
      </w:r>
      <w:r w:rsidRPr="008653E6">
        <w:t xml:space="preserve">édition de 2013 de cette Liste. Les </w:t>
      </w:r>
      <w:r w:rsidRPr="008653E6">
        <w:rPr>
          <w:lang w:val="fr-CH" w:eastAsia="zh-CN"/>
        </w:rPr>
        <w:t xml:space="preserve">administrations ont été </w:t>
      </w:r>
      <w:r w:rsidRPr="008653E6">
        <w:rPr>
          <w:color w:val="000000"/>
        </w:rPr>
        <w:t>invitées à passer en revue leurs données et à communiquer les modifications correspondantes.</w:t>
      </w:r>
      <w:r w:rsidRPr="008653E6">
        <w:rPr>
          <w:lang w:val="fr-CH" w:eastAsia="zh-CN"/>
        </w:rPr>
        <w:t xml:space="preserve"> La Liste (édition de 2013) a été publiée en décembre 2013. </w:t>
      </w:r>
    </w:p>
    <w:p w:rsidR="00D843C6" w:rsidRPr="008653E6" w:rsidRDefault="00D843C6" w:rsidP="00D843C6">
      <w:pPr>
        <w:pStyle w:val="Heading4"/>
      </w:pPr>
      <w:r w:rsidRPr="008653E6">
        <w:t>8.1.2.5</w:t>
      </w:r>
      <w:r w:rsidRPr="008653E6">
        <w:tab/>
      </w:r>
      <w:r w:rsidRPr="008653E6">
        <w:rPr>
          <w:lang w:val="fr-CH"/>
        </w:rPr>
        <w:t>Liste des publications de service publiées</w:t>
      </w:r>
    </w:p>
    <w:p w:rsidR="00D843C6" w:rsidRPr="008653E6" w:rsidRDefault="00D843C6" w:rsidP="00D843C6">
      <w:pPr>
        <w:rPr>
          <w:lang w:val="fr-CH"/>
        </w:rPr>
      </w:pPr>
      <w:r w:rsidRPr="008653E6">
        <w:rPr>
          <w:lang w:val="fr-CH"/>
        </w:rPr>
        <w:t xml:space="preserve">Les différentes publications élaborées et distribuées pendant la période 2012-2015 sont récapitulées dans le Tableau </w:t>
      </w:r>
      <w:r w:rsidRPr="008653E6">
        <w:t xml:space="preserve">8.1.2.5-1 </w:t>
      </w:r>
      <w:r w:rsidRPr="008653E6">
        <w:rPr>
          <w:lang w:val="fr-CH"/>
        </w:rPr>
        <w:t>ci-dessous:</w:t>
      </w:r>
    </w:p>
    <w:p w:rsidR="00A20AEB" w:rsidRPr="008653E6" w:rsidRDefault="00A20AEB" w:rsidP="00D04881">
      <w:pPr>
        <w:pStyle w:val="TableNoBR"/>
      </w:pPr>
      <w:r w:rsidRPr="008653E6">
        <w:rPr>
          <w:lang w:val="fr-CH"/>
        </w:rPr>
        <w:t xml:space="preserve">Tableau </w:t>
      </w:r>
      <w:r w:rsidRPr="008653E6">
        <w:t>8.1.2.5-1</w:t>
      </w:r>
    </w:p>
    <w:p w:rsidR="00A20AEB" w:rsidRPr="008653E6" w:rsidRDefault="00A20AEB" w:rsidP="00D04881">
      <w:pPr>
        <w:pStyle w:val="TableNotitle"/>
        <w:spacing w:before="240"/>
        <w:rPr>
          <w:lang w:val="fr-CH"/>
        </w:rPr>
      </w:pPr>
      <w:r w:rsidRPr="008653E6">
        <w:rPr>
          <w:lang w:val="fr-CH"/>
        </w:rPr>
        <w:t xml:space="preserve">Récapitulatif concernant les publications de service diffusées </w:t>
      </w:r>
      <w:r w:rsidR="00D04881">
        <w:rPr>
          <w:lang w:val="fr-CH"/>
        </w:rPr>
        <w:br/>
      </w:r>
      <w:r w:rsidRPr="008653E6">
        <w:rPr>
          <w:lang w:val="fr-CH"/>
        </w:rPr>
        <w:t>pendant la période 2012-2015</w:t>
      </w:r>
    </w:p>
    <w:tbl>
      <w:tblPr>
        <w:tblW w:w="7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375"/>
        <w:gridCol w:w="1275"/>
        <w:gridCol w:w="1275"/>
        <w:gridCol w:w="1275"/>
        <w:gridCol w:w="1274"/>
      </w:tblGrid>
      <w:tr w:rsidR="00A20AEB" w:rsidRPr="008653E6" w:rsidTr="00D04881">
        <w:trPr>
          <w:tblHeader/>
          <w:jc w:val="center"/>
        </w:trPr>
        <w:tc>
          <w:tcPr>
            <w:tcW w:w="2375" w:type="dxa"/>
            <w:tcBorders>
              <w:top w:val="nil"/>
              <w:left w:val="nil"/>
              <w:bottom w:val="single" w:sz="4" w:space="0" w:color="auto"/>
              <w:right w:val="single" w:sz="4" w:space="0" w:color="auto"/>
            </w:tcBorders>
            <w:vAlign w:val="center"/>
          </w:tcPr>
          <w:p w:rsidR="00A20AEB" w:rsidRPr="008653E6" w:rsidRDefault="00A20AEB" w:rsidP="00E3472E">
            <w:pPr>
              <w:jc w:val="center"/>
              <w:rPr>
                <w:rFonts w:asciiTheme="majorBidi" w:hAnsiTheme="majorBidi" w:cstheme="majorBidi"/>
              </w:rPr>
            </w:pPr>
          </w:p>
        </w:tc>
        <w:tc>
          <w:tcPr>
            <w:tcW w:w="1275" w:type="dxa"/>
            <w:tcBorders>
              <w:top w:val="single" w:sz="4" w:space="0" w:color="auto"/>
              <w:left w:val="single" w:sz="4" w:space="0" w:color="auto"/>
              <w:bottom w:val="single" w:sz="4" w:space="0" w:color="auto"/>
            </w:tcBorders>
            <w:vAlign w:val="center"/>
          </w:tcPr>
          <w:p w:rsidR="00A20AEB" w:rsidRPr="008653E6" w:rsidRDefault="00A20AEB" w:rsidP="00E3472E">
            <w:pPr>
              <w:keepNext/>
              <w:spacing w:before="80" w:after="80"/>
              <w:jc w:val="center"/>
              <w:rPr>
                <w:rFonts w:asciiTheme="majorBidi" w:hAnsiTheme="majorBidi" w:cstheme="majorBidi"/>
                <w:b/>
                <w:sz w:val="20"/>
              </w:rPr>
            </w:pPr>
            <w:r w:rsidRPr="008653E6">
              <w:rPr>
                <w:rFonts w:asciiTheme="majorBidi" w:hAnsiTheme="majorBidi" w:cstheme="majorBidi"/>
                <w:b/>
                <w:sz w:val="20"/>
              </w:rPr>
              <w:t>2012</w:t>
            </w:r>
          </w:p>
        </w:tc>
        <w:tc>
          <w:tcPr>
            <w:tcW w:w="1275" w:type="dxa"/>
            <w:tcBorders>
              <w:top w:val="single" w:sz="4" w:space="0" w:color="auto"/>
              <w:bottom w:val="single" w:sz="4" w:space="0" w:color="auto"/>
            </w:tcBorders>
            <w:vAlign w:val="center"/>
          </w:tcPr>
          <w:p w:rsidR="00A20AEB" w:rsidRPr="008653E6" w:rsidRDefault="00A20AEB" w:rsidP="00E3472E">
            <w:pPr>
              <w:keepNext/>
              <w:spacing w:before="80" w:after="80"/>
              <w:jc w:val="center"/>
              <w:rPr>
                <w:rFonts w:asciiTheme="majorBidi" w:hAnsiTheme="majorBidi" w:cstheme="majorBidi"/>
                <w:b/>
                <w:sz w:val="20"/>
              </w:rPr>
            </w:pPr>
            <w:r w:rsidRPr="008653E6">
              <w:rPr>
                <w:rFonts w:asciiTheme="majorBidi" w:hAnsiTheme="majorBidi" w:cstheme="majorBidi"/>
                <w:b/>
                <w:sz w:val="20"/>
              </w:rPr>
              <w:t>2013</w:t>
            </w:r>
          </w:p>
        </w:tc>
        <w:tc>
          <w:tcPr>
            <w:tcW w:w="1275" w:type="dxa"/>
            <w:tcBorders>
              <w:top w:val="single" w:sz="4" w:space="0" w:color="auto"/>
              <w:bottom w:val="single" w:sz="4" w:space="0" w:color="auto"/>
              <w:right w:val="single" w:sz="4" w:space="0" w:color="auto"/>
            </w:tcBorders>
            <w:vAlign w:val="center"/>
          </w:tcPr>
          <w:p w:rsidR="00A20AEB" w:rsidRPr="008653E6" w:rsidRDefault="00A20AEB" w:rsidP="00E3472E">
            <w:pPr>
              <w:keepNext/>
              <w:spacing w:before="80" w:after="80"/>
              <w:jc w:val="center"/>
              <w:rPr>
                <w:rFonts w:asciiTheme="majorBidi" w:hAnsiTheme="majorBidi" w:cstheme="majorBidi"/>
                <w:b/>
                <w:sz w:val="20"/>
              </w:rPr>
            </w:pPr>
            <w:r w:rsidRPr="008653E6">
              <w:rPr>
                <w:rFonts w:asciiTheme="majorBidi" w:hAnsiTheme="majorBidi" w:cstheme="majorBidi"/>
                <w:b/>
                <w:sz w:val="20"/>
              </w:rPr>
              <w:t>2014</w:t>
            </w:r>
          </w:p>
        </w:tc>
        <w:tc>
          <w:tcPr>
            <w:tcW w:w="1274" w:type="dxa"/>
            <w:tcBorders>
              <w:top w:val="single" w:sz="4" w:space="0" w:color="auto"/>
              <w:bottom w:val="single" w:sz="4" w:space="0" w:color="auto"/>
              <w:right w:val="single" w:sz="4" w:space="0" w:color="auto"/>
            </w:tcBorders>
            <w:vAlign w:val="center"/>
          </w:tcPr>
          <w:p w:rsidR="00A20AEB" w:rsidRPr="008653E6" w:rsidRDefault="00A20AEB" w:rsidP="00E3472E">
            <w:pPr>
              <w:keepNext/>
              <w:spacing w:before="80" w:after="80"/>
              <w:jc w:val="center"/>
              <w:rPr>
                <w:rFonts w:asciiTheme="majorBidi" w:hAnsiTheme="majorBidi" w:cstheme="majorBidi"/>
                <w:b/>
                <w:sz w:val="20"/>
              </w:rPr>
            </w:pPr>
            <w:r w:rsidRPr="008653E6">
              <w:rPr>
                <w:rFonts w:asciiTheme="majorBidi" w:hAnsiTheme="majorBidi" w:cstheme="majorBidi"/>
                <w:b/>
                <w:sz w:val="20"/>
              </w:rPr>
              <w:t>2015</w:t>
            </w:r>
          </w:p>
        </w:tc>
      </w:tr>
      <w:tr w:rsidR="00A20AEB" w:rsidRPr="008653E6" w:rsidTr="00E3472E">
        <w:trPr>
          <w:cantSplit/>
          <w:jc w:val="center"/>
        </w:trPr>
        <w:tc>
          <w:tcPr>
            <w:tcW w:w="2375" w:type="dxa"/>
            <w:tcBorders>
              <w:left w:val="single" w:sz="4" w:space="0" w:color="auto"/>
              <w:bottom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fr-CH"/>
              </w:rPr>
            </w:pPr>
            <w:r w:rsidRPr="008653E6">
              <w:rPr>
                <w:rFonts w:asciiTheme="majorBidi" w:hAnsiTheme="majorBidi" w:cstheme="majorBidi"/>
                <w:sz w:val="20"/>
                <w:lang w:val="fr-CH"/>
              </w:rPr>
              <w:t>Liste IV (Nomenclature des stations côtières et des stations effectuant des services spéciaux)</w:t>
            </w:r>
          </w:p>
        </w:tc>
        <w:tc>
          <w:tcPr>
            <w:tcW w:w="1275" w:type="dxa"/>
            <w:tcBorders>
              <w:bottom w:val="single" w:sz="4" w:space="0" w:color="auto"/>
            </w:tcBorders>
            <w:vAlign w:val="center"/>
          </w:tcPr>
          <w:p w:rsidR="00A20AEB" w:rsidRPr="008653E6" w:rsidRDefault="00BE0203"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BE0203">
              <w:rPr>
                <w:rFonts w:asciiTheme="majorBidi" w:hAnsiTheme="majorBidi" w:cstheme="majorBidi"/>
                <w:sz w:val="20"/>
              </w:rPr>
              <w:t>–</w:t>
            </w:r>
          </w:p>
        </w:tc>
        <w:tc>
          <w:tcPr>
            <w:tcW w:w="1275" w:type="dxa"/>
            <w:tcBorders>
              <w:bottom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2013</w:t>
            </w:r>
            <w:r w:rsidRPr="008653E6">
              <w:rPr>
                <w:rFonts w:asciiTheme="majorBidi" w:hAnsiTheme="majorBidi" w:cstheme="majorBidi"/>
                <w:sz w:val="20"/>
              </w:rPr>
              <w:br/>
              <w:t>(Novembre)</w:t>
            </w:r>
          </w:p>
        </w:tc>
        <w:tc>
          <w:tcPr>
            <w:tcW w:w="1275" w:type="dxa"/>
            <w:tcBorders>
              <w:bottom w:val="single" w:sz="4" w:space="0" w:color="auto"/>
              <w:right w:val="single" w:sz="4" w:space="0" w:color="auto"/>
            </w:tcBorders>
            <w:vAlign w:val="center"/>
          </w:tcPr>
          <w:p w:rsidR="00A20AEB" w:rsidRPr="008653E6" w:rsidRDefault="00BE0203"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BE0203">
              <w:rPr>
                <w:rFonts w:asciiTheme="majorBidi" w:hAnsiTheme="majorBidi" w:cstheme="majorBidi"/>
                <w:sz w:val="20"/>
              </w:rPr>
              <w:t>–</w:t>
            </w:r>
          </w:p>
        </w:tc>
        <w:tc>
          <w:tcPr>
            <w:tcW w:w="1274" w:type="dxa"/>
            <w:tcBorders>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2015</w:t>
            </w:r>
            <w:r w:rsidRPr="008653E6">
              <w:rPr>
                <w:rFonts w:asciiTheme="majorBidi" w:hAnsiTheme="majorBidi" w:cstheme="majorBidi"/>
                <w:sz w:val="20"/>
              </w:rPr>
              <w:br/>
              <w:t>(Novembre)</w:t>
            </w:r>
          </w:p>
        </w:tc>
      </w:tr>
      <w:tr w:rsidR="00A20AEB" w:rsidRPr="008653E6" w:rsidTr="00E3472E">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fr-CH"/>
              </w:rPr>
            </w:pPr>
            <w:r w:rsidRPr="008653E6">
              <w:rPr>
                <w:rFonts w:asciiTheme="majorBidi" w:hAnsiTheme="majorBidi" w:cstheme="majorBidi"/>
                <w:sz w:val="20"/>
                <w:lang w:val="fr-CH"/>
              </w:rPr>
              <w:t>Liste V (Nomenclature des stations de navire et des identités du service mobile maritime assignées)</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2012</w:t>
            </w:r>
            <w:r w:rsidRPr="008653E6">
              <w:rPr>
                <w:rFonts w:asciiTheme="majorBidi" w:hAnsiTheme="majorBidi" w:cstheme="majorBidi"/>
                <w:sz w:val="20"/>
              </w:rPr>
              <w:br/>
              <w:t>(Mars)</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2013</w:t>
            </w:r>
            <w:r w:rsidRPr="008653E6">
              <w:rPr>
                <w:rFonts w:asciiTheme="majorBidi" w:hAnsiTheme="majorBidi" w:cstheme="majorBidi"/>
                <w:sz w:val="20"/>
              </w:rPr>
              <w:br/>
              <w:t>(Mars)</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2014</w:t>
            </w:r>
            <w:r w:rsidRPr="008653E6">
              <w:rPr>
                <w:rFonts w:asciiTheme="majorBidi" w:hAnsiTheme="majorBidi" w:cstheme="majorBidi"/>
                <w:sz w:val="20"/>
              </w:rPr>
              <w:br/>
              <w:t>(Mars)</w:t>
            </w:r>
          </w:p>
        </w:tc>
        <w:tc>
          <w:tcPr>
            <w:tcW w:w="1274"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2015</w:t>
            </w:r>
            <w:r w:rsidRPr="008653E6">
              <w:rPr>
                <w:rFonts w:asciiTheme="majorBidi" w:hAnsiTheme="majorBidi" w:cstheme="majorBidi"/>
                <w:sz w:val="20"/>
              </w:rPr>
              <w:br/>
              <w:t>(Mars)</w:t>
            </w:r>
          </w:p>
        </w:tc>
      </w:tr>
      <w:tr w:rsidR="00A20AEB" w:rsidRPr="008653E6" w:rsidTr="00E3472E">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fr-CH"/>
              </w:rPr>
            </w:pPr>
            <w:r w:rsidRPr="008653E6">
              <w:rPr>
                <w:rFonts w:asciiTheme="majorBidi" w:hAnsiTheme="majorBidi" w:cstheme="majorBidi"/>
                <w:sz w:val="20"/>
                <w:lang w:val="fr-CH"/>
              </w:rPr>
              <w:t>Liste VIII (Nomenclature des stations de contrôle international des émissions)</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BE0203"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BE0203">
              <w:rPr>
                <w:rFonts w:asciiTheme="majorBidi" w:hAnsiTheme="majorBidi" w:cstheme="majorBidi"/>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2013</w:t>
            </w:r>
            <w:r w:rsidRPr="008653E6">
              <w:rPr>
                <w:rFonts w:asciiTheme="majorBidi" w:hAnsiTheme="majorBidi" w:cstheme="majorBidi"/>
                <w:sz w:val="20"/>
              </w:rPr>
              <w:br/>
              <w:t>(Décembre)</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BE0203"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BE0203">
              <w:rPr>
                <w:rFonts w:asciiTheme="majorBidi" w:hAnsiTheme="majorBidi" w:cstheme="majorBidi"/>
                <w:sz w:val="20"/>
              </w:rPr>
              <w:t>–</w:t>
            </w:r>
          </w:p>
        </w:tc>
        <w:tc>
          <w:tcPr>
            <w:tcW w:w="1274" w:type="dxa"/>
            <w:tcBorders>
              <w:top w:val="single" w:sz="4" w:space="0" w:color="auto"/>
              <w:left w:val="single" w:sz="4" w:space="0" w:color="auto"/>
              <w:bottom w:val="single" w:sz="4" w:space="0" w:color="auto"/>
              <w:right w:val="single" w:sz="4" w:space="0" w:color="auto"/>
            </w:tcBorders>
            <w:vAlign w:val="center"/>
          </w:tcPr>
          <w:p w:rsidR="00A20AEB" w:rsidRPr="008653E6" w:rsidRDefault="00BE0203"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BE0203">
              <w:rPr>
                <w:rFonts w:asciiTheme="majorBidi" w:hAnsiTheme="majorBidi" w:cstheme="majorBidi"/>
                <w:sz w:val="20"/>
              </w:rPr>
              <w:t>–</w:t>
            </w:r>
          </w:p>
        </w:tc>
      </w:tr>
      <w:tr w:rsidR="00A20AEB" w:rsidRPr="008653E6" w:rsidTr="00E3472E">
        <w:trPr>
          <w:cantSplit/>
          <w:jc w:val="center"/>
        </w:trPr>
        <w:tc>
          <w:tcPr>
            <w:tcW w:w="23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lang w:val="fr-CH"/>
              </w:rPr>
              <w:t>Manuel sur le service maritime</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r w:rsidRPr="008653E6">
              <w:rPr>
                <w:rFonts w:asciiTheme="majorBidi" w:hAnsiTheme="majorBidi" w:cstheme="majorBidi"/>
                <w:sz w:val="20"/>
              </w:rPr>
              <w:t>Edition de 2013</w:t>
            </w:r>
            <w:r w:rsidRPr="008653E6">
              <w:rPr>
                <w:rFonts w:asciiTheme="majorBidi" w:hAnsiTheme="majorBidi" w:cstheme="majorBidi"/>
                <w:sz w:val="20"/>
              </w:rPr>
              <w:br/>
              <w:t>(Octobre)</w:t>
            </w:r>
          </w:p>
        </w:tc>
        <w:tc>
          <w:tcPr>
            <w:tcW w:w="1275"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A20AEB" w:rsidRPr="008653E6" w:rsidRDefault="00A20AEB" w:rsidP="00E3472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rPr>
            </w:pPr>
          </w:p>
        </w:tc>
      </w:tr>
    </w:tbl>
    <w:p w:rsidR="00A20AEB" w:rsidRPr="008653E6" w:rsidRDefault="00A20AEB" w:rsidP="00A20AEB">
      <w:pPr>
        <w:pStyle w:val="Heading3"/>
        <w:rPr>
          <w:lang w:val="fr-CH"/>
        </w:rPr>
      </w:pPr>
      <w:bookmarkStart w:id="87" w:name="_Toc426463256"/>
      <w:bookmarkStart w:id="88" w:name="_Toc418163378"/>
      <w:bookmarkStart w:id="89" w:name="_Toc418232296"/>
      <w:bookmarkStart w:id="90" w:name="_Toc424047598"/>
      <w:r w:rsidRPr="008653E6">
        <w:t>8.1.3</w:t>
      </w:r>
      <w:r w:rsidRPr="008653E6">
        <w:tab/>
      </w:r>
      <w:r w:rsidRPr="008653E6">
        <w:rPr>
          <w:lang w:val="fr-CH"/>
        </w:rPr>
        <w:t>Publications des commissions d</w:t>
      </w:r>
      <w:r w:rsidR="00D3135C">
        <w:rPr>
          <w:lang w:val="fr-CH"/>
        </w:rPr>
        <w:t>'</w:t>
      </w:r>
      <w:r w:rsidRPr="008653E6">
        <w:rPr>
          <w:lang w:val="fr-CH"/>
        </w:rPr>
        <w:t>études et autres publications</w:t>
      </w:r>
      <w:bookmarkEnd w:id="87"/>
    </w:p>
    <w:p w:rsidR="00A20AEB" w:rsidRPr="008653E6" w:rsidRDefault="00A20AEB" w:rsidP="00A20AEB">
      <w:pPr>
        <w:rPr>
          <w:lang w:val="fr-CH"/>
        </w:rPr>
      </w:pPr>
      <w:r>
        <w:rPr>
          <w:lang w:val="fr-CH"/>
        </w:rPr>
        <w:t>Depuis la CMR-</w:t>
      </w:r>
      <w:r w:rsidRPr="008653E6">
        <w:rPr>
          <w:lang w:val="fr-CH"/>
        </w:rPr>
        <w:t>12, les publications des commissions d</w:t>
      </w:r>
      <w:r w:rsidR="00D3135C">
        <w:rPr>
          <w:lang w:val="fr-CH"/>
        </w:rPr>
        <w:t>'</w:t>
      </w:r>
      <w:r w:rsidRPr="008653E6">
        <w:rPr>
          <w:lang w:val="fr-CH"/>
        </w:rPr>
        <w:t>études de l</w:t>
      </w:r>
      <w:r w:rsidR="00D3135C">
        <w:rPr>
          <w:lang w:val="fr-CH"/>
        </w:rPr>
        <w:t>'</w:t>
      </w:r>
      <w:r w:rsidRPr="008653E6">
        <w:rPr>
          <w:lang w:val="fr-CH"/>
        </w:rPr>
        <w:t>UIT-R et les autres publications ont été élaborées selon les modalités habituelles, comme prévu dans le Plan opérationnel, à savoir:</w:t>
      </w:r>
    </w:p>
    <w:p w:rsidR="00A20AEB" w:rsidRPr="008653E6" w:rsidRDefault="00A20AEB" w:rsidP="00A20AEB">
      <w:pPr>
        <w:pStyle w:val="enumlev1"/>
        <w:rPr>
          <w:lang w:val="fr-CH"/>
        </w:rPr>
      </w:pPr>
      <w:r w:rsidRPr="008653E6">
        <w:rPr>
          <w:lang w:val="fr-CH"/>
        </w:rPr>
        <w:t>–</w:t>
      </w:r>
      <w:r w:rsidRPr="008653E6">
        <w:rPr>
          <w:lang w:val="fr-CH"/>
        </w:rPr>
        <w:tab/>
        <w:t>Recommandations UIT-R: 355 Recommandations ont été publiées (postées) sur le site web de l</w:t>
      </w:r>
      <w:r w:rsidR="00D3135C">
        <w:rPr>
          <w:lang w:val="fr-CH"/>
        </w:rPr>
        <w:t>'</w:t>
      </w:r>
      <w:r w:rsidRPr="008653E6">
        <w:rPr>
          <w:lang w:val="fr-CH"/>
        </w:rPr>
        <w:t xml:space="preserve">UIT en anglais (E). </w:t>
      </w:r>
      <w:r w:rsidRPr="008653E6">
        <w:t>Toutes les Recommandations publiées entre 2005 et 2013 existent dans les six langues de l</w:t>
      </w:r>
      <w:r w:rsidR="00D3135C">
        <w:t>'</w:t>
      </w:r>
      <w:r w:rsidRPr="008653E6">
        <w:t xml:space="preserve">UIT (A/C/E/F/R/S) et la traduction dans les cinq autres langues est en cours pour les Recommandations publiées depuis 2014. </w:t>
      </w:r>
    </w:p>
    <w:p w:rsidR="00A20AEB" w:rsidRPr="008653E6" w:rsidRDefault="00A20AEB" w:rsidP="00A20AEB">
      <w:pPr>
        <w:pStyle w:val="enumlev1"/>
        <w:rPr>
          <w:lang w:val="fr-CH"/>
        </w:rPr>
      </w:pPr>
      <w:r w:rsidRPr="008653E6">
        <w:rPr>
          <w:lang w:val="fr-CH"/>
        </w:rPr>
        <w:t>–</w:t>
      </w:r>
      <w:r w:rsidRPr="008653E6">
        <w:rPr>
          <w:lang w:val="fr-CH"/>
        </w:rPr>
        <w:tab/>
        <w:t>Rapports UIT-R: 202 rapports ont été publiés (postés) sur le site web de l</w:t>
      </w:r>
      <w:r w:rsidR="00D3135C">
        <w:rPr>
          <w:lang w:val="fr-CH"/>
        </w:rPr>
        <w:t>'</w:t>
      </w:r>
      <w:r w:rsidRPr="008653E6">
        <w:rPr>
          <w:lang w:val="fr-CH"/>
        </w:rPr>
        <w:t>UIT (E).</w:t>
      </w:r>
    </w:p>
    <w:p w:rsidR="00A20AEB" w:rsidRPr="008653E6" w:rsidRDefault="00A20AEB" w:rsidP="00A20AEB">
      <w:pPr>
        <w:pStyle w:val="enumlev1"/>
        <w:rPr>
          <w:lang w:val="fr-CH"/>
        </w:rPr>
      </w:pPr>
      <w:r w:rsidRPr="008653E6">
        <w:rPr>
          <w:lang w:val="fr-CH"/>
        </w:rPr>
        <w:t>–</w:t>
      </w:r>
      <w:r w:rsidRPr="008653E6">
        <w:rPr>
          <w:lang w:val="fr-CH"/>
        </w:rPr>
        <w:tab/>
        <w:t>Manuels de l</w:t>
      </w:r>
      <w:r w:rsidR="00D3135C">
        <w:rPr>
          <w:lang w:val="fr-CH"/>
        </w:rPr>
        <w:t>'</w:t>
      </w:r>
      <w:r w:rsidRPr="008653E6">
        <w:rPr>
          <w:lang w:val="fr-CH"/>
        </w:rPr>
        <w:t>UIT-R (publiés; il s</w:t>
      </w:r>
      <w:r w:rsidR="00D3135C">
        <w:rPr>
          <w:lang w:val="fr-CH"/>
        </w:rPr>
        <w:t>'</w:t>
      </w:r>
      <w:r w:rsidRPr="008653E6">
        <w:rPr>
          <w:lang w:val="fr-CH"/>
        </w:rPr>
        <w:t>agit par défaut de la version anglaise, sauf indication contraire):</w:t>
      </w:r>
    </w:p>
    <w:p w:rsidR="00A20AEB" w:rsidRPr="008653E6" w:rsidRDefault="00A20AEB" w:rsidP="00A20AEB">
      <w:pPr>
        <w:pStyle w:val="enumlev2"/>
      </w:pPr>
      <w:r w:rsidRPr="008653E6">
        <w:t>–</w:t>
      </w:r>
      <w:r w:rsidRPr="008653E6">
        <w:tab/>
        <w:t>Changements climatiques, édition de 2012.</w:t>
      </w:r>
    </w:p>
    <w:p w:rsidR="00A20AEB" w:rsidRPr="008653E6" w:rsidRDefault="00A20AEB" w:rsidP="00A20AEB">
      <w:pPr>
        <w:pStyle w:val="enumlev2"/>
      </w:pPr>
      <w:r w:rsidRPr="008653E6">
        <w:t>–</w:t>
      </w:r>
      <w:r w:rsidRPr="008653E6">
        <w:tab/>
      </w:r>
      <w:r w:rsidRPr="008653E6">
        <w:rPr>
          <w:color w:val="000000"/>
        </w:rPr>
        <w:t>Manuel sur les méthodes de prévision de la propagation pour les évaluations des brouillages et les études de partage, é</w:t>
      </w:r>
      <w:r w:rsidRPr="008653E6">
        <w:t>dition de 2012.</w:t>
      </w:r>
    </w:p>
    <w:p w:rsidR="00A20AEB" w:rsidRPr="008653E6" w:rsidRDefault="00A20AEB" w:rsidP="00A20AEB">
      <w:pPr>
        <w:pStyle w:val="enumlev2"/>
        <w:rPr>
          <w:color w:val="000000"/>
        </w:rPr>
      </w:pPr>
      <w:r w:rsidRPr="00A20AEB">
        <w:rPr>
          <w:color w:val="000000"/>
        </w:rPr>
        <w:t>–</w:t>
      </w:r>
      <w:r>
        <w:rPr>
          <w:color w:val="000000"/>
        </w:rPr>
        <w:tab/>
        <w:t>Gestion nationale du spectre. E</w:t>
      </w:r>
      <w:r w:rsidRPr="008653E6">
        <w:rPr>
          <w:color w:val="000000"/>
        </w:rPr>
        <w:t>dition de 2015 (initialement en anglais, autres langues en cours d</w:t>
      </w:r>
      <w:r w:rsidR="00D3135C">
        <w:rPr>
          <w:color w:val="000000"/>
        </w:rPr>
        <w:t>'</w:t>
      </w:r>
      <w:r w:rsidRPr="008653E6">
        <w:rPr>
          <w:color w:val="000000"/>
        </w:rPr>
        <w:t>élaboration)</w:t>
      </w:r>
      <w:r w:rsidR="00BE0203">
        <w:rPr>
          <w:color w:val="000000"/>
        </w:rPr>
        <w:t>.</w:t>
      </w:r>
    </w:p>
    <w:p w:rsidR="00A20AEB" w:rsidRPr="008653E6" w:rsidRDefault="00A20AEB" w:rsidP="00BE0203">
      <w:pPr>
        <w:pStyle w:val="enumlev2"/>
      </w:pPr>
      <w:r w:rsidRPr="00A20AEB">
        <w:rPr>
          <w:color w:val="000000"/>
        </w:rPr>
        <w:t>–</w:t>
      </w:r>
      <w:r>
        <w:rPr>
          <w:color w:val="000000"/>
        </w:rPr>
        <w:tab/>
        <w:t>A</w:t>
      </w:r>
      <w:r w:rsidRPr="008653E6">
        <w:rPr>
          <w:color w:val="000000"/>
        </w:rPr>
        <w:t>pplication des techniques informatiques à la gestion du</w:t>
      </w:r>
      <w:r>
        <w:rPr>
          <w:color w:val="000000"/>
        </w:rPr>
        <w:t xml:space="preserve"> spectre radioélectrique</w:t>
      </w:r>
      <w:r w:rsidR="00BE0203">
        <w:rPr>
          <w:color w:val="000000"/>
        </w:rPr>
        <w:t xml:space="preserve"> </w:t>
      </w:r>
      <w:r>
        <w:rPr>
          <w:color w:val="000000"/>
        </w:rPr>
        <w:t>(CAT)</w:t>
      </w:r>
      <w:r w:rsidR="00BE0203">
        <w:rPr>
          <w:color w:val="000000"/>
        </w:rPr>
        <w:t xml:space="preserve"> </w:t>
      </w:r>
      <w:r w:rsidR="00BE0203" w:rsidRPr="00BE0203">
        <w:rPr>
          <w:color w:val="000000"/>
        </w:rPr>
        <w:t>–</w:t>
      </w:r>
      <w:r>
        <w:rPr>
          <w:color w:val="000000"/>
        </w:rPr>
        <w:t xml:space="preserve"> E</w:t>
      </w:r>
      <w:r w:rsidRPr="008653E6">
        <w:rPr>
          <w:color w:val="000000"/>
        </w:rPr>
        <w:t>dition de 2015 (initialement en anglais, autres langues en cours d</w:t>
      </w:r>
      <w:r w:rsidR="00D3135C">
        <w:rPr>
          <w:color w:val="000000"/>
        </w:rPr>
        <w:t>'</w:t>
      </w:r>
      <w:r w:rsidRPr="008653E6">
        <w:rPr>
          <w:color w:val="000000"/>
        </w:rPr>
        <w:t>élaboration)</w:t>
      </w:r>
    </w:p>
    <w:p w:rsidR="00A20AEB" w:rsidRPr="008653E6" w:rsidRDefault="00A20AEB" w:rsidP="00A20AEB">
      <w:pPr>
        <w:pStyle w:val="enumlev2"/>
      </w:pPr>
      <w:r w:rsidRPr="008653E6">
        <w:t>–</w:t>
      </w:r>
      <w:r w:rsidRPr="008653E6">
        <w:tab/>
        <w:t>Manuel sur le contrôle du spectre</w:t>
      </w:r>
      <w:r w:rsidRPr="008653E6">
        <w:rPr>
          <w:color w:val="000000"/>
        </w:rPr>
        <w:t xml:space="preserve"> </w:t>
      </w:r>
      <w:r w:rsidRPr="008653E6">
        <w:t>(A/C/F/R/S).</w:t>
      </w:r>
    </w:p>
    <w:p w:rsidR="00A20AEB" w:rsidRPr="008653E6" w:rsidRDefault="00A20AEB" w:rsidP="00A20AEB">
      <w:pPr>
        <w:pStyle w:val="enumlev2"/>
      </w:pPr>
      <w:r w:rsidRPr="008653E6">
        <w:t>–</w:t>
      </w:r>
      <w:r w:rsidRPr="008653E6">
        <w:tab/>
      </w:r>
      <w:r w:rsidRPr="008653E6">
        <w:rPr>
          <w:color w:val="000000"/>
        </w:rPr>
        <w:t>Manuel à l</w:t>
      </w:r>
      <w:r w:rsidR="00D3135C">
        <w:rPr>
          <w:color w:val="000000"/>
        </w:rPr>
        <w:t>'</w:t>
      </w:r>
      <w:r w:rsidRPr="008653E6">
        <w:rPr>
          <w:color w:val="000000"/>
        </w:rPr>
        <w:t>usage des services mobile maritime et mobile maritime par satellite.</w:t>
      </w:r>
    </w:p>
    <w:p w:rsidR="00A20AEB" w:rsidRPr="008653E6" w:rsidRDefault="00A20AEB" w:rsidP="00A20AEB">
      <w:pPr>
        <w:pStyle w:val="enumlev2"/>
      </w:pPr>
      <w:r w:rsidRPr="008653E6">
        <w:t>–</w:t>
      </w:r>
      <w:r w:rsidRPr="008653E6">
        <w:tab/>
      </w:r>
      <w:r w:rsidRPr="008653E6">
        <w:rPr>
          <w:color w:val="000000"/>
        </w:rPr>
        <w:t xml:space="preserve">Manuel DTTB (Radiodiffusion télévisuelle numérique par voie hertzienne de Terre en ondes métriques et décimétriques), </w:t>
      </w:r>
      <w:r w:rsidRPr="008653E6">
        <w:t>Révision 1.02.</w:t>
      </w:r>
    </w:p>
    <w:p w:rsidR="00A20AEB" w:rsidRPr="008653E6" w:rsidRDefault="00A20AEB" w:rsidP="00A20AEB">
      <w:pPr>
        <w:pStyle w:val="enumlev2"/>
      </w:pPr>
      <w:r w:rsidRPr="008653E6">
        <w:t>–</w:t>
      </w:r>
      <w:r w:rsidRPr="008653E6">
        <w:tab/>
        <w:t>Manuel sur la radioastronomie, édition de 2013.</w:t>
      </w:r>
    </w:p>
    <w:p w:rsidR="00A20AEB" w:rsidRPr="008653E6" w:rsidRDefault="00A20AEB" w:rsidP="00A20AEB">
      <w:pPr>
        <w:pStyle w:val="enumlev2"/>
      </w:pPr>
      <w:r w:rsidRPr="008653E6">
        <w:t>–</w:t>
      </w:r>
      <w:r w:rsidRPr="008653E6">
        <w:tab/>
        <w:t>Radiométéorologie.</w:t>
      </w:r>
    </w:p>
    <w:p w:rsidR="00A20AEB" w:rsidRPr="008653E6" w:rsidRDefault="00A20AEB" w:rsidP="00A20AEB">
      <w:pPr>
        <w:pStyle w:val="enumlev2"/>
      </w:pPr>
      <w:r w:rsidRPr="008653E6">
        <w:t>–</w:t>
      </w:r>
      <w:r w:rsidRPr="008653E6">
        <w:tab/>
        <w:t>Service d</w:t>
      </w:r>
      <w:r w:rsidR="00D3135C">
        <w:t>'</w:t>
      </w:r>
      <w:r w:rsidRPr="008653E6">
        <w:t>amateur et service d</w:t>
      </w:r>
      <w:r w:rsidR="00D3135C">
        <w:t>'</w:t>
      </w:r>
      <w:r w:rsidRPr="008653E6">
        <w:t>amateur par satellite, édition de 2014.</w:t>
      </w:r>
    </w:p>
    <w:p w:rsidR="00A20AEB" w:rsidRPr="008653E6" w:rsidRDefault="00A20AEB" w:rsidP="00A20AEB">
      <w:pPr>
        <w:pStyle w:val="enumlev2"/>
      </w:pPr>
      <w:r w:rsidRPr="008653E6">
        <w:t>–</w:t>
      </w:r>
      <w:r w:rsidRPr="008653E6">
        <w:tab/>
      </w:r>
      <w:r w:rsidRPr="008653E6">
        <w:rPr>
          <w:color w:val="000000"/>
        </w:rPr>
        <w:t>Propagation de l</w:t>
      </w:r>
      <w:r w:rsidR="00D3135C">
        <w:rPr>
          <w:color w:val="000000"/>
        </w:rPr>
        <w:t>'</w:t>
      </w:r>
      <w:r w:rsidRPr="008653E6">
        <w:rPr>
          <w:color w:val="000000"/>
        </w:rPr>
        <w:t>onde de sol, é</w:t>
      </w:r>
      <w:r w:rsidRPr="008653E6">
        <w:t>dition de 2014.</w:t>
      </w:r>
    </w:p>
    <w:p w:rsidR="00A20AEB" w:rsidRPr="008653E6" w:rsidRDefault="00A20AEB" w:rsidP="00A20AEB">
      <w:pPr>
        <w:pStyle w:val="enumlev2"/>
      </w:pPr>
      <w:r w:rsidRPr="008653E6">
        <w:t>–</w:t>
      </w:r>
      <w:r w:rsidRPr="008653E6">
        <w:tab/>
        <w:t>Manuel sur le service d</w:t>
      </w:r>
      <w:r w:rsidR="00D3135C">
        <w:t>'</w:t>
      </w:r>
      <w:r w:rsidRPr="008653E6">
        <w:t>amateur et le service d</w:t>
      </w:r>
      <w:r w:rsidR="00D3135C">
        <w:t>'</w:t>
      </w:r>
      <w:r w:rsidRPr="008653E6">
        <w:t>amateur par satellite (A/C/F/R/S).</w:t>
      </w:r>
    </w:p>
    <w:p w:rsidR="00A20AEB" w:rsidRPr="008653E6" w:rsidRDefault="00A20AEB" w:rsidP="00A20AEB">
      <w:pPr>
        <w:pStyle w:val="enumlev2"/>
      </w:pPr>
      <w:r w:rsidRPr="008653E6">
        <w:t>–</w:t>
      </w:r>
      <w:r w:rsidRPr="008653E6">
        <w:tab/>
      </w:r>
      <w:r w:rsidRPr="008653E6">
        <w:rPr>
          <w:color w:val="000000"/>
        </w:rPr>
        <w:t>Communications dans le service de recherche spatiale</w:t>
      </w:r>
      <w:r w:rsidRPr="008653E6">
        <w:t xml:space="preserve"> (édition de 2014).</w:t>
      </w:r>
    </w:p>
    <w:p w:rsidR="00A20AEB" w:rsidRPr="008653E6" w:rsidRDefault="00A20AEB" w:rsidP="00A20AEB">
      <w:pPr>
        <w:pStyle w:val="enumlev2"/>
      </w:pPr>
      <w:r w:rsidRPr="008653E6">
        <w:t>–</w:t>
      </w:r>
      <w:r w:rsidRPr="008653E6">
        <w:tab/>
        <w:t>Radiométéorologie (R).</w:t>
      </w:r>
    </w:p>
    <w:p w:rsidR="00A20AEB" w:rsidRPr="008653E6" w:rsidRDefault="00A20AEB" w:rsidP="00A20AEB">
      <w:pPr>
        <w:pStyle w:val="enumlev2"/>
      </w:pPr>
      <w:r w:rsidRPr="008653E6">
        <w:t>–</w:t>
      </w:r>
      <w:r w:rsidRPr="008653E6">
        <w:tab/>
      </w:r>
      <w:r w:rsidRPr="008653E6">
        <w:rPr>
          <w:color w:val="000000"/>
        </w:rPr>
        <w:t>Transfert et diffusion par satellite des signaux horaires et de fréquence</w:t>
      </w:r>
      <w:r w:rsidRPr="008653E6">
        <w:t xml:space="preserve"> (A/C/F/R/S).</w:t>
      </w:r>
    </w:p>
    <w:p w:rsidR="00A20AEB" w:rsidRDefault="00A20AEB" w:rsidP="00A20AEB">
      <w:pPr>
        <w:pStyle w:val="enumlev2"/>
        <w:rPr>
          <w:lang w:val="fr-CH"/>
        </w:rPr>
      </w:pPr>
      <w:r w:rsidRPr="008653E6">
        <w:t>–</w:t>
      </w:r>
      <w:r w:rsidRPr="008653E6">
        <w:tab/>
        <w:t>Propagation de l</w:t>
      </w:r>
      <w:r w:rsidR="00D3135C">
        <w:t>'</w:t>
      </w:r>
      <w:r w:rsidRPr="008653E6">
        <w:t>onde de sol (A/S/F/R)</w:t>
      </w:r>
      <w:r w:rsidRPr="008653E6">
        <w:rPr>
          <w:lang w:val="fr-CH"/>
        </w:rPr>
        <w:t>.</w:t>
      </w:r>
    </w:p>
    <w:p w:rsidR="00A20AEB" w:rsidRPr="008653E6" w:rsidRDefault="00A20AEB" w:rsidP="00A20AEB">
      <w:pPr>
        <w:pStyle w:val="enumlev1"/>
      </w:pPr>
      <w:r w:rsidRPr="008653E6">
        <w:rPr>
          <w:lang w:val="fr-CH"/>
        </w:rPr>
        <w:t>–</w:t>
      </w:r>
      <w:r w:rsidRPr="008653E6">
        <w:rPr>
          <w:lang w:val="fr-CH"/>
        </w:rPr>
        <w:tab/>
        <w:t xml:space="preserve">Autres publications: </w:t>
      </w:r>
      <w:r w:rsidRPr="008653E6">
        <w:t>(A/C/E/F/R/S):</w:t>
      </w:r>
    </w:p>
    <w:p w:rsidR="00A20AEB" w:rsidRPr="008653E6" w:rsidRDefault="00A20AEB" w:rsidP="00A20AEB">
      <w:pPr>
        <w:pStyle w:val="enumlev2"/>
      </w:pPr>
      <w:r w:rsidRPr="008653E6">
        <w:t>–</w:t>
      </w:r>
      <w:r w:rsidRPr="008653E6">
        <w:tab/>
      </w:r>
      <w:r w:rsidRPr="008653E6">
        <w:rPr>
          <w:color w:val="000000"/>
        </w:rPr>
        <w:t>Livre des Résolutions UIT-R</w:t>
      </w:r>
      <w:r w:rsidRPr="008653E6">
        <w:t xml:space="preserve"> 2012.</w:t>
      </w:r>
    </w:p>
    <w:p w:rsidR="00A20AEB" w:rsidRPr="008653E6" w:rsidRDefault="00A20AEB" w:rsidP="00A20AEB">
      <w:pPr>
        <w:pStyle w:val="enumlev2"/>
      </w:pPr>
      <w:r w:rsidRPr="008653E6">
        <w:t>–</w:t>
      </w:r>
      <w:r w:rsidRPr="008653E6">
        <w:tab/>
      </w:r>
      <w:r w:rsidRPr="008653E6">
        <w:rPr>
          <w:color w:val="000000"/>
        </w:rPr>
        <w:t>Actes finals provisoires de la CMR-12</w:t>
      </w:r>
      <w:r w:rsidRPr="008653E6">
        <w:t>.</w:t>
      </w:r>
    </w:p>
    <w:p w:rsidR="00A20AEB" w:rsidRPr="008653E6" w:rsidRDefault="00A20AEB" w:rsidP="00A20AEB">
      <w:pPr>
        <w:pStyle w:val="enumlev2"/>
      </w:pPr>
      <w:r w:rsidRPr="008653E6">
        <w:t>–</w:t>
      </w:r>
      <w:r w:rsidRPr="008653E6">
        <w:tab/>
      </w:r>
      <w:r w:rsidRPr="008653E6">
        <w:rPr>
          <w:color w:val="000000"/>
        </w:rPr>
        <w:t>Actes finals de la CMR-12</w:t>
      </w:r>
      <w:r w:rsidRPr="008653E6">
        <w:t>.</w:t>
      </w:r>
    </w:p>
    <w:p w:rsidR="00A20AEB" w:rsidRPr="008653E6" w:rsidRDefault="00A20AEB" w:rsidP="00A20AEB">
      <w:pPr>
        <w:pStyle w:val="enumlev2"/>
      </w:pPr>
      <w:r w:rsidRPr="008653E6">
        <w:t>–</w:t>
      </w:r>
      <w:r w:rsidRPr="008653E6">
        <w:tab/>
      </w:r>
      <w:r w:rsidRPr="008653E6">
        <w:rPr>
          <w:color w:val="000000"/>
        </w:rPr>
        <w:t>Règles de procédures, édition de 2012</w:t>
      </w:r>
      <w:r w:rsidRPr="008653E6">
        <w:t>.</w:t>
      </w:r>
    </w:p>
    <w:p w:rsidR="00A20AEB" w:rsidRPr="008653E6" w:rsidRDefault="00A20AEB" w:rsidP="00A20AEB">
      <w:pPr>
        <w:pStyle w:val="enumlev2"/>
      </w:pPr>
      <w:r w:rsidRPr="008653E6">
        <w:t>–</w:t>
      </w:r>
      <w:r w:rsidRPr="008653E6">
        <w:tab/>
      </w:r>
      <w:r w:rsidRPr="008653E6">
        <w:rPr>
          <w:color w:val="000000"/>
        </w:rPr>
        <w:t>Règles de procédures de l</w:t>
      </w:r>
      <w:r w:rsidR="00D3135C">
        <w:rPr>
          <w:color w:val="000000"/>
        </w:rPr>
        <w:t>'</w:t>
      </w:r>
      <w:r w:rsidRPr="008653E6">
        <w:rPr>
          <w:color w:val="000000"/>
        </w:rPr>
        <w:t xml:space="preserve">UIT-R </w:t>
      </w:r>
      <w:r w:rsidRPr="008653E6">
        <w:t>2012, Mise à jour 1.</w:t>
      </w:r>
    </w:p>
    <w:p w:rsidR="00A20AEB" w:rsidRPr="008653E6" w:rsidRDefault="00A20AEB" w:rsidP="00A20AEB">
      <w:pPr>
        <w:pStyle w:val="enumlev2"/>
      </w:pPr>
      <w:r w:rsidRPr="008653E6">
        <w:t>–</w:t>
      </w:r>
      <w:r w:rsidRPr="008653E6">
        <w:tab/>
        <w:t>Règles de procédures de l</w:t>
      </w:r>
      <w:r w:rsidR="00D3135C">
        <w:t>'</w:t>
      </w:r>
      <w:r w:rsidRPr="008653E6">
        <w:t>UIT-R 2012, Mise à jour 2.</w:t>
      </w:r>
    </w:p>
    <w:p w:rsidR="00A20AEB" w:rsidRPr="008653E6" w:rsidRDefault="00A20AEB" w:rsidP="00A20AEB">
      <w:pPr>
        <w:pStyle w:val="enumlev2"/>
      </w:pPr>
      <w:r w:rsidRPr="008653E6">
        <w:t>–</w:t>
      </w:r>
      <w:r w:rsidRPr="008653E6">
        <w:tab/>
        <w:t>Règles de procédures de l</w:t>
      </w:r>
      <w:r w:rsidR="00D3135C">
        <w:t>'</w:t>
      </w:r>
      <w:r w:rsidRPr="008653E6">
        <w:t>UIT-R 2012, Mise à jour 3.</w:t>
      </w:r>
    </w:p>
    <w:p w:rsidR="00A20AEB" w:rsidRPr="008653E6" w:rsidRDefault="00A20AEB" w:rsidP="00A20AEB">
      <w:pPr>
        <w:pStyle w:val="enumlev2"/>
      </w:pPr>
      <w:r w:rsidRPr="008653E6">
        <w:t>–</w:t>
      </w:r>
      <w:r w:rsidRPr="008653E6">
        <w:tab/>
        <w:t>Règles de procédures de l</w:t>
      </w:r>
      <w:r w:rsidR="00D3135C">
        <w:t>'</w:t>
      </w:r>
      <w:r w:rsidRPr="008653E6">
        <w:t>UIT-R 2012, Mise à jour 4.</w:t>
      </w:r>
    </w:p>
    <w:p w:rsidR="00A20AEB" w:rsidRPr="008653E6" w:rsidRDefault="00A20AEB" w:rsidP="00A20AEB">
      <w:pPr>
        <w:pStyle w:val="enumlev2"/>
      </w:pPr>
      <w:r w:rsidRPr="008653E6">
        <w:t>–</w:t>
      </w:r>
      <w:r w:rsidRPr="008653E6">
        <w:tab/>
        <w:t>Règles de procédures de l</w:t>
      </w:r>
      <w:r w:rsidR="00D3135C">
        <w:t>'</w:t>
      </w:r>
      <w:r w:rsidRPr="008653E6">
        <w:t>UIT-R 2012, Mise à jour 5.</w:t>
      </w:r>
    </w:p>
    <w:p w:rsidR="00A20AEB" w:rsidRPr="008653E6" w:rsidRDefault="00A20AEB" w:rsidP="00A20AEB">
      <w:pPr>
        <w:pStyle w:val="enumlev2"/>
      </w:pPr>
      <w:r w:rsidRPr="008653E6">
        <w:t>–</w:t>
      </w:r>
      <w:r w:rsidRPr="008653E6">
        <w:tab/>
        <w:t>Règles de procédures de l</w:t>
      </w:r>
      <w:r w:rsidR="00D3135C">
        <w:t>'</w:t>
      </w:r>
      <w:r w:rsidRPr="008653E6">
        <w:t>UIT-R 2012, Mise à jour 6.</w:t>
      </w:r>
    </w:p>
    <w:p w:rsidR="00A20AEB" w:rsidRPr="008653E6" w:rsidRDefault="00A20AEB" w:rsidP="00A20AEB">
      <w:pPr>
        <w:pStyle w:val="enumlev2"/>
      </w:pPr>
      <w:r w:rsidRPr="008653E6">
        <w:t>–</w:t>
      </w:r>
      <w:r w:rsidRPr="008653E6">
        <w:tab/>
        <w:t>Règles de procédures de l</w:t>
      </w:r>
      <w:r w:rsidR="00D3135C">
        <w:t>'</w:t>
      </w:r>
      <w:r w:rsidRPr="008653E6">
        <w:t>UIT-R 2012, Mise à jour 7.</w:t>
      </w:r>
    </w:p>
    <w:p w:rsidR="00A20AEB" w:rsidRPr="008653E6" w:rsidRDefault="00A20AEB" w:rsidP="00A20AEB">
      <w:pPr>
        <w:pStyle w:val="enumlev2"/>
      </w:pPr>
      <w:r w:rsidRPr="008653E6">
        <w:t>–</w:t>
      </w:r>
      <w:r w:rsidRPr="008653E6">
        <w:tab/>
        <w:t>Radiocommunications de l</w:t>
      </w:r>
      <w:r w:rsidR="00D3135C">
        <w:t>'</w:t>
      </w:r>
      <w:r w:rsidRPr="008653E6">
        <w:t xml:space="preserve">UIT-R: </w:t>
      </w:r>
      <w:r w:rsidRPr="008653E6">
        <w:rPr>
          <w:color w:val="000000"/>
        </w:rPr>
        <w:t>Engagée à connecter le monde.</w:t>
      </w:r>
    </w:p>
    <w:p w:rsidR="00A20AEB" w:rsidRPr="008653E6" w:rsidRDefault="00A20AEB" w:rsidP="00A20AEB">
      <w:pPr>
        <w:pStyle w:val="enumlev2"/>
      </w:pPr>
      <w:r w:rsidRPr="008653E6">
        <w:t>–</w:t>
      </w:r>
      <w:r w:rsidRPr="008653E6">
        <w:tab/>
      </w:r>
      <w:r w:rsidRPr="008653E6">
        <w:rPr>
          <w:lang w:val="fr-CH"/>
        </w:rPr>
        <w:t xml:space="preserve">Recommandations et Rapports sur CD-ROM et DVD-ROM </w:t>
      </w:r>
      <w:r w:rsidRPr="008653E6">
        <w:t>(sept exemplaires) correspondant à cette période (janvier 2012</w:t>
      </w:r>
      <w:r w:rsidRPr="008653E6">
        <w:noBreakHyphen/>
        <w:t>mars 2015)</w:t>
      </w:r>
      <w:bookmarkEnd w:id="88"/>
      <w:bookmarkEnd w:id="89"/>
      <w:bookmarkEnd w:id="90"/>
      <w:r w:rsidRPr="008653E6">
        <w:t>.</w:t>
      </w:r>
    </w:p>
    <w:p w:rsidR="00A20AEB" w:rsidRPr="008653E6" w:rsidRDefault="00A20AEB" w:rsidP="00A20AEB">
      <w:pPr>
        <w:pStyle w:val="Heading3"/>
      </w:pPr>
      <w:r>
        <w:t>8.1.4</w:t>
      </w:r>
      <w:r>
        <w:tab/>
        <w:t>Téléchargement des publications de l</w:t>
      </w:r>
      <w:r w:rsidR="00D3135C">
        <w:t>'</w:t>
      </w:r>
      <w:r>
        <w:t>UIT-R</w:t>
      </w:r>
    </w:p>
    <w:p w:rsidR="00A20AEB" w:rsidRPr="008653E6" w:rsidRDefault="00A20AEB" w:rsidP="00A20AEB">
      <w:pPr>
        <w:pStyle w:val="Heading4"/>
      </w:pPr>
      <w:r w:rsidRPr="008653E6">
        <w:t>8.1.4.1</w:t>
      </w:r>
      <w:r w:rsidRPr="008653E6">
        <w:tab/>
        <w:t>Règlement des radiocommunications et Règles de procédure</w:t>
      </w:r>
    </w:p>
    <w:p w:rsidR="00A20AEB" w:rsidRPr="008653E6" w:rsidRDefault="00A20AEB" w:rsidP="00BE0203">
      <w:pPr>
        <w:rPr>
          <w:rFonts w:asciiTheme="majorBidi" w:hAnsiTheme="majorBidi" w:cstheme="majorBidi"/>
          <w:szCs w:val="24"/>
        </w:rPr>
      </w:pPr>
      <w:r w:rsidRPr="008653E6">
        <w:t xml:space="preserve">En ce qui concerne ces documents réglementaires, on trouvera dans le Tableau </w:t>
      </w:r>
      <w:r>
        <w:t>8</w:t>
      </w:r>
      <w:r w:rsidRPr="008653E6">
        <w:t>.1.4.1-1 une comparaison entre les ventes de l</w:t>
      </w:r>
      <w:r w:rsidR="00D3135C">
        <w:t>'</w:t>
      </w:r>
      <w:r w:rsidRPr="008653E6">
        <w:t>édition de 2008 du RR (publiée en septembre 2008) et de l</w:t>
      </w:r>
      <w:r w:rsidR="00D3135C">
        <w:t>'</w:t>
      </w:r>
      <w:r w:rsidRPr="008653E6">
        <w:t>édition de 2012 du RR (publiée en décembre 201</w:t>
      </w:r>
      <w:r>
        <w:t>2</w:t>
      </w:r>
      <w:r w:rsidRPr="008653E6">
        <w:t>), au 31 </w:t>
      </w:r>
      <w:r>
        <w:t>décembre</w:t>
      </w:r>
      <w:r w:rsidRPr="008653E6">
        <w:t xml:space="preserve"> 2015</w:t>
      </w:r>
      <w:r w:rsidR="00BE0203">
        <w:t>.</w:t>
      </w:r>
      <w:r w:rsidRPr="008653E6">
        <w:rPr>
          <w:rFonts w:asciiTheme="majorBidi" w:hAnsiTheme="majorBidi" w:cstheme="majorBidi"/>
        </w:rPr>
        <w:t xml:space="preserve"> Il ressort de cette comparaison que la politique d</w:t>
      </w:r>
      <w:r w:rsidR="00D3135C">
        <w:rPr>
          <w:rFonts w:asciiTheme="majorBidi" w:hAnsiTheme="majorBidi" w:cstheme="majorBidi"/>
        </w:rPr>
        <w:t>'</w:t>
      </w:r>
      <w:r w:rsidRPr="008653E6">
        <w:rPr>
          <w:rFonts w:asciiTheme="majorBidi" w:hAnsiTheme="majorBidi" w:cstheme="majorBidi"/>
        </w:rPr>
        <w:t>accès gratuit en ligne n</w:t>
      </w:r>
      <w:r w:rsidR="00D3135C">
        <w:rPr>
          <w:rFonts w:asciiTheme="majorBidi" w:hAnsiTheme="majorBidi" w:cstheme="majorBidi"/>
        </w:rPr>
        <w:t>'</w:t>
      </w:r>
      <w:r w:rsidRPr="008653E6">
        <w:rPr>
          <w:rFonts w:asciiTheme="majorBidi" w:hAnsiTheme="majorBidi" w:cstheme="majorBidi"/>
        </w:rPr>
        <w:t>a eu aucune incidence sur le niveau des ventes. Les ventes du RR-12 ont dépassé celles du RR-08 (</w:t>
      </w:r>
      <w:r w:rsidR="001C1296">
        <w:rPr>
          <w:rFonts w:asciiTheme="majorBidi" w:hAnsiTheme="majorBidi" w:cstheme="majorBidi"/>
        </w:rPr>
        <w:t>supérieures de 29</w:t>
      </w:r>
      <w:r>
        <w:rPr>
          <w:rFonts w:asciiTheme="majorBidi" w:hAnsiTheme="majorBidi" w:cstheme="majorBidi"/>
        </w:rPr>
        <w:t xml:space="preserve">%). </w:t>
      </w:r>
      <w:r w:rsidRPr="008653E6">
        <w:rPr>
          <w:rFonts w:asciiTheme="majorBidi" w:hAnsiTheme="majorBidi" w:cstheme="majorBidi"/>
        </w:rPr>
        <w:t>Le nombre important de téléchargements gratuits (supérieur d</w:t>
      </w:r>
      <w:r w:rsidR="00D3135C">
        <w:rPr>
          <w:rFonts w:asciiTheme="majorBidi" w:hAnsiTheme="majorBidi" w:cstheme="majorBidi"/>
        </w:rPr>
        <w:t>'</w:t>
      </w:r>
      <w:r w:rsidRPr="008653E6">
        <w:rPr>
          <w:rFonts w:asciiTheme="majorBidi" w:hAnsiTheme="majorBidi" w:cstheme="majorBidi"/>
        </w:rPr>
        <w:t>environ 37% aux versions payantes)</w:t>
      </w:r>
      <w:r w:rsidRPr="008653E6">
        <w:rPr>
          <w:rFonts w:asciiTheme="majorBidi" w:hAnsiTheme="majorBidi" w:cstheme="majorBidi"/>
          <w:szCs w:val="24"/>
        </w:rPr>
        <w:t xml:space="preserve"> </w:t>
      </w:r>
      <w:r w:rsidRPr="008653E6">
        <w:rPr>
          <w:color w:val="000000"/>
        </w:rPr>
        <w:t xml:space="preserve">illustre les effets positifs de cette politique. </w:t>
      </w:r>
      <w:r w:rsidRPr="008653E6">
        <w:rPr>
          <w:rFonts w:asciiTheme="majorBidi" w:hAnsiTheme="majorBidi" w:cstheme="majorBidi"/>
          <w:szCs w:val="24"/>
        </w:rPr>
        <w:t xml:space="preserve">De plus, les téléchargements ont été effectués par </w:t>
      </w:r>
      <w:r>
        <w:rPr>
          <w:rFonts w:asciiTheme="majorBidi" w:hAnsiTheme="majorBidi" w:cstheme="majorBidi"/>
          <w:szCs w:val="24"/>
        </w:rPr>
        <w:t>182 pays, représentant 94% des</w:t>
      </w:r>
      <w:r w:rsidRPr="008653E6">
        <w:rPr>
          <w:rFonts w:asciiTheme="majorBidi" w:hAnsiTheme="majorBidi" w:cstheme="majorBidi"/>
          <w:szCs w:val="24"/>
        </w:rPr>
        <w:t xml:space="preserve"> membres de l</w:t>
      </w:r>
      <w:r w:rsidR="00D3135C">
        <w:rPr>
          <w:rFonts w:asciiTheme="majorBidi" w:hAnsiTheme="majorBidi" w:cstheme="majorBidi"/>
          <w:szCs w:val="24"/>
        </w:rPr>
        <w:t>'</w:t>
      </w:r>
      <w:r w:rsidRPr="008653E6">
        <w:rPr>
          <w:rFonts w:asciiTheme="majorBidi" w:hAnsiTheme="majorBidi" w:cstheme="majorBidi"/>
          <w:szCs w:val="24"/>
        </w:rPr>
        <w:t>UIT.</w:t>
      </w:r>
    </w:p>
    <w:p w:rsidR="00A20AEB" w:rsidRPr="008653E6" w:rsidRDefault="00A20AEB" w:rsidP="00D04881">
      <w:pPr>
        <w:pStyle w:val="TableNoBR"/>
      </w:pPr>
      <w:r w:rsidRPr="008653E6">
        <w:rPr>
          <w:lang w:val="fr-CH"/>
        </w:rPr>
        <w:t>TableAU</w:t>
      </w:r>
      <w:r w:rsidRPr="008653E6">
        <w:t xml:space="preserve"> 8.1.4.1-1</w:t>
      </w:r>
    </w:p>
    <w:p w:rsidR="00A20AEB" w:rsidRPr="00D04881" w:rsidRDefault="00A20AEB" w:rsidP="00D04881">
      <w:pPr>
        <w:pStyle w:val="TableNotitle"/>
        <w:spacing w:before="240"/>
      </w:pPr>
      <w:r w:rsidRPr="00D04881">
        <w:t xml:space="preserve">Comparaison entre le nombre de livraisons du Règlement des </w:t>
      </w:r>
      <w:r w:rsidR="00D04881">
        <w:br/>
      </w:r>
      <w:r w:rsidRPr="00D04881">
        <w:t xml:space="preserve">radiocommunications et des Règles de procédure depuis 2008 </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A20AEB" w:rsidRPr="008653E6" w:rsidTr="00E3472E">
        <w:trPr>
          <w:trHeight w:val="525"/>
          <w:jc w:val="center"/>
        </w:trPr>
        <w:tc>
          <w:tcPr>
            <w:tcW w:w="4512" w:type="dxa"/>
            <w:tcBorders>
              <w:bottom w:val="single" w:sz="8" w:space="0" w:color="auto"/>
            </w:tcBorders>
            <w:shd w:val="clear" w:color="auto" w:fill="auto"/>
            <w:vAlign w:val="center"/>
            <w:hideMark/>
          </w:tcPr>
          <w:p w:rsidR="00A20AEB" w:rsidRPr="008653E6" w:rsidRDefault="00A20AEB" w:rsidP="00E3472E">
            <w:pPr>
              <w:overflowPunct/>
              <w:autoSpaceDE/>
              <w:autoSpaceDN/>
              <w:adjustRightInd/>
              <w:spacing w:before="0"/>
              <w:jc w:val="center"/>
              <w:textAlignment w:val="auto"/>
              <w:rPr>
                <w:rFonts w:ascii="Times" w:hAnsi="Times" w:cs="Times"/>
                <w:color w:val="000000"/>
                <w:sz w:val="20"/>
                <w:lang w:val="fr-CH" w:eastAsia="zh-CN"/>
              </w:rPr>
            </w:pPr>
          </w:p>
        </w:tc>
        <w:tc>
          <w:tcPr>
            <w:tcW w:w="1583" w:type="dxa"/>
            <w:tcBorders>
              <w:top w:val="single" w:sz="8" w:space="0" w:color="auto"/>
            </w:tcBorders>
            <w:shd w:val="clear" w:color="auto" w:fill="auto"/>
            <w:vAlign w:val="center"/>
            <w:hideMark/>
          </w:tcPr>
          <w:p w:rsidR="00A20AEB" w:rsidRPr="008653E6" w:rsidRDefault="00A20AEB" w:rsidP="00E3472E">
            <w:pPr>
              <w:overflowPunct/>
              <w:autoSpaceDE/>
              <w:autoSpaceDN/>
              <w:adjustRightInd/>
              <w:spacing w:before="0"/>
              <w:jc w:val="center"/>
              <w:textAlignment w:val="auto"/>
              <w:rPr>
                <w:b/>
                <w:bCs/>
                <w:color w:val="000000"/>
                <w:sz w:val="20"/>
                <w:lang w:val="en-US" w:eastAsia="zh-CN"/>
              </w:rPr>
            </w:pPr>
            <w:r w:rsidRPr="008653E6">
              <w:rPr>
                <w:b/>
                <w:bCs/>
                <w:color w:val="000000"/>
                <w:sz w:val="20"/>
                <w:lang w:val="en-US" w:eastAsia="zh-CN"/>
              </w:rPr>
              <w:t>Nombre d</w:t>
            </w:r>
            <w:r w:rsidR="00D3135C">
              <w:rPr>
                <w:b/>
                <w:bCs/>
                <w:color w:val="000000"/>
                <w:sz w:val="20"/>
                <w:lang w:val="en-US" w:eastAsia="zh-CN"/>
              </w:rPr>
              <w:t>'</w:t>
            </w:r>
            <w:r w:rsidRPr="008653E6">
              <w:rPr>
                <w:b/>
                <w:bCs/>
                <w:color w:val="000000"/>
                <w:sz w:val="20"/>
                <w:lang w:val="en-US" w:eastAsia="zh-CN"/>
              </w:rPr>
              <w:t>exemplaires vendus</w:t>
            </w:r>
          </w:p>
        </w:tc>
        <w:tc>
          <w:tcPr>
            <w:tcW w:w="2049" w:type="dxa"/>
            <w:tcBorders>
              <w:top w:val="single" w:sz="8" w:space="0" w:color="auto"/>
            </w:tcBorders>
            <w:shd w:val="clear" w:color="auto" w:fill="auto"/>
            <w:vAlign w:val="center"/>
            <w:hideMark/>
          </w:tcPr>
          <w:p w:rsidR="00A20AEB" w:rsidRPr="008653E6" w:rsidRDefault="00A20AEB" w:rsidP="00E3472E">
            <w:pPr>
              <w:overflowPunct/>
              <w:autoSpaceDE/>
              <w:autoSpaceDN/>
              <w:adjustRightInd/>
              <w:spacing w:before="0"/>
              <w:jc w:val="center"/>
              <w:textAlignment w:val="auto"/>
              <w:rPr>
                <w:b/>
                <w:bCs/>
                <w:color w:val="000000"/>
                <w:sz w:val="20"/>
                <w:lang w:val="en-US" w:eastAsia="zh-CN"/>
              </w:rPr>
            </w:pPr>
            <w:r w:rsidRPr="008653E6">
              <w:rPr>
                <w:b/>
                <w:bCs/>
                <w:color w:val="000000"/>
                <w:sz w:val="20"/>
                <w:lang w:val="en-US" w:eastAsia="zh-CN"/>
              </w:rPr>
              <w:t>Téléchargement gratuit</w:t>
            </w:r>
          </w:p>
        </w:tc>
      </w:tr>
      <w:tr w:rsidR="00A20AEB" w:rsidRPr="008653E6" w:rsidTr="00E3472E">
        <w:trPr>
          <w:trHeight w:val="315"/>
          <w:jc w:val="center"/>
        </w:trPr>
        <w:tc>
          <w:tcPr>
            <w:tcW w:w="4512" w:type="dxa"/>
            <w:tcBorders>
              <w:top w:val="single" w:sz="8" w:space="0" w:color="auto"/>
              <w:left w:val="single" w:sz="8" w:space="0" w:color="auto"/>
            </w:tcBorders>
            <w:shd w:val="clear" w:color="auto" w:fill="auto"/>
            <w:vAlign w:val="center"/>
            <w:hideMark/>
          </w:tcPr>
          <w:p w:rsidR="00A20AEB" w:rsidRPr="008653E6" w:rsidRDefault="00A20AEB" w:rsidP="00E3472E">
            <w:pPr>
              <w:overflowPunct/>
              <w:autoSpaceDE/>
              <w:autoSpaceDN/>
              <w:adjustRightInd/>
              <w:spacing w:before="0"/>
              <w:jc w:val="center"/>
              <w:textAlignment w:val="auto"/>
              <w:rPr>
                <w:i/>
                <w:iCs/>
                <w:color w:val="000000"/>
                <w:sz w:val="20"/>
                <w:lang w:val="en-US" w:eastAsia="zh-CN"/>
              </w:rPr>
            </w:pPr>
            <w:r w:rsidRPr="008653E6">
              <w:rPr>
                <w:i/>
                <w:iCs/>
                <w:color w:val="000000"/>
                <w:sz w:val="20"/>
                <w:lang w:val="en-US" w:eastAsia="zh-CN"/>
              </w:rPr>
              <w:t>RR-08 (</w:t>
            </w:r>
            <w:r w:rsidRPr="008653E6">
              <w:rPr>
                <w:i/>
                <w:iCs/>
                <w:color w:val="000000"/>
                <w:sz w:val="20"/>
                <w:lang w:val="fr-CH" w:eastAsia="zh-CN"/>
              </w:rPr>
              <w:t>livraisons sur 51 mois</w:t>
            </w:r>
            <w:r w:rsidRPr="008653E6">
              <w:rPr>
                <w:i/>
                <w:iCs/>
                <w:color w:val="000000"/>
                <w:sz w:val="20"/>
                <w:lang w:val="en-US" w:eastAsia="zh-CN"/>
              </w:rPr>
              <w:t>)</w:t>
            </w:r>
          </w:p>
        </w:tc>
        <w:tc>
          <w:tcPr>
            <w:tcW w:w="1583" w:type="dxa"/>
            <w:shd w:val="clear" w:color="auto" w:fill="auto"/>
            <w:vAlign w:val="center"/>
            <w:hideMark/>
          </w:tcPr>
          <w:p w:rsidR="00A20AEB" w:rsidRPr="008653E6" w:rsidRDefault="00A20AEB" w:rsidP="00E3472E">
            <w:pPr>
              <w:overflowPunct/>
              <w:autoSpaceDE/>
              <w:autoSpaceDN/>
              <w:adjustRightInd/>
              <w:spacing w:before="0"/>
              <w:jc w:val="center"/>
              <w:textAlignment w:val="auto"/>
              <w:rPr>
                <w:color w:val="000000"/>
                <w:sz w:val="20"/>
                <w:lang w:val="en-US" w:eastAsia="zh-CN"/>
              </w:rPr>
            </w:pPr>
            <w:r w:rsidRPr="008653E6">
              <w:rPr>
                <w:color w:val="000000"/>
                <w:sz w:val="20"/>
                <w:lang w:val="en-US" w:eastAsia="zh-CN"/>
              </w:rPr>
              <w:t>15 178</w:t>
            </w:r>
          </w:p>
        </w:tc>
        <w:tc>
          <w:tcPr>
            <w:tcW w:w="2049" w:type="dxa"/>
            <w:shd w:val="clear" w:color="auto" w:fill="auto"/>
            <w:vAlign w:val="center"/>
            <w:hideMark/>
          </w:tcPr>
          <w:p w:rsidR="00A20AEB" w:rsidRPr="008653E6" w:rsidRDefault="00A20AEB" w:rsidP="00E3472E">
            <w:pPr>
              <w:overflowPunct/>
              <w:autoSpaceDE/>
              <w:autoSpaceDN/>
              <w:adjustRightInd/>
              <w:spacing w:before="0"/>
              <w:jc w:val="center"/>
              <w:textAlignment w:val="auto"/>
              <w:rPr>
                <w:color w:val="000000"/>
                <w:sz w:val="20"/>
                <w:lang w:val="en-US" w:eastAsia="zh-CN"/>
              </w:rPr>
            </w:pPr>
            <w:r w:rsidRPr="008653E6">
              <w:rPr>
                <w:color w:val="000000"/>
                <w:sz w:val="20"/>
                <w:lang w:val="en-US" w:eastAsia="zh-CN"/>
              </w:rPr>
              <w:t>973</w:t>
            </w:r>
          </w:p>
        </w:tc>
      </w:tr>
      <w:tr w:rsidR="00A20AEB" w:rsidRPr="008653E6" w:rsidTr="00E3472E">
        <w:trPr>
          <w:trHeight w:val="315"/>
          <w:jc w:val="center"/>
        </w:trPr>
        <w:tc>
          <w:tcPr>
            <w:tcW w:w="4512" w:type="dxa"/>
            <w:tcBorders>
              <w:top w:val="single" w:sz="8" w:space="0" w:color="auto"/>
              <w:left w:val="single" w:sz="8" w:space="0" w:color="auto"/>
            </w:tcBorders>
            <w:shd w:val="clear" w:color="auto" w:fill="auto"/>
            <w:vAlign w:val="center"/>
            <w:hideMark/>
          </w:tcPr>
          <w:p w:rsidR="00A20AEB" w:rsidRPr="008653E6" w:rsidRDefault="00A20AEB" w:rsidP="00E3472E">
            <w:pPr>
              <w:overflowPunct/>
              <w:autoSpaceDE/>
              <w:autoSpaceDN/>
              <w:adjustRightInd/>
              <w:spacing w:before="0"/>
              <w:jc w:val="center"/>
              <w:textAlignment w:val="auto"/>
              <w:rPr>
                <w:i/>
                <w:iCs/>
                <w:color w:val="000000"/>
                <w:sz w:val="20"/>
                <w:lang w:val="en-US" w:eastAsia="zh-CN"/>
              </w:rPr>
            </w:pPr>
            <w:r w:rsidRPr="008653E6">
              <w:rPr>
                <w:i/>
                <w:iCs/>
                <w:color w:val="000000"/>
                <w:sz w:val="20"/>
                <w:lang w:val="en-US" w:eastAsia="zh-CN"/>
              </w:rPr>
              <w:t>RR-12 (</w:t>
            </w:r>
            <w:r w:rsidRPr="008653E6">
              <w:rPr>
                <w:i/>
                <w:iCs/>
                <w:color w:val="000000"/>
                <w:sz w:val="20"/>
                <w:lang w:val="fr-CH" w:eastAsia="zh-CN"/>
              </w:rPr>
              <w:t>livraisons sur 36 mois</w:t>
            </w:r>
            <w:r w:rsidRPr="008653E6">
              <w:rPr>
                <w:i/>
                <w:iCs/>
                <w:color w:val="000000"/>
                <w:sz w:val="20"/>
                <w:lang w:val="en-US" w:eastAsia="zh-CN"/>
              </w:rPr>
              <w:t>)</w:t>
            </w:r>
          </w:p>
        </w:tc>
        <w:tc>
          <w:tcPr>
            <w:tcW w:w="1583" w:type="dxa"/>
            <w:shd w:val="clear" w:color="auto" w:fill="auto"/>
            <w:vAlign w:val="center"/>
            <w:hideMark/>
          </w:tcPr>
          <w:p w:rsidR="00A20AEB" w:rsidRPr="008653E6" w:rsidRDefault="00A20AEB" w:rsidP="009D5B6A">
            <w:pPr>
              <w:overflowPunct/>
              <w:autoSpaceDE/>
              <w:autoSpaceDN/>
              <w:adjustRightInd/>
              <w:spacing w:before="0"/>
              <w:jc w:val="center"/>
              <w:textAlignment w:val="auto"/>
              <w:rPr>
                <w:color w:val="000000"/>
                <w:sz w:val="20"/>
                <w:lang w:val="en-US" w:eastAsia="zh-CN"/>
              </w:rPr>
            </w:pPr>
            <w:r w:rsidRPr="008653E6">
              <w:rPr>
                <w:color w:val="000000"/>
                <w:sz w:val="20"/>
                <w:lang w:val="en-US" w:eastAsia="zh-CN"/>
              </w:rPr>
              <w:t>19 593</w:t>
            </w:r>
          </w:p>
        </w:tc>
        <w:tc>
          <w:tcPr>
            <w:tcW w:w="2049" w:type="dxa"/>
            <w:shd w:val="clear" w:color="auto" w:fill="auto"/>
            <w:vAlign w:val="center"/>
            <w:hideMark/>
          </w:tcPr>
          <w:p w:rsidR="00A20AEB" w:rsidRPr="008653E6" w:rsidRDefault="00A20AEB" w:rsidP="00E3472E">
            <w:pPr>
              <w:overflowPunct/>
              <w:autoSpaceDE/>
              <w:autoSpaceDN/>
              <w:adjustRightInd/>
              <w:spacing w:before="0"/>
              <w:jc w:val="center"/>
              <w:textAlignment w:val="auto"/>
              <w:rPr>
                <w:color w:val="000000"/>
                <w:sz w:val="20"/>
                <w:lang w:val="en-US" w:eastAsia="zh-CN"/>
              </w:rPr>
            </w:pPr>
            <w:r w:rsidRPr="008653E6">
              <w:rPr>
                <w:color w:val="000000"/>
                <w:sz w:val="20"/>
                <w:lang w:val="en-US" w:eastAsia="zh-CN"/>
              </w:rPr>
              <w:t>26 799</w:t>
            </w:r>
          </w:p>
        </w:tc>
      </w:tr>
      <w:tr w:rsidR="00A20AEB" w:rsidRPr="008653E6" w:rsidTr="00E3472E">
        <w:trPr>
          <w:trHeight w:val="315"/>
          <w:jc w:val="center"/>
        </w:trPr>
        <w:tc>
          <w:tcPr>
            <w:tcW w:w="4512" w:type="dxa"/>
            <w:tcBorders>
              <w:top w:val="single" w:sz="8" w:space="0" w:color="auto"/>
              <w:left w:val="single" w:sz="8" w:space="0" w:color="auto"/>
            </w:tcBorders>
            <w:shd w:val="clear" w:color="auto" w:fill="auto"/>
            <w:vAlign w:val="center"/>
            <w:hideMark/>
          </w:tcPr>
          <w:p w:rsidR="00A20AEB" w:rsidRPr="008653E6" w:rsidRDefault="00A20AEB" w:rsidP="00E3472E">
            <w:pPr>
              <w:overflowPunct/>
              <w:autoSpaceDE/>
              <w:autoSpaceDN/>
              <w:adjustRightInd/>
              <w:spacing w:before="0"/>
              <w:jc w:val="center"/>
              <w:textAlignment w:val="auto"/>
              <w:rPr>
                <w:i/>
                <w:iCs/>
                <w:color w:val="000000"/>
                <w:sz w:val="20"/>
                <w:lang w:val="fr-CH" w:eastAsia="zh-CN"/>
              </w:rPr>
            </w:pPr>
            <w:r w:rsidRPr="008653E6">
              <w:rPr>
                <w:i/>
                <w:iCs/>
                <w:color w:val="000000"/>
                <w:sz w:val="20"/>
                <w:lang w:val="fr-CH" w:eastAsia="zh-CN"/>
              </w:rPr>
              <w:t>Règles de procédure 2012</w:t>
            </w:r>
            <w:r w:rsidRPr="008653E6">
              <w:rPr>
                <w:b/>
                <w:bCs/>
                <w:i/>
                <w:iCs/>
                <w:color w:val="000000"/>
                <w:sz w:val="20"/>
                <w:lang w:val="fr-CH" w:eastAsia="zh-CN"/>
              </w:rPr>
              <w:t xml:space="preserve"> </w:t>
            </w:r>
            <w:r w:rsidRPr="008653E6">
              <w:rPr>
                <w:i/>
                <w:iCs/>
                <w:color w:val="000000"/>
                <w:sz w:val="20"/>
                <w:lang w:val="fr-CH" w:eastAsia="zh-CN"/>
              </w:rPr>
              <w:t>(depuis la décision du Conseil à sa session de 2014)</w:t>
            </w:r>
          </w:p>
        </w:tc>
        <w:tc>
          <w:tcPr>
            <w:tcW w:w="1583" w:type="dxa"/>
            <w:shd w:val="clear" w:color="auto" w:fill="auto"/>
            <w:vAlign w:val="center"/>
            <w:hideMark/>
          </w:tcPr>
          <w:p w:rsidR="00A20AEB" w:rsidRPr="008653E6" w:rsidRDefault="00A20AEB" w:rsidP="00E3472E">
            <w:pPr>
              <w:overflowPunct/>
              <w:autoSpaceDE/>
              <w:autoSpaceDN/>
              <w:adjustRightInd/>
              <w:spacing w:before="0"/>
              <w:jc w:val="center"/>
              <w:textAlignment w:val="auto"/>
              <w:rPr>
                <w:color w:val="000000"/>
                <w:sz w:val="20"/>
                <w:lang w:val="en-US" w:eastAsia="zh-CN"/>
              </w:rPr>
            </w:pPr>
            <w:r w:rsidRPr="008653E6">
              <w:rPr>
                <w:color w:val="000000"/>
                <w:sz w:val="20"/>
                <w:lang w:val="en-US" w:eastAsia="zh-CN"/>
              </w:rPr>
              <w:t>25</w:t>
            </w:r>
          </w:p>
        </w:tc>
        <w:tc>
          <w:tcPr>
            <w:tcW w:w="2049" w:type="dxa"/>
            <w:shd w:val="clear" w:color="auto" w:fill="auto"/>
            <w:vAlign w:val="center"/>
            <w:hideMark/>
          </w:tcPr>
          <w:p w:rsidR="00A20AEB" w:rsidRPr="008653E6" w:rsidRDefault="00A20AEB" w:rsidP="00E3472E">
            <w:pPr>
              <w:overflowPunct/>
              <w:autoSpaceDE/>
              <w:autoSpaceDN/>
              <w:adjustRightInd/>
              <w:spacing w:before="0"/>
              <w:jc w:val="center"/>
              <w:textAlignment w:val="auto"/>
              <w:rPr>
                <w:color w:val="000000"/>
                <w:sz w:val="20"/>
                <w:lang w:val="en-US" w:eastAsia="zh-CN"/>
              </w:rPr>
            </w:pPr>
            <w:r w:rsidRPr="008653E6">
              <w:rPr>
                <w:color w:val="000000"/>
                <w:sz w:val="20"/>
                <w:lang w:val="en-US" w:eastAsia="zh-CN"/>
              </w:rPr>
              <w:t xml:space="preserve"> 2 011</w:t>
            </w:r>
          </w:p>
        </w:tc>
      </w:tr>
    </w:tbl>
    <w:p w:rsidR="00A20AEB" w:rsidRPr="008653E6" w:rsidRDefault="00A20AEB" w:rsidP="00A20AEB">
      <w:pPr>
        <w:pStyle w:val="Heading4"/>
      </w:pPr>
      <w:r w:rsidRPr="008653E6">
        <w:t>8.1.4.2</w:t>
      </w:r>
      <w:r w:rsidRPr="008653E6">
        <w:tab/>
        <w:t>Recommandations UIT-R</w:t>
      </w:r>
    </w:p>
    <w:p w:rsidR="00A20AEB" w:rsidRPr="008653E6" w:rsidRDefault="00A20AEB" w:rsidP="001C1296">
      <w:pPr>
        <w:rPr>
          <w:rFonts w:asciiTheme="majorBidi" w:hAnsiTheme="majorBidi" w:cstheme="majorBidi"/>
          <w:szCs w:val="24"/>
          <w:lang w:val="fr-CH" w:eastAsia="zh-CN"/>
        </w:rPr>
      </w:pPr>
      <w:r w:rsidRPr="008653E6">
        <w:t>Grâce à la politique d</w:t>
      </w:r>
      <w:r w:rsidR="00D3135C">
        <w:t>'</w:t>
      </w:r>
      <w:r w:rsidRPr="008653E6">
        <w:t>accès en ligne gratuit, les Recommandations UIT-R ont été diffusées dans le monde entier et sont devenues une référence universelle qui touche tous les publics, quelle que soit leur situation économique. Au cours d</w:t>
      </w:r>
      <w:r w:rsidR="00D3135C">
        <w:t>'</w:t>
      </w:r>
      <w:r w:rsidRPr="008653E6">
        <w:t>une pér</w:t>
      </w:r>
      <w:r>
        <w:t xml:space="preserve">iode de 36 mois (janvier 2013 à décembre </w:t>
      </w:r>
      <w:r w:rsidRPr="008653E6">
        <w:t>2015), près de 10 millions de télécha</w:t>
      </w:r>
      <w:r>
        <w:t>rgements de Recommandations UIT-</w:t>
      </w:r>
      <w:r w:rsidRPr="008653E6">
        <w:t>R (depuis le site web de l</w:t>
      </w:r>
      <w:r w:rsidR="00D3135C">
        <w:t>'</w:t>
      </w:r>
      <w:r w:rsidRPr="008653E6">
        <w:t xml:space="preserve">UIT) ont été enregistrés. Le </w:t>
      </w:r>
      <w:r w:rsidRPr="008653E6">
        <w:rPr>
          <w:rFonts w:asciiTheme="majorBidi" w:hAnsiTheme="majorBidi" w:cstheme="majorBidi"/>
          <w:szCs w:val="24"/>
          <w:lang w:val="fr-CH" w:eastAsia="zh-CN"/>
        </w:rPr>
        <w:t xml:space="preserve">Tableau 8.1.4.2-1 </w:t>
      </w:r>
      <w:r w:rsidRPr="008653E6">
        <w:t>illustre la répartition de ces téléchargements par année et par série.</w:t>
      </w:r>
      <w:r w:rsidRPr="008653E6">
        <w:rPr>
          <w:rFonts w:asciiTheme="majorBidi" w:hAnsiTheme="majorBidi" w:cstheme="majorBidi"/>
          <w:szCs w:val="24"/>
          <w:lang w:val="fr-CH" w:eastAsia="zh-CN"/>
        </w:rPr>
        <w:t xml:space="preserve"> On recense actuellement 1 155 Recommandations de l</w:t>
      </w:r>
      <w:r w:rsidR="00D3135C">
        <w:rPr>
          <w:rFonts w:asciiTheme="majorBidi" w:hAnsiTheme="majorBidi" w:cstheme="majorBidi"/>
          <w:szCs w:val="24"/>
          <w:lang w:val="fr-CH" w:eastAsia="zh-CN"/>
        </w:rPr>
        <w:t>'</w:t>
      </w:r>
      <w:r w:rsidRPr="008653E6">
        <w:rPr>
          <w:rFonts w:asciiTheme="majorBidi" w:hAnsiTheme="majorBidi" w:cstheme="majorBidi"/>
          <w:szCs w:val="24"/>
          <w:lang w:val="fr-CH" w:eastAsia="zh-CN"/>
        </w:rPr>
        <w:t>UIT-R en vigueur, de sorte que le nombre moyen de téléchargements est d</w:t>
      </w:r>
      <w:r w:rsidR="00D3135C">
        <w:rPr>
          <w:rFonts w:asciiTheme="majorBidi" w:hAnsiTheme="majorBidi" w:cstheme="majorBidi"/>
          <w:szCs w:val="24"/>
          <w:lang w:val="fr-CH" w:eastAsia="zh-CN"/>
        </w:rPr>
        <w:t>'</w:t>
      </w:r>
      <w:r w:rsidRPr="008653E6">
        <w:rPr>
          <w:rFonts w:asciiTheme="majorBidi" w:hAnsiTheme="majorBidi" w:cstheme="majorBidi"/>
          <w:szCs w:val="24"/>
          <w:lang w:val="fr-CH" w:eastAsia="zh-CN"/>
        </w:rPr>
        <w:t>environ 9 300 par Recommandation.</w:t>
      </w:r>
    </w:p>
    <w:p w:rsidR="001C1296" w:rsidRDefault="001C1296">
      <w:pPr>
        <w:tabs>
          <w:tab w:val="clear" w:pos="794"/>
          <w:tab w:val="clear" w:pos="1191"/>
          <w:tab w:val="clear" w:pos="1588"/>
          <w:tab w:val="clear" w:pos="1985"/>
        </w:tabs>
        <w:overflowPunct/>
        <w:autoSpaceDE/>
        <w:autoSpaceDN/>
        <w:adjustRightInd/>
        <w:spacing w:before="0"/>
        <w:textAlignment w:val="auto"/>
        <w:rPr>
          <w:rFonts w:ascii="Calibri" w:hAnsi="Calibri"/>
        </w:rPr>
      </w:pPr>
      <w:r>
        <w:rPr>
          <w:caps/>
        </w:rPr>
        <w:br w:type="page"/>
      </w:r>
    </w:p>
    <w:p w:rsidR="00A20AEB" w:rsidRPr="00D04881" w:rsidRDefault="00A20AEB" w:rsidP="00A20AEB">
      <w:pPr>
        <w:pStyle w:val="TableNo"/>
        <w:rPr>
          <w:rFonts w:ascii="Times New Roman" w:hAnsi="Times New Roman"/>
          <w:lang w:val="fr-CH"/>
        </w:rPr>
      </w:pPr>
      <w:r w:rsidRPr="00D04881">
        <w:rPr>
          <w:rFonts w:ascii="Times New Roman" w:hAnsi="Times New Roman"/>
          <w:lang w:val="fr-CH"/>
        </w:rPr>
        <w:t>TABLEAU 6.1.4.2-1</w:t>
      </w:r>
    </w:p>
    <w:p w:rsidR="00A20AEB" w:rsidRPr="00D04881" w:rsidRDefault="00A20AEB" w:rsidP="00A20AEB">
      <w:pPr>
        <w:pStyle w:val="Tabletitle"/>
        <w:rPr>
          <w:rFonts w:ascii="Times New Roman" w:hAnsi="Times New Roman"/>
          <w:sz w:val="24"/>
        </w:rPr>
      </w:pPr>
      <w:r w:rsidRPr="00D04881">
        <w:rPr>
          <w:rFonts w:ascii="Times New Roman" w:hAnsi="Times New Roman"/>
          <w:sz w:val="24"/>
        </w:rPr>
        <w:t xml:space="preserve">Répartition des Recommandations UIT-R </w:t>
      </w:r>
    </w:p>
    <w:tbl>
      <w:tblPr>
        <w:tblW w:w="8508" w:type="dxa"/>
        <w:jc w:val="center"/>
        <w:tblLook w:val="04A0" w:firstRow="1" w:lastRow="0" w:firstColumn="1" w:lastColumn="0" w:noHBand="0" w:noVBand="1"/>
      </w:tblPr>
      <w:tblGrid>
        <w:gridCol w:w="1418"/>
        <w:gridCol w:w="1418"/>
        <w:gridCol w:w="1418"/>
        <w:gridCol w:w="1418"/>
        <w:gridCol w:w="1418"/>
        <w:gridCol w:w="1418"/>
      </w:tblGrid>
      <w:tr w:rsidR="00A20AEB" w:rsidRPr="008653E6" w:rsidTr="00E3472E">
        <w:trPr>
          <w:trHeight w:val="315"/>
          <w:jc w:val="center"/>
        </w:trPr>
        <w:tc>
          <w:tcPr>
            <w:tcW w:w="1418" w:type="dxa"/>
            <w:tcBorders>
              <w:top w:val="single" w:sz="8" w:space="0" w:color="auto"/>
              <w:left w:val="single" w:sz="8" w:space="0" w:color="auto"/>
              <w:bottom w:val="single" w:sz="8" w:space="0" w:color="auto"/>
              <w:right w:val="nil"/>
            </w:tcBorders>
            <w:shd w:val="clear" w:color="auto" w:fill="auto"/>
            <w:noWrap/>
            <w:vAlign w:val="bottom"/>
            <w:hideMark/>
          </w:tcPr>
          <w:p w:rsidR="00A20AEB" w:rsidRPr="008653E6" w:rsidRDefault="00B35D10"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Pr>
                <w:rFonts w:asciiTheme="majorBidi" w:hAnsiTheme="majorBidi" w:cstheme="majorBidi"/>
                <w:b/>
                <w:bCs/>
                <w:color w:val="000000"/>
                <w:sz w:val="22"/>
                <w:szCs w:val="22"/>
                <w:lang w:val="en-US" w:eastAsia="zh-CN"/>
              </w:rPr>
              <w:t>SÉRIE</w:t>
            </w:r>
          </w:p>
        </w:tc>
        <w:tc>
          <w:tcPr>
            <w:tcW w:w="14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20AEB" w:rsidRPr="008653E6"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2013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A20AEB" w:rsidRPr="008653E6"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2014</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A20AEB" w:rsidRPr="008653E6"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2015</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A20AEB" w:rsidRPr="008653E6"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Total</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A20AEB" w:rsidRPr="008653E6"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P</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w:t>
            </w:r>
            <w:r w:rsidR="001C1296">
              <w:rPr>
                <w:color w:val="000000"/>
                <w:sz w:val="22"/>
              </w:rPr>
              <w:t xml:space="preserve"> </w:t>
            </w:r>
            <w:r w:rsidRPr="00E139C9">
              <w:rPr>
                <w:color w:val="000000"/>
                <w:sz w:val="22"/>
              </w:rPr>
              <w:t>474</w:t>
            </w:r>
            <w:r w:rsidR="001C1296">
              <w:rPr>
                <w:color w:val="000000"/>
                <w:sz w:val="22"/>
              </w:rPr>
              <w:t xml:space="preserve"> </w:t>
            </w:r>
            <w:r w:rsidRPr="00E139C9">
              <w:rPr>
                <w:color w:val="000000"/>
                <w:sz w:val="22"/>
              </w:rPr>
              <w:t>978</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w:t>
            </w:r>
            <w:r w:rsidR="001C1296">
              <w:rPr>
                <w:color w:val="000000"/>
                <w:sz w:val="22"/>
              </w:rPr>
              <w:t xml:space="preserve"> </w:t>
            </w:r>
            <w:r w:rsidRPr="00E139C9">
              <w:rPr>
                <w:color w:val="000000"/>
                <w:sz w:val="22"/>
              </w:rPr>
              <w:t>355</w:t>
            </w:r>
            <w:r w:rsidR="001C1296">
              <w:rPr>
                <w:color w:val="000000"/>
                <w:sz w:val="22"/>
              </w:rPr>
              <w:t xml:space="preserve"> </w:t>
            </w:r>
            <w:r w:rsidRPr="00E139C9">
              <w:rPr>
                <w:color w:val="000000"/>
                <w:sz w:val="22"/>
              </w:rPr>
              <w:t>667</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997</w:t>
            </w:r>
            <w:r w:rsidR="001C1296">
              <w:rPr>
                <w:color w:val="000000"/>
                <w:sz w:val="22"/>
              </w:rPr>
              <w:t xml:space="preserve"> </w:t>
            </w:r>
            <w:r w:rsidRPr="00E139C9">
              <w:rPr>
                <w:color w:val="000000"/>
                <w:sz w:val="22"/>
              </w:rPr>
              <w:t>851</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3</w:t>
            </w:r>
            <w:r w:rsidR="001C1296">
              <w:rPr>
                <w:b/>
                <w:bCs/>
                <w:color w:val="000000"/>
                <w:sz w:val="22"/>
              </w:rPr>
              <w:t xml:space="preserve"> </w:t>
            </w:r>
            <w:r w:rsidRPr="00E139C9">
              <w:rPr>
                <w:b/>
                <w:bCs/>
                <w:color w:val="000000"/>
                <w:sz w:val="22"/>
              </w:rPr>
              <w:t>828</w:t>
            </w:r>
            <w:r w:rsidR="001C1296">
              <w:rPr>
                <w:b/>
                <w:bCs/>
                <w:color w:val="000000"/>
                <w:sz w:val="22"/>
              </w:rPr>
              <w:t xml:space="preserve"> </w:t>
            </w:r>
            <w:r w:rsidRPr="00E139C9">
              <w:rPr>
                <w:b/>
                <w:bCs/>
                <w:color w:val="000000"/>
                <w:sz w:val="22"/>
              </w:rPr>
              <w:t>496</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35</w:t>
            </w:r>
            <w:r w:rsidR="001C1296">
              <w:rPr>
                <w:b/>
                <w:bCs/>
                <w:color w:val="000000"/>
                <w:sz w:val="22"/>
              </w:rPr>
              <w:t>,</w:t>
            </w:r>
            <w:r w:rsidRPr="00E139C9">
              <w:rPr>
                <w:b/>
                <w:bCs/>
                <w:color w:val="000000"/>
                <w:sz w:val="22"/>
              </w:rPr>
              <w:t>7%</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BT</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678</w:t>
            </w:r>
            <w:r w:rsidR="001C1296">
              <w:rPr>
                <w:color w:val="000000"/>
                <w:sz w:val="22"/>
              </w:rPr>
              <w:t xml:space="preserve"> </w:t>
            </w:r>
            <w:r w:rsidRPr="00E139C9">
              <w:rPr>
                <w:color w:val="000000"/>
                <w:sz w:val="22"/>
              </w:rPr>
              <w:t>265</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594</w:t>
            </w:r>
            <w:r w:rsidR="001C1296">
              <w:rPr>
                <w:color w:val="000000"/>
                <w:sz w:val="22"/>
              </w:rPr>
              <w:t xml:space="preserve"> </w:t>
            </w:r>
            <w:r w:rsidRPr="00E139C9">
              <w:rPr>
                <w:color w:val="000000"/>
                <w:sz w:val="22"/>
              </w:rPr>
              <w:t>916</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432</w:t>
            </w:r>
            <w:r w:rsidR="001C1296">
              <w:rPr>
                <w:color w:val="000000"/>
                <w:sz w:val="22"/>
              </w:rPr>
              <w:t xml:space="preserve"> </w:t>
            </w:r>
            <w:r w:rsidRPr="00E139C9">
              <w:rPr>
                <w:color w:val="000000"/>
                <w:sz w:val="22"/>
              </w:rPr>
              <w:t>080</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1</w:t>
            </w:r>
            <w:r w:rsidR="001C1296">
              <w:rPr>
                <w:b/>
                <w:bCs/>
                <w:color w:val="000000"/>
                <w:sz w:val="22"/>
              </w:rPr>
              <w:t xml:space="preserve"> </w:t>
            </w:r>
            <w:r w:rsidRPr="00E139C9">
              <w:rPr>
                <w:b/>
                <w:bCs/>
                <w:color w:val="000000"/>
                <w:sz w:val="22"/>
              </w:rPr>
              <w:t>705</w:t>
            </w:r>
            <w:r w:rsidR="001C1296">
              <w:rPr>
                <w:b/>
                <w:bCs/>
                <w:color w:val="000000"/>
                <w:sz w:val="22"/>
              </w:rPr>
              <w:t xml:space="preserve"> </w:t>
            </w:r>
            <w:r w:rsidRPr="00E139C9">
              <w:rPr>
                <w:b/>
                <w:bCs/>
                <w:color w:val="000000"/>
                <w:sz w:val="22"/>
              </w:rPr>
              <w:t>261</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15</w:t>
            </w:r>
            <w:r w:rsidR="001C1296">
              <w:rPr>
                <w:b/>
                <w:bCs/>
                <w:color w:val="000000"/>
                <w:sz w:val="22"/>
              </w:rPr>
              <w:t>,</w:t>
            </w:r>
            <w:r w:rsidRPr="00E139C9">
              <w:rPr>
                <w:b/>
                <w:bCs/>
                <w:color w:val="000000"/>
                <w:sz w:val="22"/>
              </w:rPr>
              <w:t>9%</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M</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619</w:t>
            </w:r>
            <w:r w:rsidR="001C1296">
              <w:rPr>
                <w:color w:val="000000"/>
                <w:sz w:val="22"/>
              </w:rPr>
              <w:t xml:space="preserve"> </w:t>
            </w:r>
            <w:r w:rsidRPr="00E139C9">
              <w:rPr>
                <w:color w:val="000000"/>
                <w:sz w:val="22"/>
              </w:rPr>
              <w:t>938</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544</w:t>
            </w:r>
            <w:r w:rsidR="001C1296">
              <w:rPr>
                <w:color w:val="000000"/>
                <w:sz w:val="22"/>
              </w:rPr>
              <w:t xml:space="preserve"> </w:t>
            </w:r>
            <w:r w:rsidRPr="00E139C9">
              <w:rPr>
                <w:color w:val="000000"/>
                <w:sz w:val="22"/>
              </w:rPr>
              <w:t>416</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458</w:t>
            </w:r>
            <w:r w:rsidR="001C1296">
              <w:rPr>
                <w:color w:val="000000"/>
                <w:sz w:val="22"/>
              </w:rPr>
              <w:t xml:space="preserve"> </w:t>
            </w:r>
            <w:r w:rsidRPr="00E139C9">
              <w:rPr>
                <w:color w:val="000000"/>
                <w:sz w:val="22"/>
              </w:rPr>
              <w:t>858</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1</w:t>
            </w:r>
            <w:r w:rsidR="001C1296">
              <w:rPr>
                <w:b/>
                <w:bCs/>
                <w:color w:val="000000"/>
                <w:sz w:val="22"/>
              </w:rPr>
              <w:t xml:space="preserve"> </w:t>
            </w:r>
            <w:r w:rsidRPr="00E139C9">
              <w:rPr>
                <w:b/>
                <w:bCs/>
                <w:color w:val="000000"/>
                <w:sz w:val="22"/>
              </w:rPr>
              <w:t>623</w:t>
            </w:r>
            <w:r w:rsidR="001C1296">
              <w:rPr>
                <w:b/>
                <w:bCs/>
                <w:color w:val="000000"/>
                <w:sz w:val="22"/>
              </w:rPr>
              <w:t xml:space="preserve"> </w:t>
            </w:r>
            <w:r w:rsidRPr="00E139C9">
              <w:rPr>
                <w:b/>
                <w:bCs/>
                <w:color w:val="000000"/>
                <w:sz w:val="22"/>
              </w:rPr>
              <w:t>212</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15</w:t>
            </w:r>
            <w:r w:rsidR="001C1296">
              <w:rPr>
                <w:b/>
                <w:bCs/>
                <w:color w:val="000000"/>
                <w:sz w:val="22"/>
              </w:rPr>
              <w:t>,</w:t>
            </w:r>
            <w:r w:rsidRPr="00E139C9">
              <w:rPr>
                <w:b/>
                <w:bCs/>
                <w:color w:val="000000"/>
                <w:sz w:val="22"/>
              </w:rPr>
              <w:t>1%</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SM</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384</w:t>
            </w:r>
            <w:r w:rsidR="001C1296">
              <w:rPr>
                <w:color w:val="000000"/>
                <w:sz w:val="22"/>
              </w:rPr>
              <w:t xml:space="preserve"> </w:t>
            </w:r>
            <w:r w:rsidRPr="00E139C9">
              <w:rPr>
                <w:color w:val="000000"/>
                <w:sz w:val="22"/>
              </w:rPr>
              <w:t>600</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336</w:t>
            </w:r>
            <w:r w:rsidR="001C1296">
              <w:rPr>
                <w:color w:val="000000"/>
                <w:sz w:val="22"/>
              </w:rPr>
              <w:t xml:space="preserve"> </w:t>
            </w:r>
            <w:r w:rsidRPr="00E139C9">
              <w:rPr>
                <w:color w:val="000000"/>
                <w:sz w:val="22"/>
              </w:rPr>
              <w:t>767</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309</w:t>
            </w:r>
            <w:r w:rsidR="001C1296">
              <w:rPr>
                <w:color w:val="000000"/>
                <w:sz w:val="22"/>
              </w:rPr>
              <w:t xml:space="preserve"> </w:t>
            </w:r>
            <w:r w:rsidRPr="00E139C9">
              <w:rPr>
                <w:color w:val="000000"/>
                <w:sz w:val="22"/>
              </w:rPr>
              <w:t>149</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1</w:t>
            </w:r>
            <w:r w:rsidR="001C1296">
              <w:rPr>
                <w:b/>
                <w:bCs/>
                <w:color w:val="000000"/>
                <w:sz w:val="22"/>
              </w:rPr>
              <w:t xml:space="preserve"> </w:t>
            </w:r>
            <w:r w:rsidRPr="00E139C9">
              <w:rPr>
                <w:b/>
                <w:bCs/>
                <w:color w:val="000000"/>
                <w:sz w:val="22"/>
              </w:rPr>
              <w:t>030</w:t>
            </w:r>
            <w:r w:rsidR="001C1296">
              <w:rPr>
                <w:b/>
                <w:bCs/>
                <w:color w:val="000000"/>
                <w:sz w:val="22"/>
              </w:rPr>
              <w:t xml:space="preserve"> </w:t>
            </w:r>
            <w:r w:rsidRPr="00E139C9">
              <w:rPr>
                <w:b/>
                <w:bCs/>
                <w:color w:val="000000"/>
                <w:sz w:val="22"/>
              </w:rPr>
              <w:t>516</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9</w:t>
            </w:r>
            <w:r w:rsidR="001C1296">
              <w:rPr>
                <w:b/>
                <w:bCs/>
                <w:color w:val="000000"/>
                <w:sz w:val="22"/>
              </w:rPr>
              <w:t>,</w:t>
            </w:r>
            <w:r w:rsidRPr="00E139C9">
              <w:rPr>
                <w:b/>
                <w:bCs/>
                <w:color w:val="000000"/>
                <w:sz w:val="22"/>
              </w:rPr>
              <w:t>6%</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BS</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323</w:t>
            </w:r>
            <w:r w:rsidR="001C1296">
              <w:rPr>
                <w:color w:val="000000"/>
                <w:sz w:val="22"/>
              </w:rPr>
              <w:t xml:space="preserve"> </w:t>
            </w:r>
            <w:r w:rsidRPr="00E139C9">
              <w:rPr>
                <w:color w:val="000000"/>
                <w:sz w:val="22"/>
              </w:rPr>
              <w:t>804</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315</w:t>
            </w:r>
            <w:r w:rsidR="001C1296">
              <w:rPr>
                <w:color w:val="000000"/>
                <w:sz w:val="22"/>
              </w:rPr>
              <w:t xml:space="preserve"> </w:t>
            </w:r>
            <w:r w:rsidRPr="00E139C9">
              <w:rPr>
                <w:color w:val="000000"/>
                <w:sz w:val="22"/>
              </w:rPr>
              <w:t>991</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230</w:t>
            </w:r>
            <w:r w:rsidR="001C1296">
              <w:rPr>
                <w:color w:val="000000"/>
                <w:sz w:val="22"/>
              </w:rPr>
              <w:t xml:space="preserve"> </w:t>
            </w:r>
            <w:r w:rsidRPr="00E139C9">
              <w:rPr>
                <w:color w:val="000000"/>
                <w:sz w:val="22"/>
              </w:rPr>
              <w:t>649</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870</w:t>
            </w:r>
            <w:r w:rsidR="001C1296">
              <w:rPr>
                <w:b/>
                <w:bCs/>
                <w:color w:val="000000"/>
                <w:sz w:val="22"/>
              </w:rPr>
              <w:t xml:space="preserve"> </w:t>
            </w:r>
            <w:r w:rsidRPr="00E139C9">
              <w:rPr>
                <w:b/>
                <w:bCs/>
                <w:color w:val="000000"/>
                <w:sz w:val="22"/>
              </w:rPr>
              <w:t>444</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8</w:t>
            </w:r>
            <w:r w:rsidR="001C1296">
              <w:rPr>
                <w:b/>
                <w:bCs/>
                <w:color w:val="000000"/>
                <w:sz w:val="22"/>
              </w:rPr>
              <w:t>,</w:t>
            </w:r>
            <w:r w:rsidRPr="00E139C9">
              <w:rPr>
                <w:b/>
                <w:bCs/>
                <w:color w:val="000000"/>
                <w:sz w:val="22"/>
              </w:rPr>
              <w:t>1%</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F</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270</w:t>
            </w:r>
            <w:r w:rsidR="001C1296">
              <w:rPr>
                <w:color w:val="000000"/>
                <w:sz w:val="22"/>
              </w:rPr>
              <w:t xml:space="preserve"> </w:t>
            </w:r>
            <w:r w:rsidRPr="00E139C9">
              <w:rPr>
                <w:color w:val="000000"/>
                <w:sz w:val="22"/>
              </w:rPr>
              <w:t>692</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254</w:t>
            </w:r>
            <w:r w:rsidR="001C1296">
              <w:rPr>
                <w:color w:val="000000"/>
                <w:sz w:val="22"/>
              </w:rPr>
              <w:t xml:space="preserve"> </w:t>
            </w:r>
            <w:r w:rsidRPr="00E139C9">
              <w:rPr>
                <w:color w:val="000000"/>
                <w:sz w:val="22"/>
              </w:rPr>
              <w:t>728</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222</w:t>
            </w:r>
            <w:r w:rsidR="001C1296">
              <w:rPr>
                <w:color w:val="000000"/>
                <w:sz w:val="22"/>
              </w:rPr>
              <w:t xml:space="preserve"> </w:t>
            </w:r>
            <w:r w:rsidRPr="00E139C9">
              <w:rPr>
                <w:color w:val="000000"/>
                <w:sz w:val="22"/>
              </w:rPr>
              <w:t>474</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747</w:t>
            </w:r>
            <w:r w:rsidR="001C1296">
              <w:rPr>
                <w:b/>
                <w:bCs/>
                <w:color w:val="000000"/>
                <w:sz w:val="22"/>
              </w:rPr>
              <w:t xml:space="preserve"> </w:t>
            </w:r>
            <w:r w:rsidRPr="00E139C9">
              <w:rPr>
                <w:b/>
                <w:bCs/>
                <w:color w:val="000000"/>
                <w:sz w:val="22"/>
              </w:rPr>
              <w:t>894</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7</w:t>
            </w:r>
            <w:r w:rsidR="001C1296">
              <w:rPr>
                <w:b/>
                <w:bCs/>
                <w:color w:val="000000"/>
                <w:sz w:val="22"/>
              </w:rPr>
              <w:t>,</w:t>
            </w:r>
            <w:r w:rsidRPr="00E139C9">
              <w:rPr>
                <w:b/>
                <w:bCs/>
                <w:color w:val="000000"/>
                <w:sz w:val="22"/>
              </w:rPr>
              <w:t>0%</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S</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171</w:t>
            </w:r>
            <w:r w:rsidR="001C1296">
              <w:rPr>
                <w:color w:val="000000"/>
                <w:sz w:val="22"/>
              </w:rPr>
              <w:t xml:space="preserve"> </w:t>
            </w:r>
            <w:r w:rsidRPr="00E139C9">
              <w:rPr>
                <w:color w:val="000000"/>
                <w:sz w:val="22"/>
              </w:rPr>
              <w:t>095</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124</w:t>
            </w:r>
            <w:r w:rsidR="001C1296">
              <w:rPr>
                <w:color w:val="000000"/>
                <w:sz w:val="22"/>
              </w:rPr>
              <w:t xml:space="preserve"> </w:t>
            </w:r>
            <w:r w:rsidRPr="00E139C9">
              <w:rPr>
                <w:color w:val="000000"/>
                <w:sz w:val="22"/>
              </w:rPr>
              <w:t>307</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108</w:t>
            </w:r>
            <w:r w:rsidR="001C1296">
              <w:rPr>
                <w:color w:val="000000"/>
                <w:sz w:val="22"/>
              </w:rPr>
              <w:t xml:space="preserve"> </w:t>
            </w:r>
            <w:r w:rsidRPr="00E139C9">
              <w:rPr>
                <w:color w:val="000000"/>
                <w:sz w:val="22"/>
              </w:rPr>
              <w:t>522</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403</w:t>
            </w:r>
            <w:r w:rsidR="001C1296">
              <w:rPr>
                <w:b/>
                <w:bCs/>
                <w:color w:val="000000"/>
                <w:sz w:val="22"/>
              </w:rPr>
              <w:t xml:space="preserve"> </w:t>
            </w:r>
            <w:r w:rsidRPr="00E139C9">
              <w:rPr>
                <w:b/>
                <w:bCs/>
                <w:color w:val="000000"/>
                <w:sz w:val="22"/>
              </w:rPr>
              <w:t>924</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3</w:t>
            </w:r>
            <w:r w:rsidR="001C1296">
              <w:rPr>
                <w:b/>
                <w:bCs/>
                <w:color w:val="000000"/>
                <w:sz w:val="22"/>
              </w:rPr>
              <w:t>,</w:t>
            </w:r>
            <w:r w:rsidRPr="00E139C9">
              <w:rPr>
                <w:b/>
                <w:bCs/>
                <w:color w:val="000000"/>
                <w:sz w:val="22"/>
              </w:rPr>
              <w:t>8%</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BO</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39</w:t>
            </w:r>
            <w:r w:rsidR="001C1296">
              <w:rPr>
                <w:color w:val="000000"/>
                <w:sz w:val="22"/>
              </w:rPr>
              <w:t xml:space="preserve"> </w:t>
            </w:r>
            <w:r w:rsidRPr="00E139C9">
              <w:rPr>
                <w:color w:val="000000"/>
                <w:sz w:val="22"/>
              </w:rPr>
              <w:t>365</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25</w:t>
            </w:r>
            <w:r w:rsidR="001C1296">
              <w:rPr>
                <w:color w:val="000000"/>
                <w:sz w:val="22"/>
              </w:rPr>
              <w:t xml:space="preserve"> </w:t>
            </w:r>
            <w:r w:rsidRPr="00E139C9">
              <w:rPr>
                <w:color w:val="000000"/>
                <w:sz w:val="22"/>
              </w:rPr>
              <w:t>336</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29</w:t>
            </w:r>
            <w:r w:rsidR="001C1296">
              <w:rPr>
                <w:color w:val="000000"/>
                <w:sz w:val="22"/>
              </w:rPr>
              <w:t xml:space="preserve"> </w:t>
            </w:r>
            <w:r w:rsidRPr="00E139C9">
              <w:rPr>
                <w:color w:val="000000"/>
                <w:sz w:val="22"/>
              </w:rPr>
              <w:t>521</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94</w:t>
            </w:r>
            <w:r w:rsidR="001C1296">
              <w:rPr>
                <w:b/>
                <w:bCs/>
                <w:color w:val="000000"/>
                <w:sz w:val="22"/>
              </w:rPr>
              <w:t xml:space="preserve"> </w:t>
            </w:r>
            <w:r w:rsidRPr="00E139C9">
              <w:rPr>
                <w:b/>
                <w:bCs/>
                <w:color w:val="000000"/>
                <w:sz w:val="22"/>
              </w:rPr>
              <w:t>222</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9%</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SA</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29</w:t>
            </w:r>
            <w:r w:rsidR="001C1296">
              <w:rPr>
                <w:color w:val="000000"/>
                <w:sz w:val="22"/>
              </w:rPr>
              <w:t xml:space="preserve"> </w:t>
            </w:r>
            <w:r w:rsidRPr="00E139C9">
              <w:rPr>
                <w:color w:val="000000"/>
                <w:sz w:val="22"/>
              </w:rPr>
              <w:t>350</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29</w:t>
            </w:r>
            <w:r w:rsidR="001C1296">
              <w:rPr>
                <w:color w:val="000000"/>
                <w:sz w:val="22"/>
              </w:rPr>
              <w:t xml:space="preserve"> </w:t>
            </w:r>
            <w:r w:rsidRPr="00E139C9">
              <w:rPr>
                <w:color w:val="000000"/>
                <w:sz w:val="22"/>
              </w:rPr>
              <w:t>885</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32</w:t>
            </w:r>
            <w:r w:rsidR="001C1296">
              <w:rPr>
                <w:color w:val="000000"/>
                <w:sz w:val="22"/>
              </w:rPr>
              <w:t xml:space="preserve"> </w:t>
            </w:r>
            <w:r w:rsidRPr="00E139C9">
              <w:rPr>
                <w:color w:val="000000"/>
                <w:sz w:val="22"/>
              </w:rPr>
              <w:t>827</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92</w:t>
            </w:r>
            <w:r w:rsidR="001C1296">
              <w:rPr>
                <w:b/>
                <w:bCs/>
                <w:color w:val="000000"/>
                <w:sz w:val="22"/>
              </w:rPr>
              <w:t xml:space="preserve"> </w:t>
            </w:r>
            <w:r w:rsidRPr="00E139C9">
              <w:rPr>
                <w:b/>
                <w:bCs/>
                <w:color w:val="000000"/>
                <w:sz w:val="22"/>
              </w:rPr>
              <w:t>062</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9%</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RS</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28</w:t>
            </w:r>
            <w:r w:rsidR="001C1296">
              <w:rPr>
                <w:color w:val="000000"/>
                <w:sz w:val="22"/>
              </w:rPr>
              <w:t xml:space="preserve"> </w:t>
            </w:r>
            <w:r w:rsidRPr="00E139C9">
              <w:rPr>
                <w:color w:val="000000"/>
                <w:sz w:val="22"/>
              </w:rPr>
              <w:t>490</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22</w:t>
            </w:r>
            <w:r w:rsidR="001C1296">
              <w:rPr>
                <w:color w:val="000000"/>
                <w:sz w:val="22"/>
              </w:rPr>
              <w:t xml:space="preserve"> </w:t>
            </w:r>
            <w:r w:rsidRPr="00E139C9">
              <w:rPr>
                <w:color w:val="000000"/>
                <w:sz w:val="22"/>
              </w:rPr>
              <w:t>725</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32</w:t>
            </w:r>
            <w:r w:rsidR="001C1296">
              <w:rPr>
                <w:color w:val="000000"/>
                <w:sz w:val="22"/>
              </w:rPr>
              <w:t xml:space="preserve"> </w:t>
            </w:r>
            <w:r w:rsidRPr="00E139C9">
              <w:rPr>
                <w:color w:val="000000"/>
                <w:sz w:val="22"/>
              </w:rPr>
              <w:t>220</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83</w:t>
            </w:r>
            <w:r w:rsidR="001C1296">
              <w:rPr>
                <w:b/>
                <w:bCs/>
                <w:color w:val="000000"/>
                <w:sz w:val="22"/>
              </w:rPr>
              <w:t xml:space="preserve"> </w:t>
            </w:r>
            <w:r w:rsidRPr="00E139C9">
              <w:rPr>
                <w:b/>
                <w:bCs/>
                <w:color w:val="000000"/>
                <w:sz w:val="22"/>
              </w:rPr>
              <w:t>435</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8%</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V</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29</w:t>
            </w:r>
            <w:r w:rsidR="001C1296">
              <w:rPr>
                <w:color w:val="000000"/>
                <w:sz w:val="22"/>
              </w:rPr>
              <w:t xml:space="preserve"> </w:t>
            </w:r>
            <w:r w:rsidRPr="00E139C9">
              <w:rPr>
                <w:color w:val="000000"/>
                <w:sz w:val="22"/>
              </w:rPr>
              <w:t>038</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25</w:t>
            </w:r>
            <w:r w:rsidR="001C1296">
              <w:rPr>
                <w:color w:val="000000"/>
                <w:sz w:val="22"/>
              </w:rPr>
              <w:t xml:space="preserve"> </w:t>
            </w:r>
            <w:r w:rsidRPr="00E139C9">
              <w:rPr>
                <w:color w:val="000000"/>
                <w:sz w:val="22"/>
              </w:rPr>
              <w:t>437</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19</w:t>
            </w:r>
            <w:r w:rsidR="001C1296">
              <w:rPr>
                <w:color w:val="000000"/>
                <w:sz w:val="22"/>
              </w:rPr>
              <w:t xml:space="preserve"> </w:t>
            </w:r>
            <w:r w:rsidRPr="00E139C9">
              <w:rPr>
                <w:color w:val="000000"/>
                <w:sz w:val="22"/>
              </w:rPr>
              <w:t>552</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74</w:t>
            </w:r>
            <w:r w:rsidR="001C1296">
              <w:rPr>
                <w:b/>
                <w:bCs/>
                <w:color w:val="000000"/>
                <w:sz w:val="22"/>
              </w:rPr>
              <w:t xml:space="preserve"> </w:t>
            </w:r>
            <w:r w:rsidRPr="00E139C9">
              <w:rPr>
                <w:b/>
                <w:bCs/>
                <w:color w:val="000000"/>
                <w:sz w:val="22"/>
              </w:rPr>
              <w:t>027</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7%</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TF</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19</w:t>
            </w:r>
            <w:r w:rsidR="001C1296">
              <w:rPr>
                <w:color w:val="000000"/>
                <w:sz w:val="22"/>
              </w:rPr>
              <w:t xml:space="preserve"> </w:t>
            </w:r>
            <w:r w:rsidRPr="00E139C9">
              <w:rPr>
                <w:color w:val="000000"/>
                <w:sz w:val="22"/>
              </w:rPr>
              <w:t>708</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15</w:t>
            </w:r>
            <w:r w:rsidR="001C1296">
              <w:rPr>
                <w:color w:val="000000"/>
                <w:sz w:val="22"/>
              </w:rPr>
              <w:t xml:space="preserve"> </w:t>
            </w:r>
            <w:r w:rsidRPr="00E139C9">
              <w:rPr>
                <w:color w:val="000000"/>
                <w:sz w:val="22"/>
              </w:rPr>
              <w:t>209</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20</w:t>
            </w:r>
            <w:r w:rsidR="001C1296">
              <w:rPr>
                <w:color w:val="000000"/>
                <w:sz w:val="22"/>
              </w:rPr>
              <w:t xml:space="preserve"> </w:t>
            </w:r>
            <w:r w:rsidRPr="00E139C9">
              <w:rPr>
                <w:color w:val="000000"/>
                <w:sz w:val="22"/>
              </w:rPr>
              <w:t>242</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55</w:t>
            </w:r>
            <w:r w:rsidR="001C1296">
              <w:rPr>
                <w:b/>
                <w:bCs/>
                <w:color w:val="000000"/>
                <w:sz w:val="22"/>
              </w:rPr>
              <w:t xml:space="preserve"> </w:t>
            </w:r>
            <w:r w:rsidRPr="00E139C9">
              <w:rPr>
                <w:b/>
                <w:bCs/>
                <w:color w:val="000000"/>
                <w:sz w:val="22"/>
              </w:rPr>
              <w:t>159</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5%</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SF</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19</w:t>
            </w:r>
            <w:r w:rsidR="001C1296">
              <w:rPr>
                <w:color w:val="000000"/>
                <w:sz w:val="22"/>
              </w:rPr>
              <w:t xml:space="preserve"> </w:t>
            </w:r>
            <w:r w:rsidRPr="00E139C9">
              <w:rPr>
                <w:color w:val="000000"/>
                <w:sz w:val="22"/>
              </w:rPr>
              <w:t>738</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15</w:t>
            </w:r>
            <w:r w:rsidR="001C1296">
              <w:rPr>
                <w:color w:val="000000"/>
                <w:sz w:val="22"/>
              </w:rPr>
              <w:t xml:space="preserve"> </w:t>
            </w:r>
            <w:r w:rsidRPr="00E139C9">
              <w:rPr>
                <w:color w:val="000000"/>
                <w:sz w:val="22"/>
              </w:rPr>
              <w:t>383</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20</w:t>
            </w:r>
            <w:r w:rsidR="001C1296">
              <w:rPr>
                <w:color w:val="000000"/>
                <w:sz w:val="22"/>
              </w:rPr>
              <w:t xml:space="preserve"> </w:t>
            </w:r>
            <w:r w:rsidRPr="00E139C9">
              <w:rPr>
                <w:color w:val="000000"/>
                <w:sz w:val="22"/>
              </w:rPr>
              <w:t>007</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55</w:t>
            </w:r>
            <w:r w:rsidR="001C1296">
              <w:rPr>
                <w:b/>
                <w:bCs/>
                <w:color w:val="000000"/>
                <w:sz w:val="22"/>
              </w:rPr>
              <w:t xml:space="preserve"> </w:t>
            </w:r>
            <w:r w:rsidRPr="00E139C9">
              <w:rPr>
                <w:b/>
                <w:bCs/>
                <w:color w:val="000000"/>
                <w:sz w:val="22"/>
              </w:rPr>
              <w:t>128</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5%</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BR</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12</w:t>
            </w:r>
            <w:r w:rsidR="001C1296">
              <w:rPr>
                <w:color w:val="000000"/>
                <w:sz w:val="22"/>
              </w:rPr>
              <w:t xml:space="preserve"> </w:t>
            </w:r>
            <w:r w:rsidRPr="00E139C9">
              <w:rPr>
                <w:color w:val="000000"/>
                <w:sz w:val="22"/>
              </w:rPr>
              <w:t>627</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9</w:t>
            </w:r>
            <w:r w:rsidR="001C1296">
              <w:rPr>
                <w:color w:val="000000"/>
                <w:sz w:val="22"/>
              </w:rPr>
              <w:t xml:space="preserve"> </w:t>
            </w:r>
            <w:r w:rsidRPr="00E139C9">
              <w:rPr>
                <w:color w:val="000000"/>
                <w:sz w:val="22"/>
              </w:rPr>
              <w:t>239</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12</w:t>
            </w:r>
            <w:r w:rsidR="001C1296">
              <w:rPr>
                <w:color w:val="000000"/>
                <w:sz w:val="22"/>
              </w:rPr>
              <w:t xml:space="preserve"> </w:t>
            </w:r>
            <w:r w:rsidRPr="00E139C9">
              <w:rPr>
                <w:color w:val="000000"/>
                <w:sz w:val="22"/>
              </w:rPr>
              <w:t>321</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34</w:t>
            </w:r>
            <w:r w:rsidR="001C1296">
              <w:rPr>
                <w:b/>
                <w:bCs/>
                <w:color w:val="000000"/>
                <w:sz w:val="22"/>
              </w:rPr>
              <w:t xml:space="preserve"> </w:t>
            </w:r>
            <w:r w:rsidRPr="00E139C9">
              <w:rPr>
                <w:b/>
                <w:bCs/>
                <w:color w:val="000000"/>
                <w:sz w:val="22"/>
              </w:rPr>
              <w:t>187</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3%</w:t>
            </w:r>
          </w:p>
        </w:tc>
      </w:tr>
      <w:tr w:rsidR="00B35D10" w:rsidRPr="008653E6" w:rsidTr="00E3472E">
        <w:trPr>
          <w:trHeight w:val="300"/>
          <w:jc w:val="center"/>
        </w:trPr>
        <w:tc>
          <w:tcPr>
            <w:tcW w:w="1418" w:type="dxa"/>
            <w:tcBorders>
              <w:top w:val="nil"/>
              <w:left w:val="single" w:sz="8" w:space="0" w:color="auto"/>
              <w:bottom w:val="single" w:sz="4"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RA</w:t>
            </w:r>
          </w:p>
        </w:tc>
        <w:tc>
          <w:tcPr>
            <w:tcW w:w="1418" w:type="dxa"/>
            <w:tcBorders>
              <w:top w:val="nil"/>
              <w:left w:val="single" w:sz="8" w:space="0" w:color="auto"/>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9</w:t>
            </w:r>
            <w:r w:rsidR="001C1296">
              <w:rPr>
                <w:color w:val="000000"/>
                <w:sz w:val="22"/>
              </w:rPr>
              <w:t xml:space="preserve"> </w:t>
            </w:r>
            <w:r w:rsidRPr="00E139C9">
              <w:rPr>
                <w:color w:val="000000"/>
                <w:sz w:val="22"/>
              </w:rPr>
              <w:t>283</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7</w:t>
            </w:r>
            <w:r w:rsidR="001C1296">
              <w:rPr>
                <w:color w:val="000000"/>
                <w:sz w:val="22"/>
              </w:rPr>
              <w:t xml:space="preserve"> </w:t>
            </w:r>
            <w:r w:rsidRPr="00E139C9">
              <w:rPr>
                <w:color w:val="000000"/>
                <w:sz w:val="22"/>
              </w:rPr>
              <w:t>879</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10</w:t>
            </w:r>
            <w:r w:rsidR="001C1296">
              <w:rPr>
                <w:color w:val="000000"/>
                <w:sz w:val="22"/>
              </w:rPr>
              <w:t xml:space="preserve"> </w:t>
            </w:r>
            <w:r w:rsidRPr="00E139C9">
              <w:rPr>
                <w:color w:val="000000"/>
                <w:sz w:val="22"/>
              </w:rPr>
              <w:t>083</w:t>
            </w:r>
          </w:p>
        </w:tc>
        <w:tc>
          <w:tcPr>
            <w:tcW w:w="1418" w:type="dxa"/>
            <w:tcBorders>
              <w:top w:val="nil"/>
              <w:left w:val="nil"/>
              <w:bottom w:val="single" w:sz="4"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27</w:t>
            </w:r>
            <w:r w:rsidR="001C1296">
              <w:rPr>
                <w:b/>
                <w:bCs/>
                <w:color w:val="000000"/>
                <w:sz w:val="22"/>
              </w:rPr>
              <w:t xml:space="preserve"> </w:t>
            </w:r>
            <w:r w:rsidRPr="00E139C9">
              <w:rPr>
                <w:b/>
                <w:bCs/>
                <w:color w:val="000000"/>
                <w:sz w:val="22"/>
              </w:rPr>
              <w:t>245</w:t>
            </w:r>
          </w:p>
        </w:tc>
        <w:tc>
          <w:tcPr>
            <w:tcW w:w="1418" w:type="dxa"/>
            <w:tcBorders>
              <w:top w:val="nil"/>
              <w:left w:val="nil"/>
              <w:bottom w:val="single" w:sz="4"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3%</w:t>
            </w:r>
          </w:p>
        </w:tc>
      </w:tr>
      <w:tr w:rsidR="00B35D10" w:rsidRPr="008653E6" w:rsidTr="00E3472E">
        <w:trPr>
          <w:trHeight w:val="315"/>
          <w:jc w:val="center"/>
        </w:trPr>
        <w:tc>
          <w:tcPr>
            <w:tcW w:w="1418" w:type="dxa"/>
            <w:tcBorders>
              <w:top w:val="nil"/>
              <w:left w:val="single" w:sz="8" w:space="0" w:color="auto"/>
              <w:bottom w:val="single" w:sz="8" w:space="0" w:color="auto"/>
              <w:right w:val="nil"/>
            </w:tcBorders>
            <w:shd w:val="clear" w:color="auto" w:fill="auto"/>
            <w:noWrap/>
            <w:vAlign w:val="center"/>
            <w:hideMark/>
          </w:tcPr>
          <w:p w:rsidR="00B35D10" w:rsidRPr="008653E6" w:rsidRDefault="00B35D10" w:rsidP="00B35D10">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SNG</w:t>
            </w:r>
          </w:p>
        </w:tc>
        <w:tc>
          <w:tcPr>
            <w:tcW w:w="1418" w:type="dxa"/>
            <w:tcBorders>
              <w:top w:val="nil"/>
              <w:left w:val="single" w:sz="8" w:space="0" w:color="auto"/>
              <w:bottom w:val="single" w:sz="8"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4</w:t>
            </w:r>
            <w:r w:rsidR="001C1296">
              <w:rPr>
                <w:color w:val="000000"/>
                <w:sz w:val="22"/>
              </w:rPr>
              <w:t xml:space="preserve"> </w:t>
            </w:r>
            <w:r w:rsidRPr="00E139C9">
              <w:rPr>
                <w:color w:val="000000"/>
                <w:sz w:val="22"/>
              </w:rPr>
              <w:t>809</w:t>
            </w:r>
          </w:p>
        </w:tc>
        <w:tc>
          <w:tcPr>
            <w:tcW w:w="1418" w:type="dxa"/>
            <w:tcBorders>
              <w:top w:val="nil"/>
              <w:left w:val="nil"/>
              <w:bottom w:val="single" w:sz="8" w:space="0" w:color="auto"/>
              <w:right w:val="single" w:sz="4"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2</w:t>
            </w:r>
            <w:r w:rsidR="001C1296">
              <w:rPr>
                <w:color w:val="000000"/>
                <w:sz w:val="22"/>
              </w:rPr>
              <w:t xml:space="preserve"> </w:t>
            </w:r>
            <w:r w:rsidRPr="00E139C9">
              <w:rPr>
                <w:color w:val="000000"/>
                <w:sz w:val="22"/>
              </w:rPr>
              <w:t>929</w:t>
            </w:r>
          </w:p>
        </w:tc>
        <w:tc>
          <w:tcPr>
            <w:tcW w:w="1418" w:type="dxa"/>
            <w:tcBorders>
              <w:top w:val="nil"/>
              <w:left w:val="nil"/>
              <w:bottom w:val="single" w:sz="8" w:space="0" w:color="auto"/>
              <w:right w:val="single" w:sz="8" w:space="0" w:color="auto"/>
            </w:tcBorders>
            <w:shd w:val="clear" w:color="auto" w:fill="auto"/>
            <w:noWrap/>
            <w:hideMark/>
          </w:tcPr>
          <w:p w:rsidR="00B35D10" w:rsidRPr="00E139C9" w:rsidRDefault="00B35D10" w:rsidP="00B35D10">
            <w:pPr>
              <w:jc w:val="center"/>
              <w:rPr>
                <w:color w:val="000000"/>
                <w:sz w:val="22"/>
              </w:rPr>
            </w:pPr>
            <w:r w:rsidRPr="00E139C9">
              <w:rPr>
                <w:color w:val="000000"/>
                <w:sz w:val="22"/>
              </w:rPr>
              <w:t>3</w:t>
            </w:r>
            <w:r w:rsidR="001C1296">
              <w:rPr>
                <w:color w:val="000000"/>
                <w:sz w:val="22"/>
              </w:rPr>
              <w:t xml:space="preserve"> </w:t>
            </w:r>
            <w:r w:rsidRPr="00E139C9">
              <w:rPr>
                <w:color w:val="000000"/>
                <w:sz w:val="22"/>
              </w:rPr>
              <w:t>930</w:t>
            </w:r>
          </w:p>
        </w:tc>
        <w:tc>
          <w:tcPr>
            <w:tcW w:w="1418" w:type="dxa"/>
            <w:tcBorders>
              <w:top w:val="nil"/>
              <w:left w:val="nil"/>
              <w:bottom w:val="single" w:sz="8" w:space="0" w:color="auto"/>
              <w:right w:val="single" w:sz="4"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11</w:t>
            </w:r>
            <w:r w:rsidR="001C1296">
              <w:rPr>
                <w:b/>
                <w:bCs/>
                <w:color w:val="000000"/>
                <w:sz w:val="22"/>
              </w:rPr>
              <w:t xml:space="preserve"> </w:t>
            </w:r>
            <w:r w:rsidRPr="00E139C9">
              <w:rPr>
                <w:b/>
                <w:bCs/>
                <w:color w:val="000000"/>
                <w:sz w:val="22"/>
              </w:rPr>
              <w:t>668</w:t>
            </w:r>
          </w:p>
        </w:tc>
        <w:tc>
          <w:tcPr>
            <w:tcW w:w="1418" w:type="dxa"/>
            <w:tcBorders>
              <w:top w:val="nil"/>
              <w:left w:val="nil"/>
              <w:bottom w:val="single" w:sz="8" w:space="0" w:color="auto"/>
              <w:right w:val="single" w:sz="8" w:space="0" w:color="auto"/>
            </w:tcBorders>
            <w:shd w:val="clear" w:color="auto" w:fill="auto"/>
            <w:noWrap/>
            <w:hideMark/>
          </w:tcPr>
          <w:p w:rsidR="00B35D10" w:rsidRPr="00E139C9" w:rsidRDefault="00B35D10" w:rsidP="00B35D10">
            <w:pPr>
              <w:jc w:val="center"/>
              <w:rPr>
                <w:b/>
                <w:bCs/>
                <w:color w:val="000000"/>
                <w:sz w:val="22"/>
              </w:rPr>
            </w:pPr>
            <w:r w:rsidRPr="00E139C9">
              <w:rPr>
                <w:b/>
                <w:bCs/>
                <w:color w:val="000000"/>
                <w:sz w:val="22"/>
              </w:rPr>
              <w:t>0</w:t>
            </w:r>
            <w:r w:rsidR="001C1296">
              <w:rPr>
                <w:b/>
                <w:bCs/>
                <w:color w:val="000000"/>
                <w:sz w:val="22"/>
              </w:rPr>
              <w:t>,</w:t>
            </w:r>
            <w:r w:rsidRPr="00E139C9">
              <w:rPr>
                <w:b/>
                <w:bCs/>
                <w:color w:val="000000"/>
                <w:sz w:val="22"/>
              </w:rPr>
              <w:t>1%</w:t>
            </w:r>
          </w:p>
        </w:tc>
      </w:tr>
      <w:tr w:rsidR="00A20AEB" w:rsidRPr="008653E6" w:rsidTr="00B35D10">
        <w:trPr>
          <w:trHeight w:val="315"/>
          <w:jc w:val="center"/>
        </w:trPr>
        <w:tc>
          <w:tcPr>
            <w:tcW w:w="1418" w:type="dxa"/>
            <w:tcBorders>
              <w:top w:val="nil"/>
              <w:left w:val="single" w:sz="8" w:space="0" w:color="auto"/>
              <w:bottom w:val="single" w:sz="8" w:space="0" w:color="auto"/>
              <w:right w:val="nil"/>
            </w:tcBorders>
            <w:shd w:val="clear" w:color="auto" w:fill="auto"/>
            <w:noWrap/>
            <w:vAlign w:val="bottom"/>
            <w:hideMark/>
          </w:tcPr>
          <w:p w:rsidR="00A20AEB" w:rsidRPr="008653E6" w:rsidRDefault="00A20AEB" w:rsidP="00E3472E">
            <w:pPr>
              <w:overflowPunct/>
              <w:autoSpaceDE/>
              <w:autoSpaceDN/>
              <w:adjustRightInd/>
              <w:spacing w:before="0"/>
              <w:jc w:val="center"/>
              <w:textAlignment w:val="auto"/>
              <w:rPr>
                <w:rFonts w:asciiTheme="majorBidi" w:hAnsiTheme="majorBidi" w:cstheme="majorBidi"/>
                <w:color w:val="000000"/>
                <w:sz w:val="22"/>
                <w:szCs w:val="22"/>
                <w:lang w:val="en-US" w:eastAsia="zh-CN"/>
              </w:rPr>
            </w:pPr>
            <w:r w:rsidRPr="008653E6">
              <w:rPr>
                <w:rFonts w:asciiTheme="majorBidi" w:hAnsiTheme="majorBidi" w:cstheme="majorBidi"/>
                <w:color w:val="000000"/>
                <w:sz w:val="22"/>
                <w:szCs w:val="22"/>
                <w:lang w:val="en-US" w:eastAsia="zh-CN"/>
              </w:rPr>
              <w:t> </w:t>
            </w:r>
          </w:p>
        </w:tc>
        <w:tc>
          <w:tcPr>
            <w:tcW w:w="1418" w:type="dxa"/>
            <w:tcBorders>
              <w:top w:val="nil"/>
              <w:left w:val="nil"/>
              <w:bottom w:val="single" w:sz="8" w:space="0" w:color="auto"/>
              <w:right w:val="nil"/>
            </w:tcBorders>
            <w:shd w:val="clear" w:color="auto" w:fill="auto"/>
            <w:noWrap/>
            <w:vAlign w:val="bottom"/>
            <w:hideMark/>
          </w:tcPr>
          <w:p w:rsidR="00A20AEB" w:rsidRPr="008653E6" w:rsidRDefault="00A20AEB" w:rsidP="00E3472E">
            <w:pPr>
              <w:overflowPunct/>
              <w:autoSpaceDE/>
              <w:autoSpaceDN/>
              <w:adjustRightInd/>
              <w:spacing w:before="0"/>
              <w:ind w:right="174"/>
              <w:textAlignment w:val="auto"/>
              <w:rPr>
                <w:rFonts w:asciiTheme="majorBidi" w:hAnsiTheme="majorBidi" w:cstheme="majorBidi"/>
                <w:color w:val="000000"/>
                <w:sz w:val="22"/>
                <w:szCs w:val="22"/>
                <w:lang w:val="en-US" w:eastAsia="zh-CN"/>
              </w:rPr>
            </w:pPr>
            <w:r w:rsidRPr="008653E6">
              <w:rPr>
                <w:rFonts w:asciiTheme="majorBidi" w:hAnsiTheme="majorBidi" w:cstheme="majorBidi"/>
                <w:color w:val="000000"/>
                <w:sz w:val="22"/>
                <w:szCs w:val="22"/>
                <w:lang w:val="en-US" w:eastAsia="zh-CN"/>
              </w:rPr>
              <w:t> </w:t>
            </w:r>
          </w:p>
        </w:tc>
        <w:tc>
          <w:tcPr>
            <w:tcW w:w="1418" w:type="dxa"/>
            <w:tcBorders>
              <w:top w:val="nil"/>
              <w:left w:val="nil"/>
              <w:bottom w:val="single" w:sz="8" w:space="0" w:color="auto"/>
              <w:right w:val="nil"/>
            </w:tcBorders>
            <w:shd w:val="clear" w:color="auto" w:fill="auto"/>
            <w:noWrap/>
            <w:vAlign w:val="bottom"/>
            <w:hideMark/>
          </w:tcPr>
          <w:p w:rsidR="00A20AEB" w:rsidRPr="008653E6" w:rsidRDefault="00A20AEB" w:rsidP="00E3472E">
            <w:pPr>
              <w:overflowPunct/>
              <w:autoSpaceDE/>
              <w:autoSpaceDN/>
              <w:adjustRightInd/>
              <w:spacing w:before="0"/>
              <w:ind w:right="174"/>
              <w:textAlignment w:val="auto"/>
              <w:rPr>
                <w:rFonts w:asciiTheme="majorBidi" w:hAnsiTheme="majorBidi" w:cstheme="majorBidi"/>
                <w:color w:val="000000"/>
                <w:sz w:val="22"/>
                <w:szCs w:val="22"/>
                <w:lang w:val="en-US" w:eastAsia="zh-CN"/>
              </w:rPr>
            </w:pPr>
            <w:r w:rsidRPr="008653E6">
              <w:rPr>
                <w:rFonts w:asciiTheme="majorBidi" w:hAnsiTheme="majorBidi" w:cstheme="majorBidi"/>
                <w:color w:val="000000"/>
                <w:sz w:val="22"/>
                <w:szCs w:val="22"/>
                <w:lang w:val="en-US" w:eastAsia="zh-CN"/>
              </w:rPr>
              <w:t> </w:t>
            </w:r>
          </w:p>
        </w:tc>
        <w:tc>
          <w:tcPr>
            <w:tcW w:w="1418" w:type="dxa"/>
            <w:tcBorders>
              <w:top w:val="nil"/>
              <w:left w:val="nil"/>
              <w:bottom w:val="single" w:sz="8" w:space="0" w:color="auto"/>
              <w:right w:val="nil"/>
            </w:tcBorders>
            <w:shd w:val="clear" w:color="auto" w:fill="auto"/>
            <w:noWrap/>
            <w:vAlign w:val="bottom"/>
            <w:hideMark/>
          </w:tcPr>
          <w:p w:rsidR="00A20AEB" w:rsidRPr="008653E6" w:rsidRDefault="00A20AEB" w:rsidP="00E3472E">
            <w:pPr>
              <w:overflowPunct/>
              <w:autoSpaceDE/>
              <w:autoSpaceDN/>
              <w:adjustRightInd/>
              <w:spacing w:before="0"/>
              <w:ind w:right="174"/>
              <w:textAlignment w:val="auto"/>
              <w:rPr>
                <w:rFonts w:asciiTheme="majorBidi" w:hAnsiTheme="majorBidi" w:cstheme="majorBidi"/>
                <w:color w:val="000000"/>
                <w:sz w:val="22"/>
                <w:szCs w:val="22"/>
                <w:lang w:val="en-US" w:eastAsia="zh-CN"/>
              </w:rPr>
            </w:pPr>
            <w:r w:rsidRPr="008653E6">
              <w:rPr>
                <w:rFonts w:asciiTheme="majorBidi" w:hAnsiTheme="majorBidi" w:cstheme="majorBidi"/>
                <w:color w:val="000000"/>
                <w:sz w:val="22"/>
                <w:szCs w:val="22"/>
                <w:lang w:val="en-US" w:eastAsia="zh-CN"/>
              </w:rPr>
              <w:t> </w:t>
            </w:r>
          </w:p>
        </w:tc>
        <w:tc>
          <w:tcPr>
            <w:tcW w:w="1418" w:type="dxa"/>
            <w:tcBorders>
              <w:top w:val="nil"/>
              <w:left w:val="nil"/>
              <w:bottom w:val="single" w:sz="8" w:space="0" w:color="auto"/>
              <w:right w:val="nil"/>
            </w:tcBorders>
            <w:shd w:val="clear" w:color="auto" w:fill="auto"/>
            <w:noWrap/>
            <w:vAlign w:val="bottom"/>
            <w:hideMark/>
          </w:tcPr>
          <w:p w:rsidR="00A20AEB" w:rsidRPr="008653E6" w:rsidRDefault="00A20AEB" w:rsidP="00E3472E">
            <w:pPr>
              <w:overflowPunct/>
              <w:autoSpaceDE/>
              <w:autoSpaceDN/>
              <w:adjustRightInd/>
              <w:spacing w:before="0"/>
              <w:ind w:right="174"/>
              <w:textAlignment w:val="auto"/>
              <w:rPr>
                <w:rFonts w:asciiTheme="majorBidi" w:hAnsiTheme="majorBidi" w:cstheme="majorBidi"/>
                <w:color w:val="000000"/>
                <w:sz w:val="22"/>
                <w:szCs w:val="22"/>
                <w:lang w:val="en-US" w:eastAsia="zh-CN"/>
              </w:rPr>
            </w:pPr>
            <w:r w:rsidRPr="008653E6">
              <w:rPr>
                <w:rFonts w:asciiTheme="majorBidi" w:hAnsiTheme="majorBidi" w:cstheme="majorBidi"/>
                <w:color w:val="000000"/>
                <w:sz w:val="22"/>
                <w:szCs w:val="22"/>
                <w:lang w:val="en-US" w:eastAsia="zh-CN"/>
              </w:rPr>
              <w:t xml:space="preserve"> </w:t>
            </w:r>
          </w:p>
        </w:tc>
        <w:tc>
          <w:tcPr>
            <w:tcW w:w="1418" w:type="dxa"/>
            <w:tcBorders>
              <w:top w:val="nil"/>
              <w:left w:val="nil"/>
              <w:bottom w:val="single" w:sz="8" w:space="0" w:color="auto"/>
              <w:right w:val="single" w:sz="8" w:space="0" w:color="auto"/>
            </w:tcBorders>
            <w:shd w:val="clear" w:color="auto" w:fill="auto"/>
            <w:noWrap/>
            <w:vAlign w:val="bottom"/>
            <w:hideMark/>
          </w:tcPr>
          <w:p w:rsidR="00A20AEB" w:rsidRPr="008653E6" w:rsidRDefault="00A20AEB" w:rsidP="00E3472E">
            <w:pPr>
              <w:overflowPunct/>
              <w:autoSpaceDE/>
              <w:autoSpaceDN/>
              <w:adjustRightInd/>
              <w:spacing w:before="0"/>
              <w:ind w:right="174"/>
              <w:textAlignment w:val="auto"/>
              <w:rPr>
                <w:rFonts w:asciiTheme="majorBidi" w:hAnsiTheme="majorBidi" w:cstheme="majorBidi"/>
                <w:color w:val="000000"/>
                <w:sz w:val="22"/>
                <w:szCs w:val="22"/>
                <w:lang w:val="en-US" w:eastAsia="zh-CN"/>
              </w:rPr>
            </w:pPr>
            <w:r w:rsidRPr="008653E6">
              <w:rPr>
                <w:rFonts w:asciiTheme="majorBidi" w:hAnsiTheme="majorBidi" w:cstheme="majorBidi"/>
                <w:color w:val="000000"/>
                <w:sz w:val="22"/>
                <w:szCs w:val="22"/>
                <w:lang w:val="en-US" w:eastAsia="zh-CN"/>
              </w:rPr>
              <w:t xml:space="preserve"> </w:t>
            </w:r>
          </w:p>
        </w:tc>
      </w:tr>
      <w:tr w:rsidR="00B35D10" w:rsidRPr="008653E6" w:rsidTr="00B35D10">
        <w:trPr>
          <w:trHeight w:val="315"/>
          <w:jc w:val="center"/>
        </w:trPr>
        <w:tc>
          <w:tcPr>
            <w:tcW w:w="14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35D10" w:rsidRPr="008653E6" w:rsidRDefault="00B35D10" w:rsidP="00B35D10">
            <w:pPr>
              <w:overflowPunct/>
              <w:autoSpaceDE/>
              <w:autoSpaceDN/>
              <w:adjustRightInd/>
              <w:jc w:val="center"/>
              <w:textAlignment w:val="auto"/>
              <w:rPr>
                <w:rFonts w:asciiTheme="majorBidi" w:hAnsiTheme="majorBidi" w:cstheme="majorBidi"/>
                <w:b/>
                <w:bCs/>
                <w:color w:val="000000"/>
                <w:sz w:val="22"/>
                <w:szCs w:val="22"/>
                <w:lang w:val="en-US" w:eastAsia="zh-CN"/>
              </w:rPr>
            </w:pPr>
            <w:r w:rsidRPr="008653E6">
              <w:rPr>
                <w:rFonts w:asciiTheme="majorBidi" w:hAnsiTheme="majorBidi" w:cstheme="majorBidi"/>
                <w:b/>
                <w:bCs/>
                <w:color w:val="000000"/>
                <w:sz w:val="22"/>
                <w:szCs w:val="22"/>
                <w:lang w:val="en-US" w:eastAsia="zh-CN"/>
              </w:rPr>
              <w:t>TOTAL</w:t>
            </w:r>
          </w:p>
        </w:tc>
        <w:tc>
          <w:tcPr>
            <w:tcW w:w="1418" w:type="dxa"/>
            <w:tcBorders>
              <w:top w:val="single" w:sz="8" w:space="0" w:color="auto"/>
              <w:left w:val="nil"/>
              <w:bottom w:val="single" w:sz="4" w:space="0" w:color="auto"/>
              <w:right w:val="single" w:sz="4" w:space="0" w:color="auto"/>
            </w:tcBorders>
            <w:shd w:val="clear" w:color="auto" w:fill="auto"/>
            <w:noWrap/>
            <w:hideMark/>
          </w:tcPr>
          <w:p w:rsidR="00B35D10" w:rsidRPr="00B35D10" w:rsidRDefault="00B35D10" w:rsidP="00B35D10">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4</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115</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780</w:t>
            </w:r>
          </w:p>
        </w:tc>
        <w:tc>
          <w:tcPr>
            <w:tcW w:w="1418" w:type="dxa"/>
            <w:tcBorders>
              <w:top w:val="single" w:sz="8" w:space="0" w:color="auto"/>
              <w:left w:val="nil"/>
              <w:bottom w:val="single" w:sz="4" w:space="0" w:color="auto"/>
              <w:right w:val="single" w:sz="4" w:space="0" w:color="auto"/>
            </w:tcBorders>
            <w:shd w:val="clear" w:color="auto" w:fill="auto"/>
            <w:noWrap/>
            <w:hideMark/>
          </w:tcPr>
          <w:p w:rsidR="00B35D10" w:rsidRPr="00B35D10" w:rsidRDefault="00B35D10" w:rsidP="00B35D10">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3</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680</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814</w:t>
            </w:r>
          </w:p>
        </w:tc>
        <w:tc>
          <w:tcPr>
            <w:tcW w:w="1418" w:type="dxa"/>
            <w:tcBorders>
              <w:top w:val="single" w:sz="8" w:space="0" w:color="auto"/>
              <w:left w:val="nil"/>
              <w:bottom w:val="single" w:sz="4" w:space="0" w:color="auto"/>
              <w:right w:val="single" w:sz="8" w:space="0" w:color="auto"/>
            </w:tcBorders>
            <w:shd w:val="clear" w:color="auto" w:fill="auto"/>
            <w:noWrap/>
            <w:hideMark/>
          </w:tcPr>
          <w:p w:rsidR="00B35D10" w:rsidRPr="00B35D10" w:rsidRDefault="00B35D10" w:rsidP="00B35D10">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2</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940</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286</w:t>
            </w:r>
          </w:p>
        </w:tc>
        <w:tc>
          <w:tcPr>
            <w:tcW w:w="1418" w:type="dxa"/>
            <w:tcBorders>
              <w:top w:val="single" w:sz="8" w:space="0" w:color="auto"/>
              <w:left w:val="nil"/>
              <w:bottom w:val="single" w:sz="4" w:space="0" w:color="auto"/>
              <w:right w:val="single" w:sz="4" w:space="0" w:color="auto"/>
            </w:tcBorders>
            <w:shd w:val="clear" w:color="auto" w:fill="auto"/>
            <w:noWrap/>
            <w:hideMark/>
          </w:tcPr>
          <w:p w:rsidR="00B35D10" w:rsidRPr="00B35D10" w:rsidRDefault="00B35D10" w:rsidP="00B35D10">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10</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736</w:t>
            </w:r>
            <w:r w:rsidR="001C1296">
              <w:rPr>
                <w:rFonts w:asciiTheme="majorBidi" w:hAnsiTheme="majorBidi" w:cstheme="majorBidi"/>
                <w:b/>
                <w:bCs/>
                <w:color w:val="000000"/>
                <w:sz w:val="22"/>
                <w:szCs w:val="22"/>
                <w:lang w:val="en-US" w:eastAsia="zh-CN"/>
              </w:rPr>
              <w:t xml:space="preserve"> </w:t>
            </w:r>
            <w:r w:rsidRPr="00B35D10">
              <w:rPr>
                <w:rFonts w:asciiTheme="majorBidi" w:hAnsiTheme="majorBidi" w:cstheme="majorBidi"/>
                <w:b/>
                <w:bCs/>
                <w:color w:val="000000"/>
                <w:sz w:val="22"/>
                <w:szCs w:val="22"/>
                <w:lang w:val="en-US" w:eastAsia="zh-CN"/>
              </w:rPr>
              <w:t>880</w:t>
            </w:r>
          </w:p>
        </w:tc>
        <w:tc>
          <w:tcPr>
            <w:tcW w:w="1418" w:type="dxa"/>
            <w:tcBorders>
              <w:top w:val="single" w:sz="8" w:space="0" w:color="auto"/>
              <w:left w:val="nil"/>
              <w:bottom w:val="single" w:sz="4" w:space="0" w:color="auto"/>
              <w:right w:val="single" w:sz="8" w:space="0" w:color="auto"/>
            </w:tcBorders>
            <w:shd w:val="clear" w:color="auto" w:fill="auto"/>
            <w:noWrap/>
            <w:hideMark/>
          </w:tcPr>
          <w:p w:rsidR="00B35D10" w:rsidRPr="00B35D10" w:rsidRDefault="00B35D10" w:rsidP="00B35D10">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100</w:t>
            </w:r>
            <w:r w:rsidR="001C1296">
              <w:rPr>
                <w:rFonts w:asciiTheme="majorBidi" w:hAnsiTheme="majorBidi" w:cstheme="majorBidi"/>
                <w:b/>
                <w:bCs/>
                <w:color w:val="000000"/>
                <w:sz w:val="22"/>
                <w:szCs w:val="22"/>
                <w:lang w:val="en-US" w:eastAsia="zh-CN"/>
              </w:rPr>
              <w:t>,</w:t>
            </w:r>
            <w:r w:rsidRPr="00B35D10">
              <w:rPr>
                <w:rFonts w:asciiTheme="majorBidi" w:hAnsiTheme="majorBidi" w:cstheme="majorBidi"/>
                <w:b/>
                <w:bCs/>
                <w:color w:val="000000"/>
                <w:sz w:val="22"/>
                <w:szCs w:val="22"/>
                <w:lang w:val="en-US" w:eastAsia="zh-CN"/>
              </w:rPr>
              <w:t>00%</w:t>
            </w:r>
          </w:p>
        </w:tc>
      </w:tr>
      <w:tr w:rsidR="00B35D10" w:rsidRPr="008653E6" w:rsidTr="00B35D10">
        <w:trPr>
          <w:trHeight w:val="315"/>
          <w:jc w:val="center"/>
        </w:trPr>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B35D10" w:rsidRPr="008653E6" w:rsidRDefault="00B35D10" w:rsidP="00B35D10">
            <w:pPr>
              <w:overflowPunct/>
              <w:autoSpaceDE/>
              <w:autoSpaceDN/>
              <w:adjustRightInd/>
              <w:jc w:val="center"/>
              <w:textAlignment w:val="auto"/>
              <w:rPr>
                <w:rFonts w:asciiTheme="majorBidi" w:hAnsiTheme="majorBidi" w:cstheme="majorBidi"/>
                <w:b/>
                <w:bCs/>
                <w:color w:val="000000"/>
                <w:sz w:val="22"/>
                <w:szCs w:val="22"/>
                <w:lang w:val="en-US" w:eastAsia="zh-CN"/>
              </w:rPr>
            </w:pPr>
            <w:r w:rsidRPr="00B35D10">
              <w:rPr>
                <w:b/>
                <w:bCs/>
                <w:color w:val="000000"/>
                <w:sz w:val="22"/>
                <w:szCs w:val="22"/>
                <w:lang w:val="en-GB"/>
              </w:rPr>
              <w:t>% par an</w:t>
            </w:r>
          </w:p>
        </w:tc>
        <w:tc>
          <w:tcPr>
            <w:tcW w:w="1418" w:type="dxa"/>
            <w:tcBorders>
              <w:top w:val="single" w:sz="4" w:space="0" w:color="auto"/>
              <w:left w:val="nil"/>
              <w:bottom w:val="single" w:sz="8" w:space="0" w:color="auto"/>
              <w:right w:val="single" w:sz="4" w:space="0" w:color="auto"/>
            </w:tcBorders>
            <w:shd w:val="clear" w:color="auto" w:fill="auto"/>
            <w:noWrap/>
          </w:tcPr>
          <w:p w:rsidR="00B35D10" w:rsidRPr="00B35D10" w:rsidRDefault="00B35D10" w:rsidP="001C1296">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38</w:t>
            </w:r>
            <w:r w:rsidR="001C1296">
              <w:rPr>
                <w:rFonts w:asciiTheme="majorBidi" w:hAnsiTheme="majorBidi" w:cstheme="majorBidi"/>
                <w:b/>
                <w:bCs/>
                <w:color w:val="000000"/>
                <w:sz w:val="22"/>
                <w:szCs w:val="22"/>
                <w:lang w:val="en-US" w:eastAsia="zh-CN"/>
              </w:rPr>
              <w:t>,</w:t>
            </w:r>
            <w:r w:rsidRPr="00B35D10">
              <w:rPr>
                <w:rFonts w:asciiTheme="majorBidi" w:hAnsiTheme="majorBidi" w:cstheme="majorBidi"/>
                <w:b/>
                <w:bCs/>
                <w:color w:val="000000"/>
                <w:sz w:val="22"/>
                <w:szCs w:val="22"/>
                <w:lang w:val="en-US" w:eastAsia="zh-CN"/>
              </w:rPr>
              <w:t>3%</w:t>
            </w:r>
          </w:p>
        </w:tc>
        <w:tc>
          <w:tcPr>
            <w:tcW w:w="1418" w:type="dxa"/>
            <w:tcBorders>
              <w:top w:val="single" w:sz="4" w:space="0" w:color="auto"/>
              <w:left w:val="nil"/>
              <w:bottom w:val="single" w:sz="8" w:space="0" w:color="auto"/>
              <w:right w:val="single" w:sz="4" w:space="0" w:color="auto"/>
            </w:tcBorders>
            <w:shd w:val="clear" w:color="auto" w:fill="auto"/>
            <w:noWrap/>
          </w:tcPr>
          <w:p w:rsidR="00B35D10" w:rsidRPr="00B35D10" w:rsidRDefault="00B35D10" w:rsidP="001C1296">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34</w:t>
            </w:r>
            <w:r w:rsidR="001C1296">
              <w:rPr>
                <w:rFonts w:asciiTheme="majorBidi" w:hAnsiTheme="majorBidi" w:cstheme="majorBidi"/>
                <w:b/>
                <w:bCs/>
                <w:color w:val="000000"/>
                <w:sz w:val="22"/>
                <w:szCs w:val="22"/>
                <w:lang w:val="en-US" w:eastAsia="zh-CN"/>
              </w:rPr>
              <w:t>,</w:t>
            </w:r>
            <w:r w:rsidRPr="00B35D10">
              <w:rPr>
                <w:rFonts w:asciiTheme="majorBidi" w:hAnsiTheme="majorBidi" w:cstheme="majorBidi"/>
                <w:b/>
                <w:bCs/>
                <w:color w:val="000000"/>
                <w:sz w:val="22"/>
                <w:szCs w:val="22"/>
                <w:lang w:val="en-US" w:eastAsia="zh-CN"/>
              </w:rPr>
              <w:t>3%</w:t>
            </w:r>
          </w:p>
        </w:tc>
        <w:tc>
          <w:tcPr>
            <w:tcW w:w="1418" w:type="dxa"/>
            <w:tcBorders>
              <w:top w:val="single" w:sz="4" w:space="0" w:color="auto"/>
              <w:left w:val="nil"/>
              <w:bottom w:val="single" w:sz="8" w:space="0" w:color="auto"/>
              <w:right w:val="single" w:sz="8" w:space="0" w:color="auto"/>
            </w:tcBorders>
            <w:shd w:val="clear" w:color="auto" w:fill="auto"/>
            <w:noWrap/>
          </w:tcPr>
          <w:p w:rsidR="00B35D10" w:rsidRPr="00B35D10" w:rsidRDefault="00B35D10" w:rsidP="001C1296">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27</w:t>
            </w:r>
            <w:r w:rsidR="001C1296">
              <w:rPr>
                <w:rFonts w:asciiTheme="majorBidi" w:hAnsiTheme="majorBidi" w:cstheme="majorBidi"/>
                <w:b/>
                <w:bCs/>
                <w:color w:val="000000"/>
                <w:sz w:val="22"/>
                <w:szCs w:val="22"/>
                <w:lang w:val="en-US" w:eastAsia="zh-CN"/>
              </w:rPr>
              <w:t>,</w:t>
            </w:r>
            <w:r w:rsidRPr="00B35D10">
              <w:rPr>
                <w:rFonts w:asciiTheme="majorBidi" w:hAnsiTheme="majorBidi" w:cstheme="majorBidi"/>
                <w:b/>
                <w:bCs/>
                <w:color w:val="000000"/>
                <w:sz w:val="22"/>
                <w:szCs w:val="22"/>
                <w:lang w:val="en-US" w:eastAsia="zh-CN"/>
              </w:rPr>
              <w:t>4%</w:t>
            </w:r>
          </w:p>
        </w:tc>
        <w:tc>
          <w:tcPr>
            <w:tcW w:w="1418" w:type="dxa"/>
            <w:tcBorders>
              <w:top w:val="single" w:sz="4" w:space="0" w:color="auto"/>
              <w:left w:val="nil"/>
              <w:bottom w:val="single" w:sz="8" w:space="0" w:color="auto"/>
              <w:right w:val="single" w:sz="4" w:space="0" w:color="auto"/>
            </w:tcBorders>
            <w:shd w:val="clear" w:color="auto" w:fill="auto"/>
            <w:noWrap/>
          </w:tcPr>
          <w:p w:rsidR="00B35D10" w:rsidRPr="00B35D10" w:rsidRDefault="00B35D10" w:rsidP="001C1296">
            <w:pPr>
              <w:jc w:val="center"/>
              <w:rPr>
                <w:rFonts w:asciiTheme="majorBidi" w:hAnsiTheme="majorBidi" w:cstheme="majorBidi"/>
                <w:b/>
                <w:bCs/>
                <w:color w:val="000000"/>
                <w:sz w:val="22"/>
                <w:szCs w:val="22"/>
                <w:lang w:val="en-US" w:eastAsia="zh-CN"/>
              </w:rPr>
            </w:pPr>
            <w:r w:rsidRPr="00B35D10">
              <w:rPr>
                <w:rFonts w:asciiTheme="majorBidi" w:hAnsiTheme="majorBidi" w:cstheme="majorBidi"/>
                <w:b/>
                <w:bCs/>
                <w:color w:val="000000"/>
                <w:sz w:val="22"/>
                <w:szCs w:val="22"/>
                <w:lang w:val="en-US" w:eastAsia="zh-CN"/>
              </w:rPr>
              <w:t>100</w:t>
            </w:r>
            <w:r w:rsidR="001C1296">
              <w:rPr>
                <w:rFonts w:asciiTheme="majorBidi" w:hAnsiTheme="majorBidi" w:cstheme="majorBidi"/>
                <w:b/>
                <w:bCs/>
                <w:color w:val="000000"/>
                <w:sz w:val="22"/>
                <w:szCs w:val="22"/>
                <w:lang w:val="en-US" w:eastAsia="zh-CN"/>
              </w:rPr>
              <w:t>,</w:t>
            </w:r>
            <w:r w:rsidRPr="00B35D10">
              <w:rPr>
                <w:rFonts w:asciiTheme="majorBidi" w:hAnsiTheme="majorBidi" w:cstheme="majorBidi"/>
                <w:b/>
                <w:bCs/>
                <w:color w:val="000000"/>
                <w:sz w:val="22"/>
                <w:szCs w:val="22"/>
                <w:lang w:val="en-US" w:eastAsia="zh-CN"/>
              </w:rPr>
              <w:t>0%</w:t>
            </w:r>
          </w:p>
        </w:tc>
        <w:tc>
          <w:tcPr>
            <w:tcW w:w="1418" w:type="dxa"/>
            <w:tcBorders>
              <w:top w:val="single" w:sz="4" w:space="0" w:color="auto"/>
              <w:left w:val="nil"/>
              <w:bottom w:val="single" w:sz="8" w:space="0" w:color="auto"/>
              <w:right w:val="single" w:sz="8" w:space="0" w:color="auto"/>
            </w:tcBorders>
            <w:shd w:val="clear" w:color="auto" w:fill="auto"/>
            <w:noWrap/>
          </w:tcPr>
          <w:p w:rsidR="00B35D10" w:rsidRPr="00B35D10" w:rsidRDefault="00B35D10" w:rsidP="00B35D10">
            <w:pPr>
              <w:jc w:val="center"/>
              <w:rPr>
                <w:rFonts w:asciiTheme="majorBidi" w:hAnsiTheme="majorBidi" w:cstheme="majorBidi"/>
                <w:b/>
                <w:bCs/>
                <w:color w:val="000000"/>
                <w:sz w:val="22"/>
                <w:szCs w:val="22"/>
                <w:lang w:val="en-US" w:eastAsia="zh-CN"/>
              </w:rPr>
            </w:pPr>
          </w:p>
        </w:tc>
      </w:tr>
    </w:tbl>
    <w:p w:rsidR="00A20AEB" w:rsidRPr="008653E6" w:rsidRDefault="00A20AEB" w:rsidP="00A20AEB">
      <w:pPr>
        <w:pStyle w:val="Heading4"/>
      </w:pPr>
      <w:r w:rsidRPr="008653E6">
        <w:t>8.1.4.3</w:t>
      </w:r>
      <w:r w:rsidRPr="008653E6">
        <w:tab/>
        <w:t>Rapports UIT-R</w:t>
      </w:r>
    </w:p>
    <w:p w:rsidR="00A20AEB" w:rsidRPr="008653E6" w:rsidRDefault="00A20AEB" w:rsidP="001C1296">
      <w:pPr>
        <w:rPr>
          <w:lang w:val="fr-CH" w:eastAsia="zh-CN"/>
        </w:rPr>
      </w:pPr>
      <w:r w:rsidRPr="008653E6">
        <w:t xml:space="preserve">Comme pour les Recommandations UIT-R, les </w:t>
      </w:r>
      <w:r w:rsidR="001C1296" w:rsidRPr="008653E6">
        <w:t>R</w:t>
      </w:r>
      <w:r w:rsidRPr="008653E6">
        <w:t>apports UIT-R ont été diffusés dans le monde entier et sont devenus une référence universelle qui touche tous les publics, quelle que soit leur situation économique. Au cours d</w:t>
      </w:r>
      <w:r w:rsidR="00D3135C">
        <w:t>'</w:t>
      </w:r>
      <w:r w:rsidRPr="008653E6">
        <w:t>une période de 36 mois (janvier 2013</w:t>
      </w:r>
      <w:r w:rsidR="004B4525">
        <w:t xml:space="preserve"> à décembre 2015), près de 4,5 </w:t>
      </w:r>
      <w:r w:rsidRPr="008653E6">
        <w:t>millions de té</w:t>
      </w:r>
      <w:r w:rsidR="004B4525">
        <w:t xml:space="preserve">léchargements </w:t>
      </w:r>
      <w:r w:rsidRPr="008653E6">
        <w:t xml:space="preserve">de </w:t>
      </w:r>
      <w:r w:rsidR="00D04881" w:rsidRPr="008653E6">
        <w:t>R</w:t>
      </w:r>
      <w:r w:rsidRPr="008653E6">
        <w:t>apports UIT-R (depuis le site web de l</w:t>
      </w:r>
      <w:r w:rsidR="00D3135C">
        <w:t>'</w:t>
      </w:r>
      <w:r w:rsidRPr="008653E6">
        <w:t>UIT) ont été enregistrés.</w:t>
      </w:r>
      <w:r w:rsidRPr="008653E6">
        <w:rPr>
          <w:lang w:val="fr-CH" w:eastAsia="zh-CN"/>
        </w:rPr>
        <w:t xml:space="preserve"> </w:t>
      </w:r>
      <w:r w:rsidRPr="008653E6">
        <w:t xml:space="preserve">Le </w:t>
      </w:r>
      <w:r w:rsidRPr="008653E6">
        <w:rPr>
          <w:rFonts w:asciiTheme="majorBidi" w:hAnsiTheme="majorBidi" w:cstheme="majorBidi"/>
          <w:szCs w:val="24"/>
          <w:lang w:val="fr-CH" w:eastAsia="zh-CN"/>
        </w:rPr>
        <w:t xml:space="preserve">Tableau 8.1.4.3-1 </w:t>
      </w:r>
      <w:r w:rsidRPr="008653E6">
        <w:t>illustre la répartition de ces téléchargements par année et par série</w:t>
      </w:r>
      <w:r w:rsidRPr="008653E6">
        <w:rPr>
          <w:rFonts w:asciiTheme="majorBidi" w:hAnsiTheme="majorBidi" w:cstheme="majorBidi"/>
          <w:szCs w:val="24"/>
          <w:lang w:val="fr-CH" w:eastAsia="zh-CN"/>
        </w:rPr>
        <w:t>. On recense aujourd</w:t>
      </w:r>
      <w:r w:rsidR="00D3135C">
        <w:rPr>
          <w:rFonts w:asciiTheme="majorBidi" w:hAnsiTheme="majorBidi" w:cstheme="majorBidi"/>
          <w:szCs w:val="24"/>
          <w:lang w:val="fr-CH" w:eastAsia="zh-CN"/>
        </w:rPr>
        <w:t>'</w:t>
      </w:r>
      <w:r w:rsidRPr="008653E6">
        <w:rPr>
          <w:rFonts w:asciiTheme="majorBidi" w:hAnsiTheme="majorBidi" w:cstheme="majorBidi"/>
          <w:szCs w:val="24"/>
          <w:lang w:val="fr-CH" w:eastAsia="zh-CN"/>
        </w:rPr>
        <w:t xml:space="preserve">hui </w:t>
      </w:r>
      <w:r w:rsidRPr="008653E6">
        <w:t>410 </w:t>
      </w:r>
      <w:r w:rsidR="00BE0203" w:rsidRPr="008653E6">
        <w:t>R</w:t>
      </w:r>
      <w:r w:rsidRPr="008653E6">
        <w:t>apports UIT-R en vigueur et le nombre moyen de téléchargements s</w:t>
      </w:r>
      <w:r w:rsidR="00D3135C">
        <w:t>'</w:t>
      </w:r>
      <w:r w:rsidRPr="008653E6">
        <w:t xml:space="preserve">établit à près de </w:t>
      </w:r>
      <w:r w:rsidR="004B4525">
        <w:rPr>
          <w:lang w:val="fr-CH" w:eastAsia="zh-CN"/>
        </w:rPr>
        <w:t>8 000 par rapport.</w:t>
      </w:r>
    </w:p>
    <w:p w:rsidR="00BC0CAD" w:rsidRDefault="00BC0CAD">
      <w:pPr>
        <w:tabs>
          <w:tab w:val="clear" w:pos="794"/>
          <w:tab w:val="clear" w:pos="1191"/>
          <w:tab w:val="clear" w:pos="1588"/>
          <w:tab w:val="clear" w:pos="1985"/>
        </w:tabs>
        <w:overflowPunct/>
        <w:autoSpaceDE/>
        <w:autoSpaceDN/>
        <w:adjustRightInd/>
        <w:spacing w:before="0"/>
        <w:textAlignment w:val="auto"/>
        <w:rPr>
          <w:rFonts w:ascii="Calibri" w:hAnsi="Calibri"/>
        </w:rPr>
      </w:pPr>
      <w:r>
        <w:rPr>
          <w:caps/>
        </w:rPr>
        <w:br w:type="page"/>
      </w:r>
    </w:p>
    <w:p w:rsidR="00A20AEB" w:rsidRPr="00D04881" w:rsidRDefault="00A20AEB" w:rsidP="00A20AEB">
      <w:pPr>
        <w:pStyle w:val="TableNo"/>
        <w:rPr>
          <w:rFonts w:ascii="Times New Roman" w:hAnsi="Times New Roman"/>
          <w:lang w:val="fr-CH"/>
        </w:rPr>
      </w:pPr>
      <w:r w:rsidRPr="00D04881">
        <w:rPr>
          <w:rFonts w:ascii="Times New Roman" w:hAnsi="Times New Roman"/>
          <w:lang w:val="fr-CH"/>
        </w:rPr>
        <w:t>TABLEAU 8.1.4.3-1</w:t>
      </w:r>
    </w:p>
    <w:p w:rsidR="00A20AEB" w:rsidRPr="00D04881" w:rsidRDefault="00A20AEB" w:rsidP="00A20AEB">
      <w:pPr>
        <w:pStyle w:val="Tabletitle"/>
        <w:rPr>
          <w:rFonts w:ascii="Times New Roman" w:hAnsi="Times New Roman"/>
          <w:sz w:val="24"/>
        </w:rPr>
      </w:pPr>
      <w:r w:rsidRPr="00D04881">
        <w:rPr>
          <w:rFonts w:ascii="Times New Roman" w:hAnsi="Times New Roman"/>
          <w:sz w:val="24"/>
        </w:rPr>
        <w:t>Répartition des Rapports UIT-R</w:t>
      </w:r>
    </w:p>
    <w:tbl>
      <w:tblPr>
        <w:tblW w:w="8692" w:type="dxa"/>
        <w:jc w:val="center"/>
        <w:tblLook w:val="04A0" w:firstRow="1" w:lastRow="0" w:firstColumn="1" w:lastColumn="0" w:noHBand="0" w:noVBand="1"/>
      </w:tblPr>
      <w:tblGrid>
        <w:gridCol w:w="1448"/>
        <w:gridCol w:w="1448"/>
        <w:gridCol w:w="1449"/>
        <w:gridCol w:w="1449"/>
        <w:gridCol w:w="1449"/>
        <w:gridCol w:w="1449"/>
      </w:tblGrid>
      <w:tr w:rsidR="00A20AEB" w:rsidRPr="004B4525" w:rsidTr="004B4525">
        <w:trPr>
          <w:trHeight w:val="315"/>
          <w:jc w:val="center"/>
        </w:trPr>
        <w:tc>
          <w:tcPr>
            <w:tcW w:w="1448" w:type="dxa"/>
            <w:tcBorders>
              <w:top w:val="single" w:sz="8" w:space="0" w:color="auto"/>
              <w:left w:val="single" w:sz="8" w:space="0" w:color="auto"/>
              <w:bottom w:val="single" w:sz="8" w:space="0" w:color="auto"/>
              <w:right w:val="nil"/>
            </w:tcBorders>
            <w:shd w:val="clear" w:color="auto" w:fill="auto"/>
            <w:noWrap/>
            <w:vAlign w:val="bottom"/>
            <w:hideMark/>
          </w:tcPr>
          <w:p w:rsidR="00A20AEB" w:rsidRPr="004B4525" w:rsidRDefault="004B4525" w:rsidP="00BE0203">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S</w:t>
            </w:r>
            <w:r w:rsidR="00BE0203">
              <w:rPr>
                <w:rFonts w:asciiTheme="majorBidi" w:hAnsiTheme="majorBidi" w:cstheme="majorBidi"/>
                <w:b/>
                <w:bCs/>
                <w:color w:val="000000"/>
                <w:sz w:val="22"/>
                <w:szCs w:val="22"/>
                <w:lang w:val="en-US" w:eastAsia="zh-CN"/>
              </w:rPr>
              <w:t>É</w:t>
            </w:r>
            <w:r w:rsidRPr="004B4525">
              <w:rPr>
                <w:rFonts w:asciiTheme="majorBidi" w:hAnsiTheme="majorBidi" w:cstheme="majorBidi"/>
                <w:b/>
                <w:bCs/>
                <w:color w:val="000000"/>
                <w:sz w:val="22"/>
                <w:szCs w:val="22"/>
                <w:lang w:val="en-US" w:eastAsia="zh-CN"/>
              </w:rPr>
              <w:t>RIE</w:t>
            </w:r>
          </w:p>
        </w:tc>
        <w:tc>
          <w:tcPr>
            <w:tcW w:w="14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20AEB" w:rsidRPr="004B4525"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2013</w:t>
            </w:r>
          </w:p>
        </w:tc>
        <w:tc>
          <w:tcPr>
            <w:tcW w:w="1449" w:type="dxa"/>
            <w:tcBorders>
              <w:top w:val="single" w:sz="8" w:space="0" w:color="auto"/>
              <w:left w:val="nil"/>
              <w:bottom w:val="single" w:sz="8" w:space="0" w:color="auto"/>
              <w:right w:val="single" w:sz="4" w:space="0" w:color="auto"/>
            </w:tcBorders>
            <w:shd w:val="clear" w:color="auto" w:fill="auto"/>
            <w:noWrap/>
            <w:vAlign w:val="bottom"/>
            <w:hideMark/>
          </w:tcPr>
          <w:p w:rsidR="00A20AEB" w:rsidRPr="004B4525"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2014</w:t>
            </w:r>
          </w:p>
        </w:tc>
        <w:tc>
          <w:tcPr>
            <w:tcW w:w="1449" w:type="dxa"/>
            <w:tcBorders>
              <w:top w:val="single" w:sz="8" w:space="0" w:color="auto"/>
              <w:left w:val="nil"/>
              <w:bottom w:val="single" w:sz="8" w:space="0" w:color="auto"/>
              <w:right w:val="single" w:sz="8" w:space="0" w:color="auto"/>
            </w:tcBorders>
            <w:shd w:val="clear" w:color="auto" w:fill="auto"/>
            <w:noWrap/>
            <w:vAlign w:val="bottom"/>
            <w:hideMark/>
          </w:tcPr>
          <w:p w:rsidR="00A20AEB" w:rsidRPr="004B4525"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2015</w:t>
            </w:r>
          </w:p>
        </w:tc>
        <w:tc>
          <w:tcPr>
            <w:tcW w:w="1449" w:type="dxa"/>
            <w:tcBorders>
              <w:top w:val="single" w:sz="8" w:space="0" w:color="auto"/>
              <w:left w:val="nil"/>
              <w:bottom w:val="single" w:sz="8" w:space="0" w:color="auto"/>
              <w:right w:val="single" w:sz="4" w:space="0" w:color="auto"/>
            </w:tcBorders>
            <w:shd w:val="clear" w:color="auto" w:fill="auto"/>
            <w:noWrap/>
            <w:vAlign w:val="bottom"/>
            <w:hideMark/>
          </w:tcPr>
          <w:p w:rsidR="00A20AEB" w:rsidRPr="004B4525"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TOTAL</w:t>
            </w:r>
          </w:p>
        </w:tc>
        <w:tc>
          <w:tcPr>
            <w:tcW w:w="1449" w:type="dxa"/>
            <w:tcBorders>
              <w:top w:val="single" w:sz="8" w:space="0" w:color="auto"/>
              <w:left w:val="nil"/>
              <w:bottom w:val="single" w:sz="8" w:space="0" w:color="auto"/>
              <w:right w:val="single" w:sz="8" w:space="0" w:color="auto"/>
            </w:tcBorders>
            <w:shd w:val="clear" w:color="auto" w:fill="auto"/>
            <w:noWrap/>
            <w:vAlign w:val="bottom"/>
            <w:hideMark/>
          </w:tcPr>
          <w:p w:rsidR="00A20AEB" w:rsidRPr="004B4525" w:rsidRDefault="00A20AEB" w:rsidP="00E3472E">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M</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395</w:t>
            </w:r>
            <w:r w:rsidR="00BC0CAD">
              <w:rPr>
                <w:color w:val="000000"/>
                <w:sz w:val="22"/>
                <w:szCs w:val="22"/>
              </w:rPr>
              <w:t xml:space="preserve"> </w:t>
            </w:r>
            <w:r w:rsidRPr="004B4525">
              <w:rPr>
                <w:color w:val="000000"/>
                <w:sz w:val="22"/>
                <w:szCs w:val="22"/>
              </w:rPr>
              <w:t>360</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515</w:t>
            </w:r>
            <w:r w:rsidR="00BC0CAD">
              <w:rPr>
                <w:color w:val="000000"/>
                <w:sz w:val="22"/>
                <w:szCs w:val="22"/>
              </w:rPr>
              <w:t xml:space="preserve"> </w:t>
            </w:r>
            <w:r w:rsidRPr="004B4525">
              <w:rPr>
                <w:color w:val="000000"/>
                <w:sz w:val="22"/>
                <w:szCs w:val="22"/>
              </w:rPr>
              <w:t>745</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636</w:t>
            </w:r>
            <w:r w:rsidR="00BC0CAD">
              <w:rPr>
                <w:color w:val="000000"/>
                <w:sz w:val="22"/>
                <w:szCs w:val="22"/>
              </w:rPr>
              <w:t xml:space="preserve"> </w:t>
            </w:r>
            <w:r w:rsidRPr="004B4525">
              <w:rPr>
                <w:color w:val="000000"/>
                <w:sz w:val="22"/>
                <w:szCs w:val="22"/>
              </w:rPr>
              <w:t>116</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 xml:space="preserve"> </w:t>
            </w:r>
            <w:r w:rsidRPr="004B4525">
              <w:rPr>
                <w:b/>
                <w:bCs/>
                <w:color w:val="000000"/>
                <w:sz w:val="22"/>
                <w:szCs w:val="22"/>
              </w:rPr>
              <w:t>547</w:t>
            </w:r>
            <w:r w:rsidR="00BC0CAD">
              <w:rPr>
                <w:b/>
                <w:bCs/>
                <w:color w:val="000000"/>
                <w:sz w:val="22"/>
                <w:szCs w:val="22"/>
              </w:rPr>
              <w:t xml:space="preserve"> </w:t>
            </w:r>
            <w:r w:rsidRPr="004B4525">
              <w:rPr>
                <w:b/>
                <w:bCs/>
                <w:color w:val="000000"/>
                <w:sz w:val="22"/>
                <w:szCs w:val="22"/>
              </w:rPr>
              <w:t>221</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33</w:t>
            </w:r>
            <w:r w:rsidR="00BC0CAD">
              <w:rPr>
                <w:b/>
                <w:bCs/>
                <w:color w:val="000000"/>
                <w:sz w:val="22"/>
                <w:szCs w:val="22"/>
              </w:rPr>
              <w:t>,</w:t>
            </w:r>
            <w:r w:rsidRPr="004B4525">
              <w:rPr>
                <w:b/>
                <w:bCs/>
                <w:color w:val="000000"/>
                <w:sz w:val="22"/>
                <w:szCs w:val="22"/>
              </w:rPr>
              <w:t>2%</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BT</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363</w:t>
            </w:r>
            <w:r w:rsidR="00BC0CAD">
              <w:rPr>
                <w:color w:val="000000"/>
                <w:sz w:val="22"/>
                <w:szCs w:val="22"/>
              </w:rPr>
              <w:t xml:space="preserve"> </w:t>
            </w:r>
            <w:r w:rsidRPr="004B4525">
              <w:rPr>
                <w:color w:val="000000"/>
                <w:sz w:val="22"/>
                <w:szCs w:val="22"/>
              </w:rPr>
              <w:t>675</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342</w:t>
            </w:r>
            <w:r w:rsidR="00BC0CAD">
              <w:rPr>
                <w:color w:val="000000"/>
                <w:sz w:val="22"/>
                <w:szCs w:val="22"/>
              </w:rPr>
              <w:t xml:space="preserve"> </w:t>
            </w:r>
            <w:r w:rsidRPr="004B4525">
              <w:rPr>
                <w:color w:val="000000"/>
                <w:sz w:val="22"/>
                <w:szCs w:val="22"/>
              </w:rPr>
              <w:t>768</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330</w:t>
            </w:r>
            <w:r w:rsidR="00BC0CAD">
              <w:rPr>
                <w:color w:val="000000"/>
                <w:sz w:val="22"/>
                <w:szCs w:val="22"/>
              </w:rPr>
              <w:t xml:space="preserve"> </w:t>
            </w:r>
            <w:r w:rsidRPr="004B4525">
              <w:rPr>
                <w:color w:val="000000"/>
                <w:sz w:val="22"/>
                <w:szCs w:val="22"/>
              </w:rPr>
              <w:t>089</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 xml:space="preserve"> </w:t>
            </w:r>
            <w:r w:rsidRPr="004B4525">
              <w:rPr>
                <w:b/>
                <w:bCs/>
                <w:color w:val="000000"/>
                <w:sz w:val="22"/>
                <w:szCs w:val="22"/>
              </w:rPr>
              <w:t>036</w:t>
            </w:r>
            <w:r w:rsidR="00BC0CAD">
              <w:rPr>
                <w:b/>
                <w:bCs/>
                <w:color w:val="000000"/>
                <w:sz w:val="22"/>
                <w:szCs w:val="22"/>
              </w:rPr>
              <w:t xml:space="preserve"> </w:t>
            </w:r>
            <w:r w:rsidRPr="004B4525">
              <w:rPr>
                <w:b/>
                <w:bCs/>
                <w:color w:val="000000"/>
                <w:sz w:val="22"/>
                <w:szCs w:val="22"/>
              </w:rPr>
              <w:t>532</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22</w:t>
            </w:r>
            <w:r w:rsidR="00BC0CAD">
              <w:rPr>
                <w:b/>
                <w:bCs/>
                <w:color w:val="000000"/>
                <w:sz w:val="22"/>
                <w:szCs w:val="22"/>
              </w:rPr>
              <w:t>,</w:t>
            </w:r>
            <w:r w:rsidRPr="004B4525">
              <w:rPr>
                <w:b/>
                <w:bCs/>
                <w:color w:val="000000"/>
                <w:sz w:val="22"/>
                <w:szCs w:val="22"/>
              </w:rPr>
              <w:t>3%</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SM</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224</w:t>
            </w:r>
            <w:r w:rsidR="00BC0CAD">
              <w:rPr>
                <w:color w:val="000000"/>
                <w:sz w:val="22"/>
                <w:szCs w:val="22"/>
              </w:rPr>
              <w:t xml:space="preserve"> </w:t>
            </w:r>
            <w:r w:rsidRPr="004B4525">
              <w:rPr>
                <w:color w:val="000000"/>
                <w:sz w:val="22"/>
                <w:szCs w:val="22"/>
              </w:rPr>
              <w:t>747</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293</w:t>
            </w:r>
            <w:r w:rsidR="00BC0CAD">
              <w:rPr>
                <w:color w:val="000000"/>
                <w:sz w:val="22"/>
                <w:szCs w:val="22"/>
              </w:rPr>
              <w:t xml:space="preserve"> </w:t>
            </w:r>
            <w:r w:rsidRPr="004B4525">
              <w:rPr>
                <w:color w:val="000000"/>
                <w:sz w:val="22"/>
                <w:szCs w:val="22"/>
              </w:rPr>
              <w:t>305</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320</w:t>
            </w:r>
            <w:r w:rsidR="00BC0CAD">
              <w:rPr>
                <w:color w:val="000000"/>
                <w:sz w:val="22"/>
                <w:szCs w:val="22"/>
              </w:rPr>
              <w:t xml:space="preserve"> </w:t>
            </w:r>
            <w:r w:rsidRPr="004B4525">
              <w:rPr>
                <w:color w:val="000000"/>
                <w:sz w:val="22"/>
                <w:szCs w:val="22"/>
              </w:rPr>
              <w:t>550</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838</w:t>
            </w:r>
            <w:r w:rsidR="00BC0CAD">
              <w:rPr>
                <w:b/>
                <w:bCs/>
                <w:color w:val="000000"/>
                <w:sz w:val="22"/>
                <w:szCs w:val="22"/>
              </w:rPr>
              <w:t xml:space="preserve"> </w:t>
            </w:r>
            <w:r w:rsidRPr="004B4525">
              <w:rPr>
                <w:b/>
                <w:bCs/>
                <w:color w:val="000000"/>
                <w:sz w:val="22"/>
                <w:szCs w:val="22"/>
              </w:rPr>
              <w:t>602</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18</w:t>
            </w:r>
            <w:r w:rsidR="00BC0CAD">
              <w:rPr>
                <w:b/>
                <w:bCs/>
                <w:color w:val="000000"/>
                <w:sz w:val="22"/>
                <w:szCs w:val="22"/>
              </w:rPr>
              <w:t>,</w:t>
            </w:r>
            <w:r w:rsidRPr="004B4525">
              <w:rPr>
                <w:b/>
                <w:bCs/>
                <w:color w:val="000000"/>
                <w:sz w:val="22"/>
                <w:szCs w:val="22"/>
              </w:rPr>
              <w:t>0%</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BS</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106</w:t>
            </w:r>
            <w:r w:rsidR="00BC0CAD">
              <w:rPr>
                <w:color w:val="000000"/>
                <w:sz w:val="22"/>
                <w:szCs w:val="22"/>
              </w:rPr>
              <w:t xml:space="preserve"> </w:t>
            </w:r>
            <w:r w:rsidRPr="004B4525">
              <w:rPr>
                <w:color w:val="000000"/>
                <w:sz w:val="22"/>
                <w:szCs w:val="22"/>
              </w:rPr>
              <w:t>279</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156</w:t>
            </w:r>
            <w:r w:rsidR="00BC0CAD">
              <w:rPr>
                <w:color w:val="000000"/>
                <w:sz w:val="22"/>
                <w:szCs w:val="22"/>
              </w:rPr>
              <w:t xml:space="preserve"> </w:t>
            </w:r>
            <w:r w:rsidRPr="004B4525">
              <w:rPr>
                <w:color w:val="000000"/>
                <w:sz w:val="22"/>
                <w:szCs w:val="22"/>
              </w:rPr>
              <w:t>835</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166</w:t>
            </w:r>
            <w:r w:rsidR="00BC0CAD">
              <w:rPr>
                <w:color w:val="000000"/>
                <w:sz w:val="22"/>
                <w:szCs w:val="22"/>
              </w:rPr>
              <w:t xml:space="preserve"> </w:t>
            </w:r>
            <w:r w:rsidRPr="004B4525">
              <w:rPr>
                <w:color w:val="000000"/>
                <w:sz w:val="22"/>
                <w:szCs w:val="22"/>
              </w:rPr>
              <w:t>269</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429</w:t>
            </w:r>
            <w:r w:rsidR="00BC0CAD">
              <w:rPr>
                <w:b/>
                <w:bCs/>
                <w:color w:val="000000"/>
                <w:sz w:val="22"/>
                <w:szCs w:val="22"/>
              </w:rPr>
              <w:t xml:space="preserve"> </w:t>
            </w:r>
            <w:r w:rsidRPr="004B4525">
              <w:rPr>
                <w:b/>
                <w:bCs/>
                <w:color w:val="000000"/>
                <w:sz w:val="22"/>
                <w:szCs w:val="22"/>
              </w:rPr>
              <w:t>383</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9</w:t>
            </w:r>
            <w:r w:rsidR="00BC0CAD">
              <w:rPr>
                <w:b/>
                <w:bCs/>
                <w:color w:val="000000"/>
                <w:sz w:val="22"/>
                <w:szCs w:val="22"/>
              </w:rPr>
              <w:t>,</w:t>
            </w:r>
            <w:r w:rsidRPr="004B4525">
              <w:rPr>
                <w:b/>
                <w:bCs/>
                <w:color w:val="000000"/>
                <w:sz w:val="22"/>
                <w:szCs w:val="22"/>
              </w:rPr>
              <w:t>2%</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BO</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78</w:t>
            </w:r>
            <w:r w:rsidR="00BC0CAD">
              <w:rPr>
                <w:color w:val="000000"/>
                <w:sz w:val="22"/>
                <w:szCs w:val="22"/>
              </w:rPr>
              <w:t xml:space="preserve"> </w:t>
            </w:r>
            <w:r w:rsidRPr="004B4525">
              <w:rPr>
                <w:color w:val="000000"/>
                <w:sz w:val="22"/>
                <w:szCs w:val="22"/>
              </w:rPr>
              <w:t>401</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104</w:t>
            </w:r>
            <w:r w:rsidR="00BC0CAD">
              <w:rPr>
                <w:color w:val="000000"/>
                <w:sz w:val="22"/>
                <w:szCs w:val="22"/>
              </w:rPr>
              <w:t xml:space="preserve"> </w:t>
            </w:r>
            <w:r w:rsidRPr="004B4525">
              <w:rPr>
                <w:color w:val="000000"/>
                <w:sz w:val="22"/>
                <w:szCs w:val="22"/>
              </w:rPr>
              <w:t>646</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128</w:t>
            </w:r>
            <w:r w:rsidR="00BC0CAD">
              <w:rPr>
                <w:color w:val="000000"/>
                <w:sz w:val="22"/>
                <w:szCs w:val="22"/>
              </w:rPr>
              <w:t xml:space="preserve"> </w:t>
            </w:r>
            <w:r w:rsidRPr="004B4525">
              <w:rPr>
                <w:color w:val="000000"/>
                <w:sz w:val="22"/>
                <w:szCs w:val="22"/>
              </w:rPr>
              <w:t>055</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311</w:t>
            </w:r>
            <w:r w:rsidR="00BC0CAD">
              <w:rPr>
                <w:b/>
                <w:bCs/>
                <w:color w:val="000000"/>
                <w:sz w:val="22"/>
                <w:szCs w:val="22"/>
              </w:rPr>
              <w:t xml:space="preserve"> </w:t>
            </w:r>
            <w:r w:rsidRPr="004B4525">
              <w:rPr>
                <w:b/>
                <w:bCs/>
                <w:color w:val="000000"/>
                <w:sz w:val="22"/>
                <w:szCs w:val="22"/>
              </w:rPr>
              <w:t>102</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6</w:t>
            </w:r>
            <w:r w:rsidR="00BC0CAD">
              <w:rPr>
                <w:b/>
                <w:bCs/>
                <w:color w:val="000000"/>
                <w:sz w:val="22"/>
                <w:szCs w:val="22"/>
              </w:rPr>
              <w:t>,</w:t>
            </w:r>
            <w:r w:rsidRPr="004B4525">
              <w:rPr>
                <w:b/>
                <w:bCs/>
                <w:color w:val="000000"/>
                <w:sz w:val="22"/>
                <w:szCs w:val="22"/>
              </w:rPr>
              <w:t>7%</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P</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57</w:t>
            </w:r>
            <w:r w:rsidR="00BC0CAD">
              <w:rPr>
                <w:color w:val="000000"/>
                <w:sz w:val="22"/>
                <w:szCs w:val="22"/>
              </w:rPr>
              <w:t xml:space="preserve"> </w:t>
            </w:r>
            <w:r w:rsidRPr="004B4525">
              <w:rPr>
                <w:color w:val="000000"/>
                <w:sz w:val="22"/>
                <w:szCs w:val="22"/>
              </w:rPr>
              <w:t>317</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79</w:t>
            </w:r>
            <w:r w:rsidR="00BC0CAD">
              <w:rPr>
                <w:color w:val="000000"/>
                <w:sz w:val="22"/>
                <w:szCs w:val="22"/>
              </w:rPr>
              <w:t xml:space="preserve"> </w:t>
            </w:r>
            <w:r w:rsidRPr="004B4525">
              <w:rPr>
                <w:color w:val="000000"/>
                <w:sz w:val="22"/>
                <w:szCs w:val="22"/>
              </w:rPr>
              <w:t>659</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93</w:t>
            </w:r>
            <w:r w:rsidR="00BC0CAD">
              <w:rPr>
                <w:color w:val="000000"/>
                <w:sz w:val="22"/>
                <w:szCs w:val="22"/>
              </w:rPr>
              <w:t xml:space="preserve"> </w:t>
            </w:r>
            <w:r w:rsidRPr="004B4525">
              <w:rPr>
                <w:color w:val="000000"/>
                <w:sz w:val="22"/>
                <w:szCs w:val="22"/>
              </w:rPr>
              <w:t>578</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230</w:t>
            </w:r>
            <w:r w:rsidR="00BC0CAD">
              <w:rPr>
                <w:b/>
                <w:bCs/>
                <w:color w:val="000000"/>
                <w:sz w:val="22"/>
                <w:szCs w:val="22"/>
              </w:rPr>
              <w:t xml:space="preserve"> </w:t>
            </w:r>
            <w:r w:rsidRPr="004B4525">
              <w:rPr>
                <w:b/>
                <w:bCs/>
                <w:color w:val="000000"/>
                <w:sz w:val="22"/>
                <w:szCs w:val="22"/>
              </w:rPr>
              <w:t>554</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5</w:t>
            </w:r>
            <w:r w:rsidR="00BC0CAD">
              <w:rPr>
                <w:b/>
                <w:bCs/>
                <w:color w:val="000000"/>
                <w:sz w:val="22"/>
                <w:szCs w:val="22"/>
              </w:rPr>
              <w:t>,</w:t>
            </w:r>
            <w:r w:rsidRPr="004B4525">
              <w:rPr>
                <w:b/>
                <w:bCs/>
                <w:color w:val="000000"/>
                <w:sz w:val="22"/>
                <w:szCs w:val="22"/>
              </w:rPr>
              <w:t>0%</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S</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27</w:t>
            </w:r>
            <w:r w:rsidR="00BC0CAD">
              <w:rPr>
                <w:color w:val="000000"/>
                <w:sz w:val="22"/>
                <w:szCs w:val="22"/>
              </w:rPr>
              <w:t xml:space="preserve"> </w:t>
            </w:r>
            <w:r w:rsidRPr="004B4525">
              <w:rPr>
                <w:color w:val="000000"/>
                <w:sz w:val="22"/>
                <w:szCs w:val="22"/>
              </w:rPr>
              <w:t>643</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29</w:t>
            </w:r>
            <w:r w:rsidR="00BC0CAD">
              <w:rPr>
                <w:color w:val="000000"/>
                <w:sz w:val="22"/>
                <w:szCs w:val="22"/>
              </w:rPr>
              <w:t xml:space="preserve"> </w:t>
            </w:r>
            <w:r w:rsidRPr="004B4525">
              <w:rPr>
                <w:color w:val="000000"/>
                <w:sz w:val="22"/>
                <w:szCs w:val="22"/>
              </w:rPr>
              <w:t>009</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38</w:t>
            </w:r>
            <w:r w:rsidR="00BC0CAD">
              <w:rPr>
                <w:color w:val="000000"/>
                <w:sz w:val="22"/>
                <w:szCs w:val="22"/>
              </w:rPr>
              <w:t xml:space="preserve"> </w:t>
            </w:r>
            <w:r w:rsidRPr="004B4525">
              <w:rPr>
                <w:color w:val="000000"/>
                <w:sz w:val="22"/>
                <w:szCs w:val="22"/>
              </w:rPr>
              <w:t>545</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95</w:t>
            </w:r>
            <w:r w:rsidR="00BC0CAD">
              <w:rPr>
                <w:b/>
                <w:bCs/>
                <w:color w:val="000000"/>
                <w:sz w:val="22"/>
                <w:szCs w:val="22"/>
              </w:rPr>
              <w:t xml:space="preserve"> </w:t>
            </w:r>
            <w:r w:rsidRPr="004B4525">
              <w:rPr>
                <w:b/>
                <w:bCs/>
                <w:color w:val="000000"/>
                <w:sz w:val="22"/>
                <w:szCs w:val="22"/>
              </w:rPr>
              <w:t>197</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2</w:t>
            </w:r>
            <w:r w:rsidR="00BC0CAD">
              <w:rPr>
                <w:b/>
                <w:bCs/>
                <w:color w:val="000000"/>
                <w:sz w:val="22"/>
                <w:szCs w:val="22"/>
              </w:rPr>
              <w:t>,</w:t>
            </w:r>
            <w:r w:rsidRPr="004B4525">
              <w:rPr>
                <w:b/>
                <w:bCs/>
                <w:color w:val="000000"/>
                <w:sz w:val="22"/>
                <w:szCs w:val="22"/>
              </w:rPr>
              <w:t>0%</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F</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17</w:t>
            </w:r>
            <w:r w:rsidR="00BC0CAD">
              <w:rPr>
                <w:color w:val="000000"/>
                <w:sz w:val="22"/>
                <w:szCs w:val="22"/>
              </w:rPr>
              <w:t xml:space="preserve"> </w:t>
            </w:r>
            <w:r w:rsidRPr="004B4525">
              <w:rPr>
                <w:color w:val="000000"/>
                <w:sz w:val="22"/>
                <w:szCs w:val="22"/>
              </w:rPr>
              <w:t>971</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21</w:t>
            </w:r>
            <w:r w:rsidR="00BC0CAD">
              <w:rPr>
                <w:color w:val="000000"/>
                <w:sz w:val="22"/>
                <w:szCs w:val="22"/>
              </w:rPr>
              <w:t xml:space="preserve"> </w:t>
            </w:r>
            <w:r w:rsidRPr="004B4525">
              <w:rPr>
                <w:color w:val="000000"/>
                <w:sz w:val="22"/>
                <w:szCs w:val="22"/>
              </w:rPr>
              <w:t>030</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31</w:t>
            </w:r>
            <w:r w:rsidR="00BC0CAD">
              <w:rPr>
                <w:color w:val="000000"/>
                <w:sz w:val="22"/>
                <w:szCs w:val="22"/>
              </w:rPr>
              <w:t xml:space="preserve"> </w:t>
            </w:r>
            <w:r w:rsidRPr="004B4525">
              <w:rPr>
                <w:color w:val="000000"/>
                <w:sz w:val="22"/>
                <w:szCs w:val="22"/>
              </w:rPr>
              <w:t>778</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70</w:t>
            </w:r>
            <w:r w:rsidR="00BC0CAD">
              <w:rPr>
                <w:b/>
                <w:bCs/>
                <w:color w:val="000000"/>
                <w:sz w:val="22"/>
                <w:szCs w:val="22"/>
              </w:rPr>
              <w:t xml:space="preserve"> </w:t>
            </w:r>
            <w:r w:rsidRPr="004B4525">
              <w:rPr>
                <w:b/>
                <w:bCs/>
                <w:color w:val="000000"/>
                <w:sz w:val="22"/>
                <w:szCs w:val="22"/>
              </w:rPr>
              <w:t>779</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w:t>
            </w:r>
            <w:r w:rsidRPr="004B4525">
              <w:rPr>
                <w:b/>
                <w:bCs/>
                <w:color w:val="000000"/>
                <w:sz w:val="22"/>
                <w:szCs w:val="22"/>
              </w:rPr>
              <w:t>5%</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RS</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12</w:t>
            </w:r>
            <w:r w:rsidR="00BC0CAD">
              <w:rPr>
                <w:color w:val="000000"/>
                <w:sz w:val="22"/>
                <w:szCs w:val="22"/>
              </w:rPr>
              <w:t xml:space="preserve"> </w:t>
            </w:r>
            <w:r w:rsidRPr="004B4525">
              <w:rPr>
                <w:color w:val="000000"/>
                <w:sz w:val="22"/>
                <w:szCs w:val="22"/>
              </w:rPr>
              <w:t>049</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12</w:t>
            </w:r>
            <w:r w:rsidR="00BC0CAD">
              <w:rPr>
                <w:color w:val="000000"/>
                <w:sz w:val="22"/>
                <w:szCs w:val="22"/>
              </w:rPr>
              <w:t xml:space="preserve"> </w:t>
            </w:r>
            <w:r w:rsidRPr="004B4525">
              <w:rPr>
                <w:color w:val="000000"/>
                <w:sz w:val="22"/>
                <w:szCs w:val="22"/>
              </w:rPr>
              <w:t>476</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22</w:t>
            </w:r>
            <w:r w:rsidR="00BC0CAD">
              <w:rPr>
                <w:color w:val="000000"/>
                <w:sz w:val="22"/>
                <w:szCs w:val="22"/>
              </w:rPr>
              <w:t xml:space="preserve"> </w:t>
            </w:r>
            <w:r w:rsidRPr="004B4525">
              <w:rPr>
                <w:color w:val="000000"/>
                <w:sz w:val="22"/>
                <w:szCs w:val="22"/>
              </w:rPr>
              <w:t>542</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47</w:t>
            </w:r>
            <w:r w:rsidR="00BC0CAD">
              <w:rPr>
                <w:b/>
                <w:bCs/>
                <w:color w:val="000000"/>
                <w:sz w:val="22"/>
                <w:szCs w:val="22"/>
              </w:rPr>
              <w:t xml:space="preserve"> </w:t>
            </w:r>
            <w:r w:rsidRPr="004B4525">
              <w:rPr>
                <w:b/>
                <w:bCs/>
                <w:color w:val="000000"/>
                <w:sz w:val="22"/>
                <w:szCs w:val="22"/>
              </w:rPr>
              <w:t>067</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w:t>
            </w:r>
            <w:r w:rsidRPr="004B4525">
              <w:rPr>
                <w:b/>
                <w:bCs/>
                <w:color w:val="000000"/>
                <w:sz w:val="22"/>
                <w:szCs w:val="22"/>
              </w:rPr>
              <w:t>0%</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RA</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8</w:t>
            </w:r>
            <w:r w:rsidR="00BC0CAD">
              <w:rPr>
                <w:color w:val="000000"/>
                <w:sz w:val="22"/>
                <w:szCs w:val="22"/>
              </w:rPr>
              <w:t xml:space="preserve"> </w:t>
            </w:r>
            <w:r w:rsidRPr="004B4525">
              <w:rPr>
                <w:color w:val="000000"/>
                <w:sz w:val="22"/>
                <w:szCs w:val="22"/>
              </w:rPr>
              <w:t>542</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6</w:t>
            </w:r>
            <w:r w:rsidR="00BC0CAD">
              <w:rPr>
                <w:color w:val="000000"/>
                <w:sz w:val="22"/>
                <w:szCs w:val="22"/>
              </w:rPr>
              <w:t xml:space="preserve"> </w:t>
            </w:r>
            <w:r w:rsidRPr="004B4525">
              <w:rPr>
                <w:color w:val="000000"/>
                <w:sz w:val="22"/>
                <w:szCs w:val="22"/>
              </w:rPr>
              <w:t>575</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8</w:t>
            </w:r>
            <w:r w:rsidR="00BC0CAD">
              <w:rPr>
                <w:color w:val="000000"/>
                <w:sz w:val="22"/>
                <w:szCs w:val="22"/>
              </w:rPr>
              <w:t xml:space="preserve"> </w:t>
            </w:r>
            <w:r w:rsidRPr="004B4525">
              <w:rPr>
                <w:color w:val="000000"/>
                <w:sz w:val="22"/>
                <w:szCs w:val="22"/>
              </w:rPr>
              <w:t>791</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23</w:t>
            </w:r>
            <w:r w:rsidR="00BC0CAD">
              <w:rPr>
                <w:b/>
                <w:bCs/>
                <w:color w:val="000000"/>
                <w:sz w:val="22"/>
                <w:szCs w:val="22"/>
              </w:rPr>
              <w:t xml:space="preserve"> </w:t>
            </w:r>
            <w:r w:rsidRPr="004B4525">
              <w:rPr>
                <w:b/>
                <w:bCs/>
                <w:color w:val="000000"/>
                <w:sz w:val="22"/>
                <w:szCs w:val="22"/>
              </w:rPr>
              <w:t>908</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0</w:t>
            </w:r>
            <w:r w:rsidR="00BC0CAD">
              <w:rPr>
                <w:b/>
                <w:bCs/>
                <w:color w:val="000000"/>
                <w:sz w:val="22"/>
                <w:szCs w:val="22"/>
              </w:rPr>
              <w:t>,</w:t>
            </w:r>
            <w:r w:rsidRPr="004B4525">
              <w:rPr>
                <w:b/>
                <w:bCs/>
                <w:color w:val="000000"/>
                <w:sz w:val="22"/>
                <w:szCs w:val="22"/>
              </w:rPr>
              <w:t>5%</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SA</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4</w:t>
            </w:r>
            <w:r w:rsidR="00BC0CAD">
              <w:rPr>
                <w:color w:val="000000"/>
                <w:sz w:val="22"/>
                <w:szCs w:val="22"/>
              </w:rPr>
              <w:t xml:space="preserve"> </w:t>
            </w:r>
            <w:r w:rsidRPr="004B4525">
              <w:rPr>
                <w:color w:val="000000"/>
                <w:sz w:val="22"/>
                <w:szCs w:val="22"/>
              </w:rPr>
              <w:t>190</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7</w:t>
            </w:r>
            <w:r w:rsidR="00BC0CAD">
              <w:rPr>
                <w:color w:val="000000"/>
                <w:sz w:val="22"/>
                <w:szCs w:val="22"/>
              </w:rPr>
              <w:t xml:space="preserve"> </w:t>
            </w:r>
            <w:r w:rsidRPr="004B4525">
              <w:rPr>
                <w:color w:val="000000"/>
                <w:sz w:val="22"/>
                <w:szCs w:val="22"/>
              </w:rPr>
              <w:t>690</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11</w:t>
            </w:r>
            <w:r w:rsidR="00BC0CAD">
              <w:rPr>
                <w:color w:val="000000"/>
                <w:sz w:val="22"/>
                <w:szCs w:val="22"/>
              </w:rPr>
              <w:t xml:space="preserve"> </w:t>
            </w:r>
            <w:r w:rsidRPr="004B4525">
              <w:rPr>
                <w:color w:val="000000"/>
                <w:sz w:val="22"/>
                <w:szCs w:val="22"/>
              </w:rPr>
              <w:t>291</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23</w:t>
            </w:r>
            <w:r w:rsidR="00BC0CAD">
              <w:rPr>
                <w:b/>
                <w:bCs/>
                <w:color w:val="000000"/>
                <w:sz w:val="22"/>
                <w:szCs w:val="22"/>
              </w:rPr>
              <w:t xml:space="preserve"> </w:t>
            </w:r>
            <w:r w:rsidRPr="004B4525">
              <w:rPr>
                <w:b/>
                <w:bCs/>
                <w:color w:val="000000"/>
                <w:sz w:val="22"/>
                <w:szCs w:val="22"/>
              </w:rPr>
              <w:t>171</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0</w:t>
            </w:r>
            <w:r w:rsidR="00BC0CAD">
              <w:rPr>
                <w:b/>
                <w:bCs/>
                <w:color w:val="000000"/>
                <w:sz w:val="22"/>
                <w:szCs w:val="22"/>
              </w:rPr>
              <w:t>,</w:t>
            </w:r>
            <w:r w:rsidRPr="004B4525">
              <w:rPr>
                <w:b/>
                <w:bCs/>
                <w:color w:val="000000"/>
                <w:sz w:val="22"/>
                <w:szCs w:val="22"/>
              </w:rPr>
              <w:t>5%</w:t>
            </w:r>
          </w:p>
        </w:tc>
      </w:tr>
      <w:tr w:rsidR="004B4525" w:rsidRPr="004B4525" w:rsidTr="004B4525">
        <w:trPr>
          <w:trHeight w:val="300"/>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SF</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490</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533</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695</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 xml:space="preserve"> </w:t>
            </w:r>
            <w:r w:rsidRPr="004B4525">
              <w:rPr>
                <w:b/>
                <w:bCs/>
                <w:color w:val="000000"/>
                <w:sz w:val="22"/>
                <w:szCs w:val="22"/>
              </w:rPr>
              <w:t>718</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0</w:t>
            </w:r>
            <w:r w:rsidR="00BC0CAD">
              <w:rPr>
                <w:b/>
                <w:bCs/>
                <w:color w:val="000000"/>
                <w:sz w:val="22"/>
                <w:szCs w:val="22"/>
              </w:rPr>
              <w:t>,</w:t>
            </w:r>
            <w:r w:rsidRPr="004B4525">
              <w:rPr>
                <w:b/>
                <w:bCs/>
                <w:color w:val="000000"/>
                <w:sz w:val="22"/>
                <w:szCs w:val="22"/>
              </w:rPr>
              <w:t>0%</w:t>
            </w:r>
          </w:p>
        </w:tc>
      </w:tr>
      <w:tr w:rsidR="004B4525" w:rsidRPr="004B4525" w:rsidTr="004B4525">
        <w:trPr>
          <w:trHeight w:val="315"/>
          <w:jc w:val="center"/>
        </w:trPr>
        <w:tc>
          <w:tcPr>
            <w:tcW w:w="1448" w:type="dxa"/>
            <w:tcBorders>
              <w:top w:val="nil"/>
              <w:left w:val="single" w:sz="8" w:space="0" w:color="auto"/>
              <w:bottom w:val="single" w:sz="4" w:space="0" w:color="auto"/>
              <w:right w:val="nil"/>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BR</w:t>
            </w:r>
          </w:p>
        </w:tc>
        <w:tc>
          <w:tcPr>
            <w:tcW w:w="1448" w:type="dxa"/>
            <w:tcBorders>
              <w:top w:val="nil"/>
              <w:left w:val="single" w:sz="8" w:space="0" w:color="auto"/>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132</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103</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color w:val="000000"/>
                <w:sz w:val="22"/>
                <w:szCs w:val="22"/>
              </w:rPr>
            </w:pPr>
            <w:r w:rsidRPr="004B4525">
              <w:rPr>
                <w:color w:val="000000"/>
                <w:sz w:val="22"/>
                <w:szCs w:val="22"/>
              </w:rPr>
              <w:t>178</w:t>
            </w:r>
          </w:p>
        </w:tc>
        <w:tc>
          <w:tcPr>
            <w:tcW w:w="1449" w:type="dxa"/>
            <w:tcBorders>
              <w:top w:val="nil"/>
              <w:left w:val="nil"/>
              <w:bottom w:val="single" w:sz="4" w:space="0" w:color="auto"/>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413</w:t>
            </w:r>
          </w:p>
        </w:tc>
        <w:tc>
          <w:tcPr>
            <w:tcW w:w="1449" w:type="dxa"/>
            <w:tcBorders>
              <w:top w:val="nil"/>
              <w:left w:val="nil"/>
              <w:bottom w:val="single" w:sz="4"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0</w:t>
            </w:r>
            <w:r w:rsidR="00BC0CAD">
              <w:rPr>
                <w:b/>
                <w:bCs/>
                <w:color w:val="000000"/>
                <w:sz w:val="22"/>
                <w:szCs w:val="22"/>
              </w:rPr>
              <w:t>,</w:t>
            </w:r>
            <w:r w:rsidRPr="004B4525">
              <w:rPr>
                <w:b/>
                <w:bCs/>
                <w:color w:val="000000"/>
                <w:sz w:val="22"/>
                <w:szCs w:val="22"/>
              </w:rPr>
              <w:t>0%</w:t>
            </w:r>
          </w:p>
        </w:tc>
      </w:tr>
      <w:tr w:rsidR="004B4525" w:rsidRPr="004B4525" w:rsidTr="004B4525">
        <w:trPr>
          <w:trHeight w:val="315"/>
          <w:jc w:val="center"/>
        </w:trPr>
        <w:tc>
          <w:tcPr>
            <w:tcW w:w="1448" w:type="dxa"/>
            <w:tcBorders>
              <w:top w:val="single" w:sz="8" w:space="0" w:color="auto"/>
              <w:left w:val="single" w:sz="8" w:space="0" w:color="auto"/>
              <w:bottom w:val="single" w:sz="8" w:space="0" w:color="auto"/>
              <w:right w:val="nil"/>
            </w:tcBorders>
            <w:shd w:val="clear" w:color="auto" w:fill="auto"/>
            <w:noWrap/>
            <w:vAlign w:val="bottom"/>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color w:val="000000"/>
                <w:sz w:val="22"/>
                <w:szCs w:val="22"/>
                <w:lang w:val="en-US" w:eastAsia="zh-CN"/>
              </w:rPr>
            </w:pPr>
            <w:r w:rsidRPr="004B4525">
              <w:rPr>
                <w:rFonts w:asciiTheme="majorBidi" w:hAnsiTheme="majorBidi" w:cstheme="majorBidi"/>
                <w:color w:val="000000"/>
                <w:sz w:val="22"/>
                <w:szCs w:val="22"/>
                <w:lang w:val="en-US" w:eastAsia="zh-CN"/>
              </w:rPr>
              <w:t> </w:t>
            </w:r>
          </w:p>
        </w:tc>
        <w:tc>
          <w:tcPr>
            <w:tcW w:w="1448" w:type="dxa"/>
            <w:tcBorders>
              <w:top w:val="single" w:sz="8" w:space="0" w:color="auto"/>
              <w:left w:val="nil"/>
              <w:bottom w:val="single" w:sz="8" w:space="0" w:color="auto"/>
              <w:right w:val="nil"/>
            </w:tcBorders>
            <w:shd w:val="clear" w:color="auto" w:fill="auto"/>
            <w:noWrap/>
            <w:hideMark/>
          </w:tcPr>
          <w:p w:rsidR="004B4525" w:rsidRPr="004B4525" w:rsidRDefault="004B4525" w:rsidP="004B4525">
            <w:pPr>
              <w:jc w:val="center"/>
              <w:rPr>
                <w:color w:val="000000"/>
                <w:sz w:val="22"/>
                <w:szCs w:val="22"/>
              </w:rPr>
            </w:pPr>
          </w:p>
        </w:tc>
        <w:tc>
          <w:tcPr>
            <w:tcW w:w="1449" w:type="dxa"/>
            <w:tcBorders>
              <w:top w:val="single" w:sz="8" w:space="0" w:color="auto"/>
              <w:left w:val="nil"/>
              <w:bottom w:val="single" w:sz="8" w:space="0" w:color="auto"/>
              <w:right w:val="nil"/>
            </w:tcBorders>
            <w:shd w:val="clear" w:color="auto" w:fill="auto"/>
            <w:noWrap/>
            <w:hideMark/>
          </w:tcPr>
          <w:p w:rsidR="004B4525" w:rsidRPr="004B4525" w:rsidRDefault="004B4525" w:rsidP="004B4525">
            <w:pPr>
              <w:jc w:val="center"/>
              <w:rPr>
                <w:color w:val="000000"/>
                <w:sz w:val="22"/>
                <w:szCs w:val="22"/>
              </w:rPr>
            </w:pPr>
          </w:p>
        </w:tc>
        <w:tc>
          <w:tcPr>
            <w:tcW w:w="1449" w:type="dxa"/>
            <w:tcBorders>
              <w:top w:val="single" w:sz="8" w:space="0" w:color="auto"/>
              <w:left w:val="nil"/>
              <w:bottom w:val="single" w:sz="8" w:space="0" w:color="auto"/>
              <w:right w:val="nil"/>
            </w:tcBorders>
            <w:shd w:val="clear" w:color="auto" w:fill="auto"/>
            <w:noWrap/>
            <w:hideMark/>
          </w:tcPr>
          <w:p w:rsidR="004B4525" w:rsidRPr="004B4525" w:rsidRDefault="004B4525" w:rsidP="004B4525">
            <w:pPr>
              <w:jc w:val="center"/>
              <w:rPr>
                <w:color w:val="000000"/>
                <w:sz w:val="22"/>
                <w:szCs w:val="22"/>
              </w:rPr>
            </w:pPr>
          </w:p>
        </w:tc>
        <w:tc>
          <w:tcPr>
            <w:tcW w:w="1449" w:type="dxa"/>
            <w:tcBorders>
              <w:top w:val="single" w:sz="8" w:space="0" w:color="auto"/>
              <w:left w:val="nil"/>
              <w:bottom w:val="single" w:sz="8" w:space="0" w:color="auto"/>
              <w:right w:val="nil"/>
            </w:tcBorders>
            <w:shd w:val="clear" w:color="auto" w:fill="auto"/>
            <w:noWrap/>
            <w:hideMark/>
          </w:tcPr>
          <w:p w:rsidR="004B4525" w:rsidRPr="004B4525" w:rsidRDefault="004B4525" w:rsidP="004B4525">
            <w:pPr>
              <w:jc w:val="center"/>
              <w:rPr>
                <w:b/>
                <w:bCs/>
                <w:color w:val="000000"/>
                <w:sz w:val="22"/>
                <w:szCs w:val="22"/>
              </w:rPr>
            </w:pPr>
          </w:p>
        </w:tc>
        <w:tc>
          <w:tcPr>
            <w:tcW w:w="1449" w:type="dxa"/>
            <w:tcBorders>
              <w:top w:val="single" w:sz="8" w:space="0" w:color="auto"/>
              <w:left w:val="nil"/>
              <w:bottom w:val="single" w:sz="8" w:space="0" w:color="auto"/>
              <w:right w:val="single" w:sz="8" w:space="0" w:color="auto"/>
            </w:tcBorders>
            <w:shd w:val="clear" w:color="auto" w:fill="auto"/>
            <w:noWrap/>
            <w:hideMark/>
          </w:tcPr>
          <w:p w:rsidR="004B4525" w:rsidRPr="004B4525" w:rsidRDefault="004B4525" w:rsidP="004B4525">
            <w:pPr>
              <w:jc w:val="center"/>
              <w:rPr>
                <w:b/>
                <w:bCs/>
                <w:color w:val="000000"/>
                <w:sz w:val="22"/>
                <w:szCs w:val="22"/>
              </w:rPr>
            </w:pPr>
          </w:p>
        </w:tc>
      </w:tr>
      <w:tr w:rsidR="004B4525" w:rsidRPr="004B4525" w:rsidTr="004B4525">
        <w:trPr>
          <w:trHeight w:val="315"/>
          <w:jc w:val="center"/>
        </w:trPr>
        <w:tc>
          <w:tcPr>
            <w:tcW w:w="1448" w:type="dxa"/>
            <w:tcBorders>
              <w:top w:val="nil"/>
              <w:left w:val="single" w:sz="8" w:space="0" w:color="auto"/>
              <w:bottom w:val="nil"/>
              <w:right w:val="single" w:sz="8" w:space="0" w:color="auto"/>
            </w:tcBorders>
            <w:shd w:val="clear" w:color="auto" w:fill="auto"/>
            <w:noWrap/>
            <w:vAlign w:val="center"/>
            <w:hideMark/>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rFonts w:asciiTheme="majorBidi" w:hAnsiTheme="majorBidi" w:cstheme="majorBidi"/>
                <w:b/>
                <w:bCs/>
                <w:color w:val="000000"/>
                <w:sz w:val="22"/>
                <w:szCs w:val="22"/>
                <w:lang w:val="en-US" w:eastAsia="zh-CN"/>
              </w:rPr>
              <w:t>TOTAL</w:t>
            </w:r>
          </w:p>
        </w:tc>
        <w:tc>
          <w:tcPr>
            <w:tcW w:w="1448" w:type="dxa"/>
            <w:tcBorders>
              <w:top w:val="nil"/>
              <w:left w:val="nil"/>
              <w:bottom w:val="nil"/>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 xml:space="preserve"> </w:t>
            </w:r>
            <w:r w:rsidRPr="004B4525">
              <w:rPr>
                <w:b/>
                <w:bCs/>
                <w:color w:val="000000"/>
                <w:sz w:val="22"/>
                <w:szCs w:val="22"/>
              </w:rPr>
              <w:t>296</w:t>
            </w:r>
            <w:r w:rsidR="00BC0CAD">
              <w:rPr>
                <w:b/>
                <w:bCs/>
                <w:color w:val="000000"/>
                <w:sz w:val="22"/>
                <w:szCs w:val="22"/>
              </w:rPr>
              <w:t xml:space="preserve"> </w:t>
            </w:r>
            <w:r w:rsidRPr="004B4525">
              <w:rPr>
                <w:b/>
                <w:bCs/>
                <w:color w:val="000000"/>
                <w:sz w:val="22"/>
                <w:szCs w:val="22"/>
              </w:rPr>
              <w:t>796</w:t>
            </w:r>
          </w:p>
        </w:tc>
        <w:tc>
          <w:tcPr>
            <w:tcW w:w="1449" w:type="dxa"/>
            <w:tcBorders>
              <w:top w:val="nil"/>
              <w:left w:val="nil"/>
              <w:bottom w:val="nil"/>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 xml:space="preserve"> </w:t>
            </w:r>
            <w:r w:rsidRPr="004B4525">
              <w:rPr>
                <w:b/>
                <w:bCs/>
                <w:color w:val="000000"/>
                <w:sz w:val="22"/>
                <w:szCs w:val="22"/>
              </w:rPr>
              <w:t>570</w:t>
            </w:r>
            <w:r w:rsidR="00BC0CAD">
              <w:rPr>
                <w:b/>
                <w:bCs/>
                <w:color w:val="000000"/>
                <w:sz w:val="22"/>
                <w:szCs w:val="22"/>
              </w:rPr>
              <w:t xml:space="preserve"> </w:t>
            </w:r>
            <w:r w:rsidRPr="004B4525">
              <w:rPr>
                <w:b/>
                <w:bCs/>
                <w:color w:val="000000"/>
                <w:sz w:val="22"/>
                <w:szCs w:val="22"/>
              </w:rPr>
              <w:t>374</w:t>
            </w:r>
          </w:p>
        </w:tc>
        <w:tc>
          <w:tcPr>
            <w:tcW w:w="1449" w:type="dxa"/>
            <w:tcBorders>
              <w:top w:val="nil"/>
              <w:left w:val="nil"/>
              <w:bottom w:val="nil"/>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w:t>
            </w:r>
            <w:r w:rsidR="00BC0CAD">
              <w:rPr>
                <w:b/>
                <w:bCs/>
                <w:color w:val="000000"/>
                <w:sz w:val="22"/>
                <w:szCs w:val="22"/>
              </w:rPr>
              <w:t xml:space="preserve"> </w:t>
            </w:r>
            <w:r w:rsidRPr="004B4525">
              <w:rPr>
                <w:b/>
                <w:bCs/>
                <w:color w:val="000000"/>
                <w:sz w:val="22"/>
                <w:szCs w:val="22"/>
              </w:rPr>
              <w:t>788</w:t>
            </w:r>
            <w:r w:rsidR="00BC0CAD">
              <w:rPr>
                <w:b/>
                <w:bCs/>
                <w:color w:val="000000"/>
                <w:sz w:val="22"/>
                <w:szCs w:val="22"/>
              </w:rPr>
              <w:t xml:space="preserve"> </w:t>
            </w:r>
            <w:r w:rsidRPr="004B4525">
              <w:rPr>
                <w:b/>
                <w:bCs/>
                <w:color w:val="000000"/>
                <w:sz w:val="22"/>
                <w:szCs w:val="22"/>
              </w:rPr>
              <w:t>477</w:t>
            </w:r>
          </w:p>
        </w:tc>
        <w:tc>
          <w:tcPr>
            <w:tcW w:w="1449" w:type="dxa"/>
            <w:tcBorders>
              <w:top w:val="nil"/>
              <w:left w:val="nil"/>
              <w:bottom w:val="nil"/>
              <w:right w:val="single" w:sz="4"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4</w:t>
            </w:r>
            <w:r w:rsidR="00BC0CAD">
              <w:rPr>
                <w:b/>
                <w:bCs/>
                <w:color w:val="000000"/>
                <w:sz w:val="22"/>
                <w:szCs w:val="22"/>
              </w:rPr>
              <w:t xml:space="preserve"> </w:t>
            </w:r>
            <w:r w:rsidRPr="004B4525">
              <w:rPr>
                <w:b/>
                <w:bCs/>
                <w:color w:val="000000"/>
                <w:sz w:val="22"/>
                <w:szCs w:val="22"/>
              </w:rPr>
              <w:t>655</w:t>
            </w:r>
            <w:r w:rsidR="00BC0CAD">
              <w:rPr>
                <w:b/>
                <w:bCs/>
                <w:color w:val="000000"/>
                <w:sz w:val="22"/>
                <w:szCs w:val="22"/>
              </w:rPr>
              <w:t xml:space="preserve"> </w:t>
            </w:r>
            <w:r w:rsidRPr="004B4525">
              <w:rPr>
                <w:b/>
                <w:bCs/>
                <w:color w:val="000000"/>
                <w:sz w:val="22"/>
                <w:szCs w:val="22"/>
              </w:rPr>
              <w:t>647</w:t>
            </w:r>
          </w:p>
        </w:tc>
        <w:tc>
          <w:tcPr>
            <w:tcW w:w="1449" w:type="dxa"/>
            <w:tcBorders>
              <w:top w:val="nil"/>
              <w:left w:val="nil"/>
              <w:bottom w:val="nil"/>
              <w:right w:val="single" w:sz="8" w:space="0" w:color="auto"/>
            </w:tcBorders>
            <w:shd w:val="clear" w:color="auto" w:fill="auto"/>
            <w:noWrap/>
            <w:hideMark/>
          </w:tcPr>
          <w:p w:rsidR="004B4525" w:rsidRPr="004B4525" w:rsidRDefault="004B4525" w:rsidP="004B4525">
            <w:pPr>
              <w:jc w:val="center"/>
              <w:rPr>
                <w:b/>
                <w:bCs/>
                <w:color w:val="000000"/>
                <w:sz w:val="22"/>
                <w:szCs w:val="22"/>
              </w:rPr>
            </w:pPr>
            <w:r w:rsidRPr="004B4525">
              <w:rPr>
                <w:b/>
                <w:bCs/>
                <w:color w:val="000000"/>
                <w:sz w:val="22"/>
                <w:szCs w:val="22"/>
              </w:rPr>
              <w:t>100</w:t>
            </w:r>
            <w:r w:rsidR="00BC0CAD">
              <w:rPr>
                <w:b/>
                <w:bCs/>
                <w:color w:val="000000"/>
                <w:sz w:val="22"/>
                <w:szCs w:val="22"/>
              </w:rPr>
              <w:t>,</w:t>
            </w:r>
            <w:r w:rsidRPr="004B4525">
              <w:rPr>
                <w:b/>
                <w:bCs/>
                <w:color w:val="000000"/>
                <w:sz w:val="22"/>
                <w:szCs w:val="22"/>
              </w:rPr>
              <w:t>00%</w:t>
            </w:r>
          </w:p>
        </w:tc>
      </w:tr>
      <w:tr w:rsidR="004B4525" w:rsidRPr="004B4525" w:rsidTr="004B4525">
        <w:trPr>
          <w:trHeight w:val="315"/>
          <w:jc w:val="center"/>
        </w:trPr>
        <w:tc>
          <w:tcPr>
            <w:tcW w:w="1448" w:type="dxa"/>
            <w:tcBorders>
              <w:top w:val="nil"/>
              <w:left w:val="single" w:sz="8" w:space="0" w:color="auto"/>
              <w:bottom w:val="single" w:sz="8" w:space="0" w:color="auto"/>
              <w:right w:val="single" w:sz="8" w:space="0" w:color="auto"/>
            </w:tcBorders>
            <w:shd w:val="clear" w:color="auto" w:fill="auto"/>
            <w:noWrap/>
            <w:vAlign w:val="center"/>
          </w:tcPr>
          <w:p w:rsidR="004B4525" w:rsidRPr="004B4525" w:rsidRDefault="004B4525" w:rsidP="004B4525">
            <w:pPr>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4B4525">
              <w:rPr>
                <w:b/>
                <w:bCs/>
                <w:color w:val="000000"/>
                <w:sz w:val="22"/>
                <w:szCs w:val="22"/>
              </w:rPr>
              <w:t>% par an</w:t>
            </w:r>
          </w:p>
        </w:tc>
        <w:tc>
          <w:tcPr>
            <w:tcW w:w="1448" w:type="dxa"/>
            <w:tcBorders>
              <w:top w:val="nil"/>
              <w:left w:val="nil"/>
              <w:bottom w:val="single" w:sz="8" w:space="0" w:color="auto"/>
              <w:right w:val="single" w:sz="4" w:space="0" w:color="auto"/>
            </w:tcBorders>
            <w:shd w:val="clear" w:color="auto" w:fill="auto"/>
            <w:noWrap/>
          </w:tcPr>
          <w:p w:rsidR="004B4525" w:rsidRPr="004B4525" w:rsidRDefault="004B4525" w:rsidP="00BC0CAD">
            <w:pPr>
              <w:jc w:val="center"/>
              <w:rPr>
                <w:b/>
                <w:bCs/>
                <w:color w:val="000000"/>
                <w:sz w:val="22"/>
                <w:szCs w:val="22"/>
              </w:rPr>
            </w:pPr>
            <w:r w:rsidRPr="004B4525">
              <w:rPr>
                <w:b/>
                <w:bCs/>
                <w:color w:val="000000"/>
                <w:sz w:val="22"/>
                <w:szCs w:val="22"/>
              </w:rPr>
              <w:t>27</w:t>
            </w:r>
            <w:r w:rsidR="00BC0CAD">
              <w:rPr>
                <w:b/>
                <w:bCs/>
                <w:color w:val="000000"/>
                <w:sz w:val="22"/>
                <w:szCs w:val="22"/>
              </w:rPr>
              <w:t>,</w:t>
            </w:r>
            <w:r w:rsidRPr="004B4525">
              <w:rPr>
                <w:b/>
                <w:bCs/>
                <w:color w:val="000000"/>
                <w:sz w:val="22"/>
                <w:szCs w:val="22"/>
              </w:rPr>
              <w:t>9%</w:t>
            </w:r>
          </w:p>
        </w:tc>
        <w:tc>
          <w:tcPr>
            <w:tcW w:w="1449" w:type="dxa"/>
            <w:tcBorders>
              <w:top w:val="nil"/>
              <w:left w:val="nil"/>
              <w:bottom w:val="single" w:sz="8" w:space="0" w:color="auto"/>
              <w:right w:val="single" w:sz="4" w:space="0" w:color="auto"/>
            </w:tcBorders>
            <w:shd w:val="clear" w:color="auto" w:fill="auto"/>
            <w:noWrap/>
          </w:tcPr>
          <w:p w:rsidR="004B4525" w:rsidRPr="004B4525" w:rsidRDefault="004B4525" w:rsidP="00BC0CAD">
            <w:pPr>
              <w:jc w:val="center"/>
              <w:rPr>
                <w:b/>
                <w:bCs/>
                <w:color w:val="000000"/>
                <w:sz w:val="22"/>
                <w:szCs w:val="22"/>
              </w:rPr>
            </w:pPr>
            <w:r w:rsidRPr="004B4525">
              <w:rPr>
                <w:b/>
                <w:bCs/>
                <w:color w:val="000000"/>
                <w:sz w:val="22"/>
                <w:szCs w:val="22"/>
              </w:rPr>
              <w:t>33</w:t>
            </w:r>
            <w:r w:rsidR="00BC0CAD">
              <w:rPr>
                <w:b/>
                <w:bCs/>
                <w:color w:val="000000"/>
                <w:sz w:val="22"/>
                <w:szCs w:val="22"/>
              </w:rPr>
              <w:t>,</w:t>
            </w:r>
            <w:r w:rsidRPr="004B4525">
              <w:rPr>
                <w:b/>
                <w:bCs/>
                <w:color w:val="000000"/>
                <w:sz w:val="22"/>
                <w:szCs w:val="22"/>
              </w:rPr>
              <w:t>7%</w:t>
            </w:r>
          </w:p>
        </w:tc>
        <w:tc>
          <w:tcPr>
            <w:tcW w:w="1449" w:type="dxa"/>
            <w:tcBorders>
              <w:top w:val="nil"/>
              <w:left w:val="nil"/>
              <w:bottom w:val="single" w:sz="8" w:space="0" w:color="auto"/>
              <w:right w:val="single" w:sz="8" w:space="0" w:color="auto"/>
            </w:tcBorders>
            <w:shd w:val="clear" w:color="auto" w:fill="auto"/>
            <w:noWrap/>
          </w:tcPr>
          <w:p w:rsidR="004B4525" w:rsidRPr="004B4525" w:rsidRDefault="004B4525" w:rsidP="00BC0CAD">
            <w:pPr>
              <w:jc w:val="center"/>
              <w:rPr>
                <w:b/>
                <w:bCs/>
                <w:color w:val="000000"/>
                <w:sz w:val="22"/>
                <w:szCs w:val="22"/>
              </w:rPr>
            </w:pPr>
            <w:r w:rsidRPr="004B4525">
              <w:rPr>
                <w:b/>
                <w:bCs/>
                <w:color w:val="000000"/>
                <w:sz w:val="22"/>
                <w:szCs w:val="22"/>
              </w:rPr>
              <w:t>38</w:t>
            </w:r>
            <w:r w:rsidR="00BC0CAD">
              <w:rPr>
                <w:b/>
                <w:bCs/>
                <w:color w:val="000000"/>
                <w:sz w:val="22"/>
                <w:szCs w:val="22"/>
              </w:rPr>
              <w:t>,</w:t>
            </w:r>
            <w:r w:rsidRPr="004B4525">
              <w:rPr>
                <w:b/>
                <w:bCs/>
                <w:color w:val="000000"/>
                <w:sz w:val="22"/>
                <w:szCs w:val="22"/>
              </w:rPr>
              <w:t>4%</w:t>
            </w:r>
          </w:p>
        </w:tc>
        <w:tc>
          <w:tcPr>
            <w:tcW w:w="1449" w:type="dxa"/>
            <w:tcBorders>
              <w:top w:val="nil"/>
              <w:left w:val="nil"/>
              <w:bottom w:val="single" w:sz="8" w:space="0" w:color="auto"/>
              <w:right w:val="single" w:sz="4" w:space="0" w:color="auto"/>
            </w:tcBorders>
            <w:shd w:val="clear" w:color="auto" w:fill="auto"/>
            <w:noWrap/>
          </w:tcPr>
          <w:p w:rsidR="004B4525" w:rsidRPr="004B4525" w:rsidRDefault="004B4525" w:rsidP="00BC0CAD">
            <w:pPr>
              <w:jc w:val="center"/>
              <w:rPr>
                <w:b/>
                <w:bCs/>
                <w:color w:val="000000"/>
                <w:sz w:val="22"/>
                <w:szCs w:val="22"/>
              </w:rPr>
            </w:pPr>
            <w:r w:rsidRPr="004B4525">
              <w:rPr>
                <w:b/>
                <w:bCs/>
                <w:color w:val="000000"/>
                <w:sz w:val="22"/>
                <w:szCs w:val="22"/>
              </w:rPr>
              <w:t>100</w:t>
            </w:r>
            <w:r w:rsidR="00BC0CAD">
              <w:rPr>
                <w:b/>
                <w:bCs/>
                <w:color w:val="000000"/>
                <w:sz w:val="22"/>
                <w:szCs w:val="22"/>
              </w:rPr>
              <w:t>,</w:t>
            </w:r>
            <w:r w:rsidRPr="004B4525">
              <w:rPr>
                <w:b/>
                <w:bCs/>
                <w:color w:val="000000"/>
                <w:sz w:val="22"/>
                <w:szCs w:val="22"/>
              </w:rPr>
              <w:t>0%</w:t>
            </w:r>
          </w:p>
        </w:tc>
        <w:tc>
          <w:tcPr>
            <w:tcW w:w="1449" w:type="dxa"/>
            <w:tcBorders>
              <w:top w:val="nil"/>
              <w:left w:val="nil"/>
              <w:bottom w:val="single" w:sz="8" w:space="0" w:color="auto"/>
              <w:right w:val="single" w:sz="8" w:space="0" w:color="auto"/>
            </w:tcBorders>
            <w:shd w:val="clear" w:color="auto" w:fill="auto"/>
            <w:noWrap/>
          </w:tcPr>
          <w:p w:rsidR="004B4525" w:rsidRPr="004B4525" w:rsidRDefault="004B4525" w:rsidP="004B4525">
            <w:pPr>
              <w:jc w:val="center"/>
              <w:rPr>
                <w:rFonts w:ascii="Calibri" w:hAnsi="Calibri"/>
                <w:b/>
                <w:bCs/>
                <w:color w:val="000000"/>
                <w:sz w:val="22"/>
                <w:szCs w:val="22"/>
              </w:rPr>
            </w:pPr>
          </w:p>
        </w:tc>
      </w:tr>
    </w:tbl>
    <w:p w:rsidR="00A20AEB" w:rsidRPr="008653E6" w:rsidRDefault="00A20AEB" w:rsidP="00A20AEB">
      <w:pPr>
        <w:pStyle w:val="Heading4"/>
      </w:pPr>
      <w:r w:rsidRPr="008653E6">
        <w:t>8.1.4.4</w:t>
      </w:r>
      <w:r w:rsidRPr="008653E6">
        <w:tab/>
      </w:r>
      <w:r w:rsidRPr="008653E6">
        <w:rPr>
          <w:color w:val="000000"/>
        </w:rPr>
        <w:t>Manuels sur la gestion du spectre des fréquences radioélectriques</w:t>
      </w:r>
    </w:p>
    <w:p w:rsidR="00A20AEB" w:rsidRPr="008653E6" w:rsidRDefault="00A20AEB" w:rsidP="00A20AEB">
      <w:r w:rsidRPr="008653E6">
        <w:t>Depuis la décision prise par le Conseil à sa session de 2013, le nombre de téléchargements continue d</w:t>
      </w:r>
      <w:r w:rsidR="00D3135C">
        <w:t>'</w:t>
      </w:r>
      <w:r w:rsidRPr="008653E6">
        <w:t>augmenter, ainsi qu</w:t>
      </w:r>
      <w:r w:rsidR="00D3135C">
        <w:t>'</w:t>
      </w:r>
      <w:r w:rsidRPr="008653E6">
        <w:t>il ressort du Tableau 8.1.4.4-1.</w:t>
      </w:r>
    </w:p>
    <w:p w:rsidR="00BC0CAD" w:rsidRDefault="00BC0CAD">
      <w:pPr>
        <w:tabs>
          <w:tab w:val="clear" w:pos="794"/>
          <w:tab w:val="clear" w:pos="1191"/>
          <w:tab w:val="clear" w:pos="1588"/>
          <w:tab w:val="clear" w:pos="1985"/>
        </w:tabs>
        <w:overflowPunct/>
        <w:autoSpaceDE/>
        <w:autoSpaceDN/>
        <w:adjustRightInd/>
        <w:spacing w:before="0"/>
        <w:textAlignment w:val="auto"/>
        <w:rPr>
          <w:rFonts w:ascii="Calibri" w:hAnsi="Calibri"/>
        </w:rPr>
      </w:pPr>
      <w:r>
        <w:rPr>
          <w:caps/>
        </w:rPr>
        <w:br w:type="page"/>
      </w:r>
    </w:p>
    <w:p w:rsidR="00A20AEB" w:rsidRPr="008653E6" w:rsidRDefault="00A20AEB" w:rsidP="00D04881">
      <w:pPr>
        <w:pStyle w:val="TableNoBR"/>
      </w:pPr>
      <w:r w:rsidRPr="00D04881">
        <w:t>TABLEAU</w:t>
      </w:r>
      <w:r w:rsidRPr="008653E6">
        <w:t xml:space="preserve"> 8.1.4.4-1</w:t>
      </w:r>
    </w:p>
    <w:p w:rsidR="00A20AEB" w:rsidRPr="00D04881" w:rsidRDefault="00A20AEB" w:rsidP="00BC0CAD">
      <w:pPr>
        <w:pStyle w:val="Tabletitle"/>
        <w:rPr>
          <w:rFonts w:ascii="Times New Roman" w:hAnsi="Times New Roman"/>
          <w:sz w:val="24"/>
        </w:rPr>
      </w:pPr>
      <w:r w:rsidRPr="00D04881">
        <w:rPr>
          <w:rFonts w:ascii="Times New Roman" w:hAnsi="Times New Roman"/>
          <w:sz w:val="24"/>
        </w:rPr>
        <w:t>Répartition des Manuels de l</w:t>
      </w:r>
      <w:r w:rsidR="00D3135C" w:rsidRPr="00D04881">
        <w:rPr>
          <w:rFonts w:ascii="Times New Roman" w:hAnsi="Times New Roman"/>
          <w:sz w:val="24"/>
        </w:rPr>
        <w:t>'</w:t>
      </w:r>
      <w:r w:rsidRPr="00D04881">
        <w:rPr>
          <w:rFonts w:ascii="Times New Roman" w:hAnsi="Times New Roman"/>
          <w:sz w:val="24"/>
        </w:rPr>
        <w:t xml:space="preserve">UIT-R sur la gestion du spectre des fréquences </w:t>
      </w:r>
      <w:r w:rsidR="00BC0CAD" w:rsidRPr="00D04881">
        <w:rPr>
          <w:rFonts w:ascii="Times New Roman" w:hAnsi="Times New Roman"/>
          <w:sz w:val="24"/>
        </w:rPr>
        <w:br/>
      </w:r>
      <w:r w:rsidRPr="00D04881">
        <w:rPr>
          <w:rFonts w:ascii="Times New Roman" w:hAnsi="Times New Roman"/>
          <w:sz w:val="24"/>
        </w:rPr>
        <w:t xml:space="preserve">radioélectriques et le contrôle du spectre </w:t>
      </w:r>
    </w:p>
    <w:tbl>
      <w:tblPr>
        <w:tblStyle w:val="TableGrid"/>
        <w:tblW w:w="9332" w:type="dxa"/>
        <w:tblLayout w:type="fixed"/>
        <w:tblLook w:val="04A0" w:firstRow="1" w:lastRow="0" w:firstColumn="1" w:lastColumn="0" w:noHBand="0" w:noVBand="1"/>
      </w:tblPr>
      <w:tblGrid>
        <w:gridCol w:w="3313"/>
        <w:gridCol w:w="2170"/>
        <w:gridCol w:w="2450"/>
        <w:gridCol w:w="1399"/>
      </w:tblGrid>
      <w:tr w:rsidR="002C16EB" w:rsidRPr="002C16EB" w:rsidTr="002C16EB">
        <w:trPr>
          <w:trHeight w:val="915"/>
        </w:trPr>
        <w:tc>
          <w:tcPr>
            <w:tcW w:w="3313" w:type="dxa"/>
            <w:vAlign w:val="center"/>
            <w:hideMark/>
          </w:tcPr>
          <w:p w:rsidR="002C16EB" w:rsidRPr="00D04881" w:rsidRDefault="002C16EB" w:rsidP="00E3472E">
            <w:pPr>
              <w:pStyle w:val="Tablehead0"/>
              <w:rPr>
                <w:sz w:val="22"/>
                <w:szCs w:val="22"/>
              </w:rPr>
            </w:pPr>
            <w:r w:rsidRPr="00D04881">
              <w:rPr>
                <w:sz w:val="22"/>
                <w:szCs w:val="22"/>
              </w:rPr>
              <w:t>Manuel</w:t>
            </w:r>
          </w:p>
        </w:tc>
        <w:tc>
          <w:tcPr>
            <w:tcW w:w="2170" w:type="dxa"/>
            <w:vAlign w:val="center"/>
            <w:hideMark/>
          </w:tcPr>
          <w:p w:rsidR="002C16EB" w:rsidRPr="00D04881" w:rsidRDefault="002C16EB" w:rsidP="00E3472E">
            <w:pPr>
              <w:pStyle w:val="Tablehead0"/>
              <w:rPr>
                <w:sz w:val="22"/>
                <w:szCs w:val="22"/>
              </w:rPr>
            </w:pPr>
            <w:r w:rsidRPr="00D04881">
              <w:rPr>
                <w:sz w:val="22"/>
                <w:szCs w:val="22"/>
              </w:rPr>
              <w:t>Nombre d</w:t>
            </w:r>
            <w:r w:rsidR="00D3135C" w:rsidRPr="00D04881">
              <w:rPr>
                <w:sz w:val="22"/>
                <w:szCs w:val="22"/>
              </w:rPr>
              <w:t>'</w:t>
            </w:r>
            <w:r w:rsidRPr="00D04881">
              <w:rPr>
                <w:sz w:val="22"/>
                <w:szCs w:val="22"/>
              </w:rPr>
              <w:t>exemplaires vendus entre</w:t>
            </w:r>
            <w:r w:rsidRPr="00D04881">
              <w:rPr>
                <w:sz w:val="22"/>
                <w:szCs w:val="22"/>
              </w:rPr>
              <w:br/>
              <w:t>2005 et le 2ème trimestre de 2013</w:t>
            </w:r>
            <w:r w:rsidRPr="002A55C1">
              <w:rPr>
                <w:rStyle w:val="FootnoteReference"/>
                <w:b w:val="0"/>
                <w:bCs w:val="0"/>
                <w:sz w:val="16"/>
                <w:szCs w:val="16"/>
              </w:rPr>
              <w:footnoteReference w:id="2"/>
            </w:r>
          </w:p>
        </w:tc>
        <w:tc>
          <w:tcPr>
            <w:tcW w:w="2450" w:type="dxa"/>
            <w:vAlign w:val="center"/>
            <w:hideMark/>
          </w:tcPr>
          <w:p w:rsidR="002C16EB" w:rsidRPr="00D04881" w:rsidRDefault="002C16EB" w:rsidP="00E3472E">
            <w:pPr>
              <w:pStyle w:val="Tablehead0"/>
              <w:rPr>
                <w:sz w:val="22"/>
                <w:szCs w:val="22"/>
              </w:rPr>
            </w:pPr>
            <w:r w:rsidRPr="00D04881">
              <w:rPr>
                <w:sz w:val="22"/>
                <w:szCs w:val="22"/>
              </w:rPr>
              <w:t>Nombre d</w:t>
            </w:r>
            <w:r w:rsidR="00D3135C" w:rsidRPr="00D04881">
              <w:rPr>
                <w:sz w:val="22"/>
                <w:szCs w:val="22"/>
              </w:rPr>
              <w:t>'</w:t>
            </w:r>
            <w:r w:rsidRPr="00D04881">
              <w:rPr>
                <w:sz w:val="22"/>
                <w:szCs w:val="22"/>
              </w:rPr>
              <w:t>exemplaires vendus entre le 3ème trimestre de 2013 et le 4ème trimestre de 2015</w:t>
            </w:r>
            <w:r w:rsidRPr="002A55C1">
              <w:rPr>
                <w:rStyle w:val="FootnoteReference"/>
                <w:b w:val="0"/>
                <w:bCs w:val="0"/>
                <w:sz w:val="16"/>
                <w:szCs w:val="16"/>
              </w:rPr>
              <w:footnoteReference w:id="3"/>
            </w:r>
          </w:p>
        </w:tc>
        <w:tc>
          <w:tcPr>
            <w:tcW w:w="1399" w:type="dxa"/>
            <w:vAlign w:val="center"/>
            <w:hideMark/>
          </w:tcPr>
          <w:p w:rsidR="002C16EB" w:rsidRPr="00D04881" w:rsidRDefault="002C16EB" w:rsidP="00E3472E">
            <w:pPr>
              <w:pStyle w:val="Tablehead0"/>
              <w:rPr>
                <w:sz w:val="22"/>
                <w:szCs w:val="22"/>
              </w:rPr>
            </w:pPr>
            <w:r w:rsidRPr="00D04881">
              <w:rPr>
                <w:sz w:val="22"/>
                <w:szCs w:val="22"/>
              </w:rPr>
              <w:t>Nombre de téléchar-</w:t>
            </w:r>
            <w:r w:rsidRPr="00D04881">
              <w:rPr>
                <w:sz w:val="22"/>
                <w:szCs w:val="22"/>
              </w:rPr>
              <w:br/>
              <w:t>gements</w:t>
            </w:r>
          </w:p>
        </w:tc>
      </w:tr>
      <w:tr w:rsidR="002C16EB" w:rsidRPr="002C16EB" w:rsidTr="00E3472E">
        <w:trPr>
          <w:trHeight w:val="510"/>
        </w:trPr>
        <w:tc>
          <w:tcPr>
            <w:tcW w:w="3313" w:type="dxa"/>
            <w:vAlign w:val="center"/>
            <w:hideMark/>
          </w:tcPr>
          <w:p w:rsidR="002C16EB" w:rsidRPr="00D04881" w:rsidRDefault="002C16EB" w:rsidP="002A55C1">
            <w:pPr>
              <w:pStyle w:val="Tabletext"/>
            </w:pPr>
            <w:r w:rsidRPr="00D04881">
              <w:t xml:space="preserve">Gestion nationale du spectre </w:t>
            </w:r>
            <w:r w:rsidRPr="00D04881">
              <w:br/>
              <w:t>(éditions de 2005 et de 2015)</w:t>
            </w:r>
          </w:p>
        </w:tc>
        <w:tc>
          <w:tcPr>
            <w:tcW w:w="2170" w:type="dxa"/>
            <w:hideMark/>
          </w:tcPr>
          <w:p w:rsidR="002C16EB" w:rsidRPr="00D04881" w:rsidRDefault="002C16EB" w:rsidP="002A55C1">
            <w:pPr>
              <w:pStyle w:val="Tabletext"/>
              <w:jc w:val="center"/>
            </w:pPr>
            <w:r w:rsidRPr="00D04881">
              <w:t>488</w:t>
            </w:r>
          </w:p>
        </w:tc>
        <w:tc>
          <w:tcPr>
            <w:tcW w:w="2450" w:type="dxa"/>
            <w:hideMark/>
          </w:tcPr>
          <w:p w:rsidR="002C16EB" w:rsidRPr="00D04881" w:rsidRDefault="002C16EB" w:rsidP="002A55C1">
            <w:pPr>
              <w:pStyle w:val="Tabletext"/>
              <w:jc w:val="center"/>
            </w:pPr>
            <w:r w:rsidRPr="00D04881">
              <w:t>55</w:t>
            </w:r>
          </w:p>
        </w:tc>
        <w:tc>
          <w:tcPr>
            <w:tcW w:w="1399" w:type="dxa"/>
            <w:hideMark/>
          </w:tcPr>
          <w:p w:rsidR="002C16EB" w:rsidRPr="00D04881" w:rsidRDefault="002C16EB" w:rsidP="002A55C1">
            <w:pPr>
              <w:pStyle w:val="Tabletext"/>
              <w:jc w:val="center"/>
            </w:pPr>
            <w:r w:rsidRPr="00D04881">
              <w:t>2 009</w:t>
            </w:r>
          </w:p>
        </w:tc>
      </w:tr>
      <w:tr w:rsidR="002C16EB" w:rsidRPr="002C16EB" w:rsidTr="00E3472E">
        <w:trPr>
          <w:trHeight w:val="675"/>
        </w:trPr>
        <w:tc>
          <w:tcPr>
            <w:tcW w:w="3313" w:type="dxa"/>
            <w:vAlign w:val="center"/>
            <w:hideMark/>
          </w:tcPr>
          <w:p w:rsidR="002C16EB" w:rsidRPr="00D04881" w:rsidRDefault="002C16EB" w:rsidP="002A55C1">
            <w:pPr>
              <w:pStyle w:val="Tabletext"/>
            </w:pPr>
            <w:r w:rsidRPr="00D04881">
              <w:t>Application des techniques informatiques à la gestion du spectre radioélectrique (CAT) (éditions de 2005 et de 2015)</w:t>
            </w:r>
          </w:p>
        </w:tc>
        <w:tc>
          <w:tcPr>
            <w:tcW w:w="2170" w:type="dxa"/>
            <w:hideMark/>
          </w:tcPr>
          <w:p w:rsidR="002C16EB" w:rsidRPr="00D04881" w:rsidRDefault="002C16EB" w:rsidP="002A55C1">
            <w:pPr>
              <w:pStyle w:val="Tabletext"/>
              <w:jc w:val="center"/>
            </w:pPr>
            <w:r w:rsidRPr="00D04881">
              <w:t>257</w:t>
            </w:r>
          </w:p>
        </w:tc>
        <w:tc>
          <w:tcPr>
            <w:tcW w:w="2450" w:type="dxa"/>
            <w:hideMark/>
          </w:tcPr>
          <w:p w:rsidR="002C16EB" w:rsidRPr="00D04881" w:rsidRDefault="002C16EB" w:rsidP="002A55C1">
            <w:pPr>
              <w:pStyle w:val="Tabletext"/>
              <w:jc w:val="center"/>
            </w:pPr>
            <w:r w:rsidRPr="00D04881">
              <w:t>18</w:t>
            </w:r>
          </w:p>
        </w:tc>
        <w:tc>
          <w:tcPr>
            <w:tcW w:w="1399" w:type="dxa"/>
            <w:hideMark/>
          </w:tcPr>
          <w:p w:rsidR="002C16EB" w:rsidRPr="00D04881" w:rsidRDefault="002C16EB" w:rsidP="002A55C1">
            <w:pPr>
              <w:pStyle w:val="Tabletext"/>
              <w:jc w:val="center"/>
            </w:pPr>
            <w:r w:rsidRPr="00D04881">
              <w:t>1 130</w:t>
            </w:r>
          </w:p>
        </w:tc>
      </w:tr>
      <w:tr w:rsidR="002C16EB" w:rsidRPr="002C16EB" w:rsidTr="00E3472E">
        <w:trPr>
          <w:trHeight w:val="630"/>
        </w:trPr>
        <w:tc>
          <w:tcPr>
            <w:tcW w:w="3313" w:type="dxa"/>
            <w:vAlign w:val="center"/>
            <w:hideMark/>
          </w:tcPr>
          <w:p w:rsidR="002C16EB" w:rsidRPr="00D04881" w:rsidRDefault="002C16EB" w:rsidP="002A55C1">
            <w:pPr>
              <w:pStyle w:val="Tabletext"/>
            </w:pPr>
            <w:r w:rsidRPr="00D04881">
              <w:t xml:space="preserve">Contrôle du spectre radioélectrique </w:t>
            </w:r>
            <w:r w:rsidRPr="00D04881">
              <w:br/>
              <w:t>(édition de 2011)</w:t>
            </w:r>
          </w:p>
        </w:tc>
        <w:tc>
          <w:tcPr>
            <w:tcW w:w="2170" w:type="dxa"/>
            <w:hideMark/>
          </w:tcPr>
          <w:p w:rsidR="002C16EB" w:rsidRPr="00D04881" w:rsidRDefault="002C16EB" w:rsidP="002A55C1">
            <w:pPr>
              <w:pStyle w:val="Tabletext"/>
              <w:jc w:val="center"/>
            </w:pPr>
            <w:r w:rsidRPr="00D04881">
              <w:t>139</w:t>
            </w:r>
          </w:p>
        </w:tc>
        <w:tc>
          <w:tcPr>
            <w:tcW w:w="2450" w:type="dxa"/>
            <w:hideMark/>
          </w:tcPr>
          <w:p w:rsidR="002C16EB" w:rsidRPr="00D04881" w:rsidRDefault="002C16EB" w:rsidP="002A55C1">
            <w:pPr>
              <w:pStyle w:val="Tabletext"/>
              <w:jc w:val="center"/>
            </w:pPr>
            <w:r w:rsidRPr="00D04881">
              <w:t>106</w:t>
            </w:r>
          </w:p>
        </w:tc>
        <w:tc>
          <w:tcPr>
            <w:tcW w:w="1399" w:type="dxa"/>
            <w:hideMark/>
          </w:tcPr>
          <w:p w:rsidR="002C16EB" w:rsidRPr="00D04881" w:rsidRDefault="002C16EB" w:rsidP="002A55C1">
            <w:pPr>
              <w:pStyle w:val="Tabletext"/>
              <w:jc w:val="center"/>
            </w:pPr>
            <w:r w:rsidRPr="00D04881">
              <w:t>5 108</w:t>
            </w:r>
          </w:p>
        </w:tc>
      </w:tr>
      <w:tr w:rsidR="002C16EB" w:rsidRPr="002C16EB" w:rsidTr="00E3472E">
        <w:trPr>
          <w:trHeight w:val="570"/>
        </w:trPr>
        <w:tc>
          <w:tcPr>
            <w:tcW w:w="3313" w:type="dxa"/>
            <w:tcBorders>
              <w:bottom w:val="single" w:sz="4" w:space="0" w:color="auto"/>
            </w:tcBorders>
            <w:vAlign w:val="center"/>
            <w:hideMark/>
          </w:tcPr>
          <w:p w:rsidR="002C16EB" w:rsidRPr="00D04881" w:rsidRDefault="002C16EB" w:rsidP="002C16EB">
            <w:pPr>
              <w:pStyle w:val="TableTextS5"/>
              <w:rPr>
                <w:b/>
                <w:bCs/>
                <w:sz w:val="22"/>
                <w:szCs w:val="22"/>
              </w:rPr>
            </w:pPr>
            <w:r w:rsidRPr="00D04881">
              <w:rPr>
                <w:b/>
                <w:bCs/>
                <w:sz w:val="22"/>
                <w:szCs w:val="22"/>
              </w:rPr>
              <w:t>Total général</w:t>
            </w:r>
          </w:p>
        </w:tc>
        <w:tc>
          <w:tcPr>
            <w:tcW w:w="2170" w:type="dxa"/>
            <w:tcBorders>
              <w:bottom w:val="single" w:sz="4" w:space="0" w:color="auto"/>
            </w:tcBorders>
            <w:hideMark/>
          </w:tcPr>
          <w:p w:rsidR="002C16EB" w:rsidRPr="00D04881" w:rsidRDefault="002C16EB" w:rsidP="002C16EB">
            <w:pPr>
              <w:spacing w:after="120"/>
              <w:jc w:val="center"/>
              <w:rPr>
                <w:b/>
                <w:bCs/>
                <w:sz w:val="22"/>
                <w:szCs w:val="22"/>
              </w:rPr>
            </w:pPr>
            <w:r w:rsidRPr="00D04881">
              <w:rPr>
                <w:b/>
                <w:bCs/>
                <w:sz w:val="22"/>
                <w:szCs w:val="22"/>
              </w:rPr>
              <w:t>884</w:t>
            </w:r>
          </w:p>
        </w:tc>
        <w:tc>
          <w:tcPr>
            <w:tcW w:w="2450" w:type="dxa"/>
            <w:tcBorders>
              <w:bottom w:val="single" w:sz="4" w:space="0" w:color="auto"/>
            </w:tcBorders>
            <w:hideMark/>
          </w:tcPr>
          <w:p w:rsidR="002C16EB" w:rsidRPr="00D04881" w:rsidRDefault="002C16EB" w:rsidP="002C16EB">
            <w:pPr>
              <w:spacing w:after="120"/>
              <w:jc w:val="center"/>
              <w:rPr>
                <w:b/>
                <w:bCs/>
                <w:sz w:val="22"/>
                <w:szCs w:val="22"/>
              </w:rPr>
            </w:pPr>
            <w:r w:rsidRPr="00D04881">
              <w:rPr>
                <w:b/>
                <w:bCs/>
                <w:sz w:val="22"/>
                <w:szCs w:val="22"/>
              </w:rPr>
              <w:t>179</w:t>
            </w:r>
          </w:p>
        </w:tc>
        <w:tc>
          <w:tcPr>
            <w:tcW w:w="1399" w:type="dxa"/>
            <w:tcBorders>
              <w:bottom w:val="single" w:sz="4" w:space="0" w:color="auto"/>
            </w:tcBorders>
            <w:hideMark/>
          </w:tcPr>
          <w:p w:rsidR="002C16EB" w:rsidRPr="00D04881" w:rsidRDefault="002C16EB" w:rsidP="002C16EB">
            <w:pPr>
              <w:spacing w:after="120"/>
              <w:jc w:val="center"/>
              <w:rPr>
                <w:b/>
                <w:bCs/>
                <w:sz w:val="22"/>
                <w:szCs w:val="22"/>
              </w:rPr>
            </w:pPr>
            <w:r w:rsidRPr="00D04881">
              <w:rPr>
                <w:b/>
                <w:bCs/>
                <w:sz w:val="22"/>
                <w:szCs w:val="22"/>
              </w:rPr>
              <w:t>8 247</w:t>
            </w:r>
          </w:p>
        </w:tc>
      </w:tr>
    </w:tbl>
    <w:p w:rsidR="00A20AEB" w:rsidRPr="008653E6" w:rsidRDefault="00A20AEB" w:rsidP="00BC0CAD">
      <w:pPr>
        <w:pStyle w:val="Normalaftertitle"/>
      </w:pPr>
      <w:r w:rsidRPr="008653E6">
        <w:t>Ces chiffres illustrent les effets très positifs de la décision relative à la diffusion des Manuels de l</w:t>
      </w:r>
      <w:r w:rsidR="00D3135C">
        <w:t>'</w:t>
      </w:r>
      <w:r w:rsidRPr="008653E6">
        <w:t>UIT-R:</w:t>
      </w:r>
    </w:p>
    <w:p w:rsidR="00A20AEB" w:rsidRPr="008653E6" w:rsidRDefault="00A20AEB" w:rsidP="00BE0203">
      <w:pPr>
        <w:pStyle w:val="enumlev1"/>
      </w:pPr>
      <w:r w:rsidRPr="008653E6">
        <w:t>–</w:t>
      </w:r>
      <w:r w:rsidRPr="008653E6">
        <w:tab/>
      </w:r>
      <w:r w:rsidR="00BE0203" w:rsidRPr="008653E6">
        <w:t>E</w:t>
      </w:r>
      <w:r w:rsidRPr="008653E6">
        <w:t>n l</w:t>
      </w:r>
      <w:r w:rsidR="00D3135C">
        <w:t>'</w:t>
      </w:r>
      <w:r w:rsidRPr="008653E6">
        <w:t>espace de deux ans</w:t>
      </w:r>
      <w:r w:rsidR="002C16EB">
        <w:t xml:space="preserve"> et demi</w:t>
      </w:r>
      <w:r w:rsidRPr="008653E6">
        <w:t xml:space="preserve"> (juin 2013</w:t>
      </w:r>
      <w:r w:rsidR="00BE0203">
        <w:t>-</w:t>
      </w:r>
      <w:r w:rsidRPr="008653E6">
        <w:t>décembre 2015), le nombre de téléchargements a été</w:t>
      </w:r>
      <w:r w:rsidR="002C16EB">
        <w:t xml:space="preserve"> près de </w:t>
      </w:r>
      <w:r w:rsidR="00BE0203">
        <w:t>dix</w:t>
      </w:r>
      <w:r w:rsidR="002C16EB">
        <w:t xml:space="preserve"> fois </w:t>
      </w:r>
      <w:r w:rsidRPr="008653E6">
        <w:t xml:space="preserve">supérieur au nombre de Manuels </w:t>
      </w:r>
      <w:r w:rsidR="002C16EB" w:rsidRPr="008653E6">
        <w:t xml:space="preserve">vendus </w:t>
      </w:r>
      <w:r w:rsidRPr="008653E6">
        <w:t>sur huit ans et demi</w:t>
      </w:r>
      <w:r w:rsidR="00BE0203">
        <w:t>.</w:t>
      </w:r>
    </w:p>
    <w:p w:rsidR="00A20AEB" w:rsidRPr="008653E6" w:rsidRDefault="00A20AEB" w:rsidP="00BE0203">
      <w:pPr>
        <w:pStyle w:val="enumlev1"/>
      </w:pPr>
      <w:r w:rsidRPr="008653E6">
        <w:t>–</w:t>
      </w:r>
      <w:r w:rsidRPr="008653E6">
        <w:tab/>
      </w:r>
      <w:r w:rsidR="00BE0203" w:rsidRPr="008653E6">
        <w:t>D</w:t>
      </w:r>
      <w:r w:rsidRPr="008653E6">
        <w:t>epuis l</w:t>
      </w:r>
      <w:r w:rsidR="00D3135C">
        <w:t>'</w:t>
      </w:r>
      <w:r w:rsidRPr="008653E6">
        <w:t>adoption de la décision relative à la politique d</w:t>
      </w:r>
      <w:r w:rsidR="00D3135C">
        <w:t>'</w:t>
      </w:r>
      <w:r w:rsidRPr="008653E6">
        <w:t>accès</w:t>
      </w:r>
      <w:r w:rsidR="002C16EB">
        <w:t xml:space="preserve"> en ligne</w:t>
      </w:r>
      <w:r w:rsidRPr="008653E6">
        <w:t xml:space="preserve"> gratuit, les téléchargements représentent près de 98% du nombre total de livraisons</w:t>
      </w:r>
      <w:r w:rsidR="00BE0203">
        <w:t>.</w:t>
      </w:r>
    </w:p>
    <w:p w:rsidR="00A20AEB" w:rsidRPr="008653E6" w:rsidRDefault="00A20AEB" w:rsidP="00A20AEB">
      <w:pPr>
        <w:pStyle w:val="enumlev1"/>
      </w:pPr>
      <w:r w:rsidRPr="008653E6">
        <w:t>–</w:t>
      </w:r>
      <w:r w:rsidRPr="008653E6">
        <w:tab/>
      </w:r>
      <w:r w:rsidR="00BE0203" w:rsidRPr="008653E6">
        <w:t>C</w:t>
      </w:r>
      <w:r w:rsidRPr="008653E6">
        <w:t>es téléchargements sont effectués par l</w:t>
      </w:r>
      <w:r w:rsidR="00D3135C">
        <w:t>'</w:t>
      </w:r>
      <w:r w:rsidRPr="008653E6">
        <w:t>ensemble des 193 Etats Membres.</w:t>
      </w:r>
    </w:p>
    <w:p w:rsidR="00A20AEB" w:rsidRPr="008653E6" w:rsidRDefault="00A20AEB" w:rsidP="00A20AEB">
      <w:pPr>
        <w:pStyle w:val="Heading3"/>
      </w:pPr>
      <w:bookmarkStart w:id="91" w:name="_Toc424047600"/>
      <w:bookmarkStart w:id="92" w:name="_Toc426463258"/>
      <w:r w:rsidRPr="008653E6">
        <w:t>8.1.5</w:t>
      </w:r>
      <w:r w:rsidRPr="008653E6">
        <w:tab/>
        <w:t>Outils de navigation et d</w:t>
      </w:r>
      <w:r w:rsidR="00D3135C">
        <w:t>'</w:t>
      </w:r>
      <w:r w:rsidRPr="008653E6">
        <w:t>analyse pour les publications électroniques de l</w:t>
      </w:r>
      <w:r w:rsidR="00D3135C">
        <w:t>'</w:t>
      </w:r>
      <w:r w:rsidRPr="008653E6">
        <w:t>UIT-R</w:t>
      </w:r>
      <w:bookmarkEnd w:id="91"/>
      <w:bookmarkEnd w:id="92"/>
    </w:p>
    <w:p w:rsidR="00A20AEB" w:rsidRPr="008653E6" w:rsidRDefault="00A20AEB" w:rsidP="00A20AEB">
      <w:pPr>
        <w:pStyle w:val="Heading4"/>
      </w:pPr>
      <w:r w:rsidRPr="008653E6">
        <w:t>8.1.5.1</w:t>
      </w:r>
      <w:r w:rsidRPr="008653E6">
        <w:tab/>
        <w:t>Outils concernant le Règlement des radiocommunications</w:t>
      </w:r>
    </w:p>
    <w:p w:rsidR="00A20AEB" w:rsidRPr="008653E6" w:rsidRDefault="00A20AEB" w:rsidP="00A20AEB">
      <w:r w:rsidRPr="008653E6">
        <w:t>Le Bureau met actuellement au point les outils logiciels suivants pour faciliter l</w:t>
      </w:r>
      <w:r w:rsidR="00D3135C">
        <w:t>'</w:t>
      </w:r>
      <w:r w:rsidRPr="008653E6">
        <w:t>utilisation et l</w:t>
      </w:r>
      <w:r w:rsidR="00D3135C">
        <w:t>'</w:t>
      </w:r>
      <w:r w:rsidRPr="008653E6">
        <w:t>examen du Règlement des radiocommunications:</w:t>
      </w:r>
    </w:p>
    <w:p w:rsidR="00A20AEB" w:rsidRPr="008653E6" w:rsidRDefault="00BC0CAD" w:rsidP="00BC0CAD">
      <w:pPr>
        <w:pStyle w:val="enumlev1"/>
        <w:rPr>
          <w:szCs w:val="24"/>
        </w:rPr>
      </w:pPr>
      <w:bookmarkStart w:id="93" w:name="lt_pId975"/>
      <w:r>
        <w:t>a)</w:t>
      </w:r>
      <w:r>
        <w:tab/>
      </w:r>
      <w:r w:rsidRPr="00BC0CAD">
        <w:t>V</w:t>
      </w:r>
      <w:r w:rsidR="00A20AEB" w:rsidRPr="00BC0CAD">
        <w:t>ersion</w:t>
      </w:r>
      <w:r w:rsidR="00A20AEB" w:rsidRPr="008653E6">
        <w:t xml:space="preserve"> d</w:t>
      </w:r>
      <w:r w:rsidR="00D3135C">
        <w:t>'</w:t>
      </w:r>
      <w:r w:rsidR="00A20AEB" w:rsidRPr="008653E6">
        <w:t xml:space="preserve">essai de </w:t>
      </w:r>
      <w:r w:rsidR="00A20AEB" w:rsidRPr="002C16EB">
        <w:rPr>
          <w:b/>
          <w:bCs/>
        </w:rPr>
        <w:t>l</w:t>
      </w:r>
      <w:r w:rsidR="00D3135C">
        <w:rPr>
          <w:b/>
          <w:bCs/>
        </w:rPr>
        <w:t>'</w:t>
      </w:r>
      <w:r w:rsidR="00A20AEB" w:rsidRPr="002C16EB">
        <w:rPr>
          <w:b/>
          <w:bCs/>
        </w:rPr>
        <w:t>outil de navigation pour le Règlement des radiocommunications</w:t>
      </w:r>
      <w:r w:rsidR="00A20AEB" w:rsidRPr="008653E6">
        <w:t>, qui a été</w:t>
      </w:r>
      <w:r w:rsidR="00A20AEB" w:rsidRPr="008653E6">
        <w:rPr>
          <w:szCs w:val="24"/>
        </w:rPr>
        <w:t xml:space="preserve"> </w:t>
      </w:r>
      <w:r w:rsidR="00A20AEB" w:rsidRPr="008653E6">
        <w:t xml:space="preserve">mise à disposition gratuitement </w:t>
      </w:r>
      <w:r w:rsidR="00A20AEB" w:rsidRPr="008653E6">
        <w:rPr>
          <w:szCs w:val="24"/>
        </w:rPr>
        <w:t>(</w:t>
      </w:r>
      <w:hyperlink r:id="rId27" w:history="1">
        <w:r w:rsidR="00A20AEB" w:rsidRPr="008653E6">
          <w:rPr>
            <w:rStyle w:val="Hyperlink"/>
            <w:rFonts w:asciiTheme="majorBidi" w:hAnsiTheme="majorBidi" w:cstheme="majorBidi"/>
            <w:szCs w:val="24"/>
          </w:rPr>
          <w:t>http://www.itu.int/pub/R-REG-RRX</w:t>
        </w:r>
      </w:hyperlink>
      <w:r w:rsidR="00A20AEB" w:rsidRPr="008653E6">
        <w:rPr>
          <w:rFonts w:asciiTheme="majorBidi" w:hAnsiTheme="majorBidi" w:cstheme="majorBidi"/>
          <w:szCs w:val="24"/>
        </w:rPr>
        <w:t xml:space="preserve">) </w:t>
      </w:r>
      <w:r w:rsidR="002C16EB">
        <w:rPr>
          <w:szCs w:val="24"/>
        </w:rPr>
        <w:t>avant la CMR-</w:t>
      </w:r>
      <w:r w:rsidR="00A20AEB" w:rsidRPr="008653E6">
        <w:rPr>
          <w:szCs w:val="24"/>
        </w:rPr>
        <w:t>15.</w:t>
      </w:r>
      <w:bookmarkEnd w:id="93"/>
      <w:r w:rsidR="00A20AEB" w:rsidRPr="008653E6">
        <w:rPr>
          <w:szCs w:val="24"/>
        </w:rPr>
        <w:t xml:space="preserve"> Les améliorations pertinentes ont été apportées en fonction des commentaires reçus. </w:t>
      </w:r>
      <w:bookmarkStart w:id="94" w:name="lt_pId977"/>
      <w:r w:rsidR="00A20AEB" w:rsidRPr="008653E6">
        <w:rPr>
          <w:szCs w:val="24"/>
        </w:rPr>
        <w:t xml:space="preserve">Cet outil devrait être accessible sur abonnement et pouvoir être téléchargé au premier trimestre </w:t>
      </w:r>
      <w:bookmarkEnd w:id="94"/>
      <w:r w:rsidR="00A20AEB" w:rsidRPr="008653E6">
        <w:rPr>
          <w:szCs w:val="24"/>
        </w:rPr>
        <w:t>de 2016</w:t>
      </w:r>
      <w:r w:rsidR="002C16EB">
        <w:rPr>
          <w:szCs w:val="24"/>
          <w:lang w:val="fr-CH"/>
        </w:rPr>
        <w:t>.</w:t>
      </w:r>
    </w:p>
    <w:p w:rsidR="00A20AEB" w:rsidRPr="008653E6" w:rsidRDefault="00BC0CAD" w:rsidP="00BC0CAD">
      <w:pPr>
        <w:pStyle w:val="enumlev1"/>
        <w:rPr>
          <w:szCs w:val="24"/>
          <w:lang w:val="fr-CH"/>
        </w:rPr>
      </w:pPr>
      <w:bookmarkStart w:id="95" w:name="lt_pId978"/>
      <w:r>
        <w:t>b)</w:t>
      </w:r>
      <w:r>
        <w:tab/>
      </w:r>
      <w:r w:rsidRPr="008653E6">
        <w:t>O</w:t>
      </w:r>
      <w:r w:rsidR="00A20AEB" w:rsidRPr="008653E6">
        <w:t xml:space="preserve">util </w:t>
      </w:r>
      <w:r w:rsidR="00A20AEB" w:rsidRPr="00BC0CAD">
        <w:t>logiciel</w:t>
      </w:r>
      <w:r w:rsidR="00A20AEB" w:rsidRPr="008653E6">
        <w:t xml:space="preserve"> permettant d</w:t>
      </w:r>
      <w:r w:rsidR="00D3135C">
        <w:t>'</w:t>
      </w:r>
      <w:r w:rsidR="00A20AEB" w:rsidRPr="008653E6">
        <w:t xml:space="preserve">effectuer des </w:t>
      </w:r>
      <w:r w:rsidR="00A20AEB" w:rsidRPr="002A55C1">
        <w:rPr>
          <w:b/>
          <w:bCs/>
        </w:rPr>
        <w:t>recherches et une analyse détaillées dans le Tableau d</w:t>
      </w:r>
      <w:r w:rsidR="00D3135C" w:rsidRPr="002A55C1">
        <w:rPr>
          <w:b/>
          <w:bCs/>
        </w:rPr>
        <w:t>'</w:t>
      </w:r>
      <w:r w:rsidR="00A20AEB" w:rsidRPr="002A55C1">
        <w:rPr>
          <w:b/>
          <w:bCs/>
        </w:rPr>
        <w:t>attribution des bandes de fréquences</w:t>
      </w:r>
      <w:r w:rsidR="00A20AEB" w:rsidRPr="008653E6">
        <w:t xml:space="preserve"> de l</w:t>
      </w:r>
      <w:r w:rsidR="00D3135C">
        <w:t>'</w:t>
      </w:r>
      <w:r w:rsidR="00A20AEB" w:rsidRPr="008653E6">
        <w:t>Article 5 du Règlement des radiocommunications, avec filtrage et reformatage en fonction de la gamme de fréquences, du service, de la catégorie de service, du renvoi, du pays, etc</w:t>
      </w:r>
      <w:r w:rsidR="00A20AEB" w:rsidRPr="008653E6">
        <w:rPr>
          <w:lang w:val="fr-CH"/>
        </w:rPr>
        <w:t>.</w:t>
      </w:r>
      <w:bookmarkEnd w:id="95"/>
      <w:r w:rsidR="00A20AEB" w:rsidRPr="008653E6">
        <w:rPr>
          <w:lang w:val="fr-CH"/>
        </w:rPr>
        <w:t xml:space="preserve"> </w:t>
      </w:r>
    </w:p>
    <w:p w:rsidR="00A20AEB" w:rsidRPr="008653E6" w:rsidRDefault="00BC0CAD" w:rsidP="00BC0CAD">
      <w:pPr>
        <w:pStyle w:val="enumlev1"/>
        <w:rPr>
          <w:lang w:val="fr-CH"/>
        </w:rPr>
      </w:pPr>
      <w:bookmarkStart w:id="96" w:name="lt_pId979"/>
      <w:r>
        <w:rPr>
          <w:color w:val="000000"/>
          <w:lang w:val="fr-CH"/>
        </w:rPr>
        <w:tab/>
      </w:r>
      <w:r w:rsidR="002C16EB">
        <w:rPr>
          <w:color w:val="000000"/>
          <w:lang w:val="fr-CH"/>
        </w:rPr>
        <w:t>La mise au point de cet outil e</w:t>
      </w:r>
      <w:r w:rsidR="00A20AEB" w:rsidRPr="008653E6">
        <w:rPr>
          <w:color w:val="000000"/>
          <w:lang w:val="fr-CH"/>
        </w:rPr>
        <w:t xml:space="preserve">st pratiquement achevée. Il </w:t>
      </w:r>
      <w:r w:rsidR="00A20AEB" w:rsidRPr="008653E6">
        <w:rPr>
          <w:lang w:val="fr-CH"/>
        </w:rPr>
        <w:t>devrait être accessible sur abonnement au troisième trimestre de 2016, une fois que les modifications découlant de la CMR</w:t>
      </w:r>
      <w:r w:rsidR="002C16EB">
        <w:rPr>
          <w:lang w:val="fr-CH"/>
        </w:rPr>
        <w:t>-</w:t>
      </w:r>
      <w:r w:rsidR="00A20AEB" w:rsidRPr="008653E6">
        <w:rPr>
          <w:lang w:val="fr-CH"/>
        </w:rPr>
        <w:t>15 auront été apportées.</w:t>
      </w:r>
      <w:bookmarkEnd w:id="96"/>
      <w:r w:rsidR="00A20AEB" w:rsidRPr="008653E6">
        <w:rPr>
          <w:lang w:val="fr-CH"/>
        </w:rPr>
        <w:t xml:space="preserve"> </w:t>
      </w:r>
    </w:p>
    <w:p w:rsidR="00A20AEB" w:rsidRPr="008653E6" w:rsidRDefault="00A20AEB" w:rsidP="002C16EB">
      <w:pPr>
        <w:pStyle w:val="Heading4"/>
      </w:pPr>
      <w:r w:rsidRPr="008653E6">
        <w:t>8.1.5.2</w:t>
      </w:r>
      <w:r w:rsidRPr="008653E6">
        <w:tab/>
      </w:r>
      <w:r w:rsidRPr="008653E6">
        <w:rPr>
          <w:color w:val="000000"/>
        </w:rPr>
        <w:t xml:space="preserve">Dispositif de recherche dans la base de données des </w:t>
      </w:r>
      <w:r w:rsidR="002C16EB">
        <w:rPr>
          <w:color w:val="000000"/>
        </w:rPr>
        <w:t>documents de</w:t>
      </w:r>
      <w:r w:rsidRPr="008653E6">
        <w:rPr>
          <w:color w:val="000000"/>
        </w:rPr>
        <w:t xml:space="preserve"> </w:t>
      </w:r>
      <w:r w:rsidR="002C16EB">
        <w:rPr>
          <w:color w:val="000000"/>
        </w:rPr>
        <w:t>l</w:t>
      </w:r>
      <w:r w:rsidR="00D3135C">
        <w:rPr>
          <w:color w:val="000000"/>
        </w:rPr>
        <w:t>'</w:t>
      </w:r>
      <w:r w:rsidRPr="008653E6">
        <w:rPr>
          <w:color w:val="000000"/>
        </w:rPr>
        <w:t xml:space="preserve">UIT-R </w:t>
      </w:r>
    </w:p>
    <w:p w:rsidR="00A20AEB" w:rsidRPr="008653E6" w:rsidRDefault="00A20AEB" w:rsidP="009D5B6A">
      <w:r w:rsidRPr="008653E6">
        <w:t>A sa 19ème réunion, le GCR a invité le Directeur</w:t>
      </w:r>
      <w:r w:rsidR="002C16EB">
        <w:t xml:space="preserve"> du BR</w:t>
      </w:r>
      <w:r w:rsidRPr="008653E6">
        <w:t xml:space="preserve"> à élaborer une base de données, dans les limites budgétaires existantes, </w:t>
      </w:r>
      <w:r w:rsidR="002C16EB">
        <w:t>permettant</w:t>
      </w:r>
      <w:r w:rsidRPr="008653E6">
        <w:t xml:space="preserve"> de rechercher des Recommandations UIT-R et de les filtrer par catégorie, par exemple par service(s) de radiocommunication et par bande de fréquences applicable.</w:t>
      </w:r>
    </w:p>
    <w:p w:rsidR="00A20AEB" w:rsidRPr="008653E6" w:rsidRDefault="00A20AEB" w:rsidP="002C16EB">
      <w:r w:rsidRPr="008653E6">
        <w:t xml:space="preserve">En avril 2014, compte tenu </w:t>
      </w:r>
      <w:r w:rsidR="002C16EB">
        <w:t>de l</w:t>
      </w:r>
      <w:r w:rsidR="00D3135C">
        <w:t>'</w:t>
      </w:r>
      <w:r w:rsidR="002C16EB">
        <w:t>importance</w:t>
      </w:r>
      <w:r w:rsidRPr="008653E6">
        <w:t xml:space="preserve"> de la mise en place à bref délai de ce dispositif, ainsi que de l</w:t>
      </w:r>
      <w:r w:rsidR="00D3135C">
        <w:t>'</w:t>
      </w:r>
      <w:r w:rsidRPr="008653E6">
        <w:t>intérêt qu</w:t>
      </w:r>
      <w:r w:rsidR="00D3135C">
        <w:t>'</w:t>
      </w:r>
      <w:r w:rsidRPr="008653E6">
        <w:t>il y aurait à étendre cette fonction de recherche aux documents de l</w:t>
      </w:r>
      <w:r w:rsidR="00D3135C">
        <w:t>'</w:t>
      </w:r>
      <w:r w:rsidRPr="008653E6">
        <w:t xml:space="preserve">UIT-R tels que les Questions, les </w:t>
      </w:r>
      <w:r w:rsidR="002C16EB">
        <w:t>r</w:t>
      </w:r>
      <w:r w:rsidRPr="008653E6">
        <w:t xml:space="preserve">apports, les Manuels et les Résolutions, le Ministère des affaires intérieures et des communications (MIC) du Japon a versé une contribution volontaire de </w:t>
      </w:r>
      <w:r w:rsidRPr="008653E6">
        <w:rPr>
          <w:lang w:eastAsia="ja-JP"/>
        </w:rPr>
        <w:t xml:space="preserve">290 000 USD </w:t>
      </w:r>
      <w:r w:rsidRPr="008653E6">
        <w:t>pour encourager et accélérer la mise au point de cette base de données de recherche, dont le BR est responsable, et de la rendre accessible aux membres de l</w:t>
      </w:r>
      <w:r w:rsidR="00D3135C">
        <w:t>'</w:t>
      </w:r>
      <w:r w:rsidRPr="008653E6">
        <w:t>UIT, notamment aux pays en développement.</w:t>
      </w:r>
    </w:p>
    <w:p w:rsidR="00A20AEB" w:rsidRPr="008653E6" w:rsidRDefault="00A20AEB" w:rsidP="00A20AEB">
      <w:r w:rsidRPr="008653E6">
        <w:t>Depuis lors, avec le concours d</w:t>
      </w:r>
      <w:r w:rsidR="00D3135C">
        <w:t>'</w:t>
      </w:r>
      <w:r w:rsidRPr="008653E6">
        <w:t>experts de l</w:t>
      </w:r>
      <w:r w:rsidR="00D3135C">
        <w:t>'</w:t>
      </w:r>
      <w:r w:rsidRPr="008653E6">
        <w:t>Administration japonaise et du Département des services informatiques de l</w:t>
      </w:r>
      <w:r w:rsidR="00D3135C">
        <w:t>'</w:t>
      </w:r>
      <w:r w:rsidRPr="008653E6">
        <w:t>UIT, l</w:t>
      </w:r>
      <w:r w:rsidR="00D3135C">
        <w:t>'</w:t>
      </w:r>
      <w:r w:rsidRPr="008653E6">
        <w:t xml:space="preserve">élaboration du dispositif de recherche dans la base de données </w:t>
      </w:r>
      <w:r w:rsidRPr="008653E6">
        <w:rPr>
          <w:lang w:val="fr-CH"/>
        </w:rPr>
        <w:t>d</w:t>
      </w:r>
      <w:r w:rsidRPr="008653E6">
        <w:t>es documents de l</w:t>
      </w:r>
      <w:r w:rsidR="00D3135C">
        <w:t>'</w:t>
      </w:r>
      <w:r w:rsidRPr="008653E6">
        <w:t xml:space="preserve">UIT-R a progressé, parallèlement </w:t>
      </w:r>
      <w:r w:rsidRPr="008653E6">
        <w:rPr>
          <w:color w:val="000000"/>
        </w:rPr>
        <w:t>au processus de migration vers la nouvelle plate</w:t>
      </w:r>
      <w:r w:rsidRPr="008653E6">
        <w:rPr>
          <w:color w:val="000000"/>
        </w:rPr>
        <w:noBreakHyphen/>
        <w:t>forme SharePoint en cours à l</w:t>
      </w:r>
      <w:r w:rsidR="00D3135C">
        <w:rPr>
          <w:color w:val="000000"/>
        </w:rPr>
        <w:t>'</w:t>
      </w:r>
      <w:r w:rsidRPr="008653E6">
        <w:rPr>
          <w:color w:val="000000"/>
        </w:rPr>
        <w:t>UIT.</w:t>
      </w:r>
    </w:p>
    <w:p w:rsidR="00A20AEB" w:rsidRPr="008653E6" w:rsidRDefault="00A20AEB" w:rsidP="00A20AEB">
      <w:r w:rsidRPr="008653E6">
        <w:t>Les travaux ont consisté:</w:t>
      </w:r>
    </w:p>
    <w:p w:rsidR="00A20AEB" w:rsidRPr="008653E6" w:rsidRDefault="002C16EB" w:rsidP="002C16EB">
      <w:pPr>
        <w:pStyle w:val="enumlev1"/>
      </w:pPr>
      <w:r>
        <w:t>–</w:t>
      </w:r>
      <w:r w:rsidR="00A20AEB" w:rsidRPr="008653E6">
        <w:tab/>
        <w:t>à passer en revue tous les documents de l</w:t>
      </w:r>
      <w:r w:rsidR="00D3135C">
        <w:t>'</w:t>
      </w:r>
      <w:r w:rsidR="00A20AEB" w:rsidRPr="008653E6">
        <w:t>UIT-R et à extraire les éléments de recherche;</w:t>
      </w:r>
    </w:p>
    <w:p w:rsidR="00A20AEB" w:rsidRPr="008653E6" w:rsidRDefault="002C16EB" w:rsidP="002C16EB">
      <w:pPr>
        <w:pStyle w:val="enumlev1"/>
      </w:pPr>
      <w:r>
        <w:t>–</w:t>
      </w:r>
      <w:r w:rsidR="00A20AEB" w:rsidRPr="008653E6">
        <w:tab/>
        <w:t>à utiliser la nouvelle plate-forme Sharepoint de l</w:t>
      </w:r>
      <w:r w:rsidR="00D3135C">
        <w:t>'</w:t>
      </w:r>
      <w:r w:rsidR="00A20AEB" w:rsidRPr="008653E6">
        <w:t>UIT;</w:t>
      </w:r>
    </w:p>
    <w:p w:rsidR="00A20AEB" w:rsidRPr="008653E6" w:rsidRDefault="002C16EB" w:rsidP="002C16EB">
      <w:pPr>
        <w:pStyle w:val="enumlev1"/>
      </w:pPr>
      <w:r>
        <w:t>–</w:t>
      </w:r>
      <w:r w:rsidR="00A20AEB" w:rsidRPr="008653E6">
        <w:tab/>
        <w:t>à mettre en place une fonction de synchronisation pour la tenue à jour des documents de l</w:t>
      </w:r>
      <w:r w:rsidR="00D3135C">
        <w:t>'</w:t>
      </w:r>
      <w:r w:rsidR="00A20AEB" w:rsidRPr="008653E6">
        <w:t>UIT-R et de leurs éléments de recherche;</w:t>
      </w:r>
    </w:p>
    <w:p w:rsidR="00A20AEB" w:rsidRPr="008653E6" w:rsidRDefault="002C16EB" w:rsidP="002C16EB">
      <w:pPr>
        <w:pStyle w:val="enumlev1"/>
      </w:pPr>
      <w:r>
        <w:t>–</w:t>
      </w:r>
      <w:r w:rsidR="00A20AEB" w:rsidRPr="008653E6">
        <w:tab/>
        <w:t>à décrire les méthodes de travail définissant les rôles et responsabilités de l</w:t>
      </w:r>
      <w:r w:rsidR="00D3135C">
        <w:t>'</w:t>
      </w:r>
      <w:r w:rsidR="00A20AEB" w:rsidRPr="008653E6">
        <w:t>UIT/du BR et des commissions d</w:t>
      </w:r>
      <w:r w:rsidR="00D3135C">
        <w:t>'</w:t>
      </w:r>
      <w:r w:rsidR="00A20AEB" w:rsidRPr="008653E6">
        <w:t>études/groupes de travail de l</w:t>
      </w:r>
      <w:r w:rsidR="00D3135C">
        <w:t>'</w:t>
      </w:r>
      <w:r w:rsidR="00A20AEB" w:rsidRPr="008653E6">
        <w:t>UIT-R pour la tenue à jour de la base de données;</w:t>
      </w:r>
    </w:p>
    <w:p w:rsidR="00A20AEB" w:rsidRPr="008653E6" w:rsidRDefault="002C16EB" w:rsidP="002C16EB">
      <w:pPr>
        <w:pStyle w:val="enumlev1"/>
        <w:rPr>
          <w:lang w:val="fr-CH"/>
        </w:rPr>
      </w:pPr>
      <w:r>
        <w:t>–</w:t>
      </w:r>
      <w:r w:rsidR="00A20AEB" w:rsidRPr="008653E6">
        <w:tab/>
        <w:t>à concevoir une application de recherche accessible aux terminaux mobiles</w:t>
      </w:r>
      <w:r>
        <w:t>.</w:t>
      </w:r>
    </w:p>
    <w:p w:rsidR="00A20AEB" w:rsidRPr="008653E6" w:rsidRDefault="00A20AEB" w:rsidP="002C16EB">
      <w:pPr>
        <w:rPr>
          <w:lang w:val="fr-CH"/>
        </w:rPr>
      </w:pPr>
      <w:bookmarkStart w:id="97" w:name="lt_pId996"/>
      <w:r w:rsidRPr="008653E6">
        <w:rPr>
          <w:lang w:val="fr-CH"/>
        </w:rPr>
        <w:t>En collaboration avec le Département des services informatiques de l</w:t>
      </w:r>
      <w:r w:rsidR="00D3135C">
        <w:rPr>
          <w:lang w:val="fr-CH"/>
        </w:rPr>
        <w:t>'</w:t>
      </w:r>
      <w:r w:rsidRPr="008653E6">
        <w:rPr>
          <w:lang w:val="fr-CH"/>
        </w:rPr>
        <w:t xml:space="preserve">UIT, les outils de recherche </w:t>
      </w:r>
      <w:r w:rsidR="002C16EB">
        <w:rPr>
          <w:lang w:val="fr-CH"/>
        </w:rPr>
        <w:t xml:space="preserve">pour les Recommandations et les Questions UIT-R </w:t>
      </w:r>
      <w:r w:rsidRPr="008653E6">
        <w:rPr>
          <w:lang w:val="fr-CH"/>
        </w:rPr>
        <w:t>sont devenus opérationnels en octobre 2015</w:t>
      </w:r>
      <w:r w:rsidR="002C16EB">
        <w:rPr>
          <w:lang w:val="fr-CH"/>
        </w:rPr>
        <w:t>. U</w:t>
      </w:r>
      <w:r w:rsidRPr="008653E6">
        <w:rPr>
          <w:lang w:val="fr-CH"/>
        </w:rPr>
        <w:t xml:space="preserve">n outil de recherche pour les </w:t>
      </w:r>
      <w:r w:rsidR="00BE0203" w:rsidRPr="008653E6">
        <w:rPr>
          <w:lang w:val="fr-CH"/>
        </w:rPr>
        <w:t>R</w:t>
      </w:r>
      <w:r w:rsidRPr="008653E6">
        <w:rPr>
          <w:lang w:val="fr-CH"/>
        </w:rPr>
        <w:t>apports de l</w:t>
      </w:r>
      <w:r w:rsidR="00D3135C">
        <w:rPr>
          <w:lang w:val="fr-CH"/>
        </w:rPr>
        <w:t>'</w:t>
      </w:r>
      <w:r w:rsidRPr="008653E6">
        <w:rPr>
          <w:lang w:val="fr-CH"/>
        </w:rPr>
        <w:t>UIT-R a été mis à disposition dans une version de démonstration en novembre 2015 et des outils de recherche pour les Résolutions ainsi que les Manuels de l</w:t>
      </w:r>
      <w:r w:rsidR="00D3135C">
        <w:rPr>
          <w:lang w:val="fr-CH"/>
        </w:rPr>
        <w:t>'</w:t>
      </w:r>
      <w:r w:rsidRPr="008653E6">
        <w:rPr>
          <w:lang w:val="fr-CH"/>
        </w:rPr>
        <w:t>UIT-R devraient être disponibles au deuxième trimestre de 2016.</w:t>
      </w:r>
      <w:bookmarkEnd w:id="97"/>
    </w:p>
    <w:p w:rsidR="00A20AEB" w:rsidRPr="008653E6" w:rsidRDefault="002C16EB" w:rsidP="002C16EB">
      <w:pPr>
        <w:rPr>
          <w:lang w:val="fr-CH"/>
        </w:rPr>
      </w:pPr>
      <w:bookmarkStart w:id="98" w:name="lt_pId997"/>
      <w:r>
        <w:rPr>
          <w:lang w:val="fr-CH"/>
        </w:rPr>
        <w:t>A</w:t>
      </w:r>
      <w:r w:rsidR="00A20AEB" w:rsidRPr="008653E6">
        <w:rPr>
          <w:lang w:val="fr-CH"/>
        </w:rPr>
        <w:t xml:space="preserve"> l</w:t>
      </w:r>
      <w:r w:rsidR="00D3135C">
        <w:rPr>
          <w:lang w:val="fr-CH"/>
        </w:rPr>
        <w:t>'</w:t>
      </w:r>
      <w:r w:rsidR="00A20AEB" w:rsidRPr="008653E6">
        <w:rPr>
          <w:lang w:val="fr-CH"/>
        </w:rPr>
        <w:t>heure actuelle, ces travaux visent essentiellement à élaborer les méthodes de travail qui</w:t>
      </w:r>
      <w:r>
        <w:rPr>
          <w:lang w:val="fr-CH"/>
        </w:rPr>
        <w:t xml:space="preserve"> définiront </w:t>
      </w:r>
      <w:r w:rsidR="00A20AEB" w:rsidRPr="008653E6">
        <w:rPr>
          <w:lang w:val="fr-CH"/>
        </w:rPr>
        <w:t>les a</w:t>
      </w:r>
      <w:r>
        <w:rPr>
          <w:lang w:val="fr-CH"/>
        </w:rPr>
        <w:t xml:space="preserve">ttributions et responsabilités </w:t>
      </w:r>
      <w:r w:rsidR="00A20AEB" w:rsidRPr="008653E6">
        <w:rPr>
          <w:lang w:val="fr-CH"/>
        </w:rPr>
        <w:t>du BR de l</w:t>
      </w:r>
      <w:r w:rsidR="00D3135C">
        <w:rPr>
          <w:lang w:val="fr-CH"/>
        </w:rPr>
        <w:t>'</w:t>
      </w:r>
      <w:r w:rsidR="00A20AEB" w:rsidRPr="008653E6">
        <w:rPr>
          <w:lang w:val="fr-CH"/>
        </w:rPr>
        <w:t xml:space="preserve">UIT et des CE/GT </w:t>
      </w:r>
      <w:r>
        <w:rPr>
          <w:lang w:val="fr-CH"/>
        </w:rPr>
        <w:t>de l</w:t>
      </w:r>
      <w:r w:rsidR="00D3135C">
        <w:rPr>
          <w:lang w:val="fr-CH"/>
        </w:rPr>
        <w:t>'</w:t>
      </w:r>
      <w:r w:rsidR="00A20AEB" w:rsidRPr="008653E6">
        <w:rPr>
          <w:lang w:val="fr-CH"/>
        </w:rPr>
        <w:t xml:space="preserve">UIT-R en </w:t>
      </w:r>
      <w:r>
        <w:rPr>
          <w:lang w:val="fr-CH"/>
        </w:rPr>
        <w:t>vue de</w:t>
      </w:r>
      <w:r w:rsidR="00A20AEB" w:rsidRPr="008653E6">
        <w:rPr>
          <w:lang w:val="fr-CH"/>
        </w:rPr>
        <w:t xml:space="preserve"> la tenue à jour de la base de données. </w:t>
      </w:r>
      <w:bookmarkStart w:id="99" w:name="lt_pId998"/>
      <w:bookmarkEnd w:id="98"/>
      <w:r w:rsidR="00A20AEB" w:rsidRPr="008653E6">
        <w:rPr>
          <w:lang w:val="fr-CH"/>
        </w:rPr>
        <w:t>Une fois que toutes les fonctionnalités de la base de données et son mécanisme de mise à jour auront été vér</w:t>
      </w:r>
      <w:r w:rsidR="009440A0">
        <w:rPr>
          <w:lang w:val="fr-CH"/>
        </w:rPr>
        <w:t>ifiés,</w:t>
      </w:r>
      <w:r w:rsidR="00A20AEB" w:rsidRPr="008653E6">
        <w:rPr>
          <w:lang w:val="fr-CH"/>
        </w:rPr>
        <w:t xml:space="preserve"> </w:t>
      </w:r>
      <w:r>
        <w:rPr>
          <w:lang w:val="fr-CH"/>
        </w:rPr>
        <w:t>la conception</w:t>
      </w:r>
      <w:r w:rsidR="00A20AEB" w:rsidRPr="008653E6">
        <w:rPr>
          <w:lang w:val="fr-CH"/>
        </w:rPr>
        <w:t xml:space="preserve"> </w:t>
      </w:r>
      <w:r>
        <w:rPr>
          <w:lang w:val="fr-CH"/>
        </w:rPr>
        <w:t>d</w:t>
      </w:r>
      <w:r w:rsidR="00D3135C">
        <w:rPr>
          <w:lang w:val="fr-CH"/>
        </w:rPr>
        <w:t>'</w:t>
      </w:r>
      <w:r w:rsidR="00A20AEB" w:rsidRPr="008653E6">
        <w:rPr>
          <w:lang w:val="fr-CH"/>
        </w:rPr>
        <w:t xml:space="preserve">une application de recherche accessible sur des terminaux mobiles </w:t>
      </w:r>
      <w:bookmarkEnd w:id="99"/>
      <w:r>
        <w:rPr>
          <w:lang w:val="fr-CH"/>
        </w:rPr>
        <w:t>sera également envisagée.</w:t>
      </w:r>
    </w:p>
    <w:p w:rsidR="00A20AEB" w:rsidRPr="008653E6" w:rsidRDefault="00A20AEB" w:rsidP="00A20AEB">
      <w:pPr>
        <w:rPr>
          <w:lang w:val="fr-CH"/>
        </w:rPr>
      </w:pPr>
      <w:bookmarkStart w:id="100" w:name="lt_pId999"/>
      <w:r w:rsidRPr="008653E6">
        <w:rPr>
          <w:lang w:val="fr-CH"/>
        </w:rPr>
        <w:t>La base de don</w:t>
      </w:r>
      <w:r w:rsidR="009440A0">
        <w:rPr>
          <w:lang w:val="fr-CH"/>
        </w:rPr>
        <w:t>nées est accessible à l</w:t>
      </w:r>
      <w:r w:rsidR="00D3135C">
        <w:rPr>
          <w:lang w:val="fr-CH"/>
        </w:rPr>
        <w:t>'</w:t>
      </w:r>
      <w:r w:rsidR="009440A0">
        <w:rPr>
          <w:lang w:val="fr-CH"/>
        </w:rPr>
        <w:t>adresse</w:t>
      </w:r>
      <w:r w:rsidRPr="008653E6">
        <w:rPr>
          <w:lang w:val="fr-CH"/>
        </w:rPr>
        <w:t xml:space="preserve">: </w:t>
      </w:r>
      <w:hyperlink r:id="rId28" w:history="1">
        <w:r w:rsidRPr="008653E6">
          <w:rPr>
            <w:rStyle w:val="Hyperlink"/>
            <w:szCs w:val="24"/>
            <w:lang w:val="fr-CH"/>
          </w:rPr>
          <w:t>https://extranet.itu.int/brdocsearch/</w:t>
        </w:r>
      </w:hyperlink>
      <w:r w:rsidRPr="008653E6">
        <w:rPr>
          <w:lang w:val="fr-CH"/>
        </w:rPr>
        <w:t>.</w:t>
      </w:r>
      <w:bookmarkEnd w:id="100"/>
    </w:p>
    <w:p w:rsidR="00A20AEB" w:rsidRPr="008653E6" w:rsidRDefault="00A20AEB" w:rsidP="00A20AEB">
      <w:pPr>
        <w:rPr>
          <w:lang w:val="fr-CH"/>
        </w:rPr>
      </w:pPr>
      <w:bookmarkStart w:id="101" w:name="lt_pId1000"/>
      <w:r w:rsidRPr="008653E6">
        <w:rPr>
          <w:color w:val="000000"/>
        </w:rPr>
        <w:t>Date prévue pour l</w:t>
      </w:r>
      <w:r w:rsidR="00D3135C">
        <w:rPr>
          <w:color w:val="000000"/>
        </w:rPr>
        <w:t>'</w:t>
      </w:r>
      <w:r w:rsidRPr="008653E6">
        <w:rPr>
          <w:color w:val="000000"/>
        </w:rPr>
        <w:t>achèvement de l</w:t>
      </w:r>
      <w:r w:rsidR="00D3135C">
        <w:rPr>
          <w:color w:val="000000"/>
        </w:rPr>
        <w:t>'</w:t>
      </w:r>
      <w:r w:rsidRPr="008653E6">
        <w:rPr>
          <w:color w:val="000000"/>
        </w:rPr>
        <w:t>ensemble du projet: fin 2016.</w:t>
      </w:r>
      <w:bookmarkEnd w:id="101"/>
    </w:p>
    <w:p w:rsidR="009440A0" w:rsidRPr="008653E6" w:rsidRDefault="009440A0" w:rsidP="009440A0">
      <w:pPr>
        <w:pStyle w:val="Heading2"/>
        <w:rPr>
          <w:lang w:val="fr-CH"/>
        </w:rPr>
      </w:pPr>
      <w:bookmarkStart w:id="102" w:name="_Toc424047601"/>
      <w:bookmarkStart w:id="103" w:name="_Toc426463259"/>
      <w:r>
        <w:rPr>
          <w:lang w:val="fr-CH"/>
        </w:rPr>
        <w:t>8</w:t>
      </w:r>
      <w:r w:rsidRPr="008653E6">
        <w:rPr>
          <w:lang w:val="fr-CH"/>
        </w:rPr>
        <w:t>.2</w:t>
      </w:r>
      <w:r w:rsidRPr="008653E6">
        <w:rPr>
          <w:lang w:val="fr-CH"/>
        </w:rPr>
        <w:tab/>
      </w:r>
      <w:bookmarkEnd w:id="102"/>
      <w:r w:rsidRPr="008653E6">
        <w:rPr>
          <w:lang w:val="fr-CH"/>
        </w:rPr>
        <w:t>Séminaires et ateliers</w:t>
      </w:r>
      <w:bookmarkEnd w:id="103"/>
    </w:p>
    <w:p w:rsidR="009440A0" w:rsidRPr="008653E6" w:rsidRDefault="009440A0" w:rsidP="00BC0CAD">
      <w:pPr>
        <w:pStyle w:val="Heading3"/>
        <w:rPr>
          <w:rFonts w:asciiTheme="majorBidi" w:hAnsiTheme="majorBidi" w:cstheme="majorBidi"/>
          <w:szCs w:val="24"/>
        </w:rPr>
      </w:pPr>
      <w:bookmarkStart w:id="104" w:name="_Toc424047602"/>
      <w:bookmarkStart w:id="105" w:name="_Toc426463260"/>
      <w:r>
        <w:rPr>
          <w:rFonts w:asciiTheme="majorBidi" w:hAnsiTheme="majorBidi" w:cstheme="majorBidi"/>
          <w:szCs w:val="24"/>
        </w:rPr>
        <w:t>8</w:t>
      </w:r>
      <w:r w:rsidRPr="008653E6">
        <w:rPr>
          <w:rFonts w:asciiTheme="majorBidi" w:hAnsiTheme="majorBidi" w:cstheme="majorBidi"/>
          <w:szCs w:val="24"/>
        </w:rPr>
        <w:t>.2.1</w:t>
      </w:r>
      <w:r w:rsidRPr="008653E6">
        <w:rPr>
          <w:rFonts w:asciiTheme="majorBidi" w:hAnsiTheme="majorBidi" w:cstheme="majorBidi"/>
          <w:szCs w:val="24"/>
        </w:rPr>
        <w:tab/>
      </w:r>
      <w:r w:rsidRPr="008653E6">
        <w:t>Séminaires mondiaux des radiocommunications</w:t>
      </w:r>
      <w:r w:rsidRPr="008653E6">
        <w:rPr>
          <w:rFonts w:asciiTheme="majorBidi" w:hAnsiTheme="majorBidi" w:cstheme="majorBidi"/>
          <w:szCs w:val="24"/>
        </w:rPr>
        <w:t xml:space="preserve"> (WRS)</w:t>
      </w:r>
      <w:bookmarkEnd w:id="104"/>
      <w:bookmarkEnd w:id="105"/>
    </w:p>
    <w:p w:rsidR="009440A0" w:rsidRPr="00BC0CAD" w:rsidRDefault="009440A0" w:rsidP="00BC0CAD">
      <w:pPr>
        <w:rPr>
          <w:lang w:val="fr-CH"/>
        </w:rPr>
      </w:pPr>
      <w:r w:rsidRPr="00BC0CAD">
        <w:rPr>
          <w:lang w:val="fr-CH"/>
        </w:rPr>
        <w:t xml:space="preserve">Depuis la CMR-12, les deux </w:t>
      </w:r>
      <w:r w:rsidRPr="008653E6">
        <w:rPr>
          <w:lang w:val="fr-CH"/>
        </w:rPr>
        <w:t>S</w:t>
      </w:r>
      <w:r w:rsidRPr="00BC0CAD">
        <w:rPr>
          <w:lang w:val="fr-CH"/>
        </w:rPr>
        <w:t xml:space="preserve">éminaires mondiaux des radiocommunications (WRS) ci-après ont eu lieu à Genève: </w:t>
      </w:r>
    </w:p>
    <w:p w:rsidR="009440A0" w:rsidRPr="008653E6" w:rsidRDefault="009440A0" w:rsidP="009440A0">
      <w:pPr>
        <w:pStyle w:val="enumlev1"/>
      </w:pPr>
      <w:r w:rsidRPr="008653E6">
        <w:t>–</w:t>
      </w:r>
      <w:r w:rsidRPr="008653E6">
        <w:tab/>
      </w:r>
      <w:r w:rsidRPr="008653E6">
        <w:rPr>
          <w:b/>
          <w:bCs/>
        </w:rPr>
        <w:t>WRS-12</w:t>
      </w:r>
      <w:r w:rsidRPr="008653E6">
        <w:t>, du 3 au 7 décembre 2012, en présence de 394 participants de 96 pays;</w:t>
      </w:r>
    </w:p>
    <w:p w:rsidR="009440A0" w:rsidRPr="008653E6" w:rsidRDefault="009440A0" w:rsidP="009440A0">
      <w:pPr>
        <w:pStyle w:val="enumlev1"/>
      </w:pPr>
      <w:r w:rsidRPr="008653E6">
        <w:t>–</w:t>
      </w:r>
      <w:r w:rsidRPr="008653E6">
        <w:tab/>
      </w:r>
      <w:r w:rsidRPr="008653E6">
        <w:rPr>
          <w:b/>
          <w:bCs/>
        </w:rPr>
        <w:t>WRS-14</w:t>
      </w:r>
      <w:r w:rsidRPr="008653E6">
        <w:t>, du 8 au 12 décembre 2014, en présence de 357 participants de 104 pays.</w:t>
      </w:r>
    </w:p>
    <w:p w:rsidR="009440A0" w:rsidRPr="008653E6" w:rsidRDefault="009440A0" w:rsidP="009E42AD">
      <w:pPr>
        <w:rPr>
          <w:rFonts w:asciiTheme="majorBidi" w:hAnsiTheme="majorBidi" w:cstheme="majorBidi"/>
          <w:szCs w:val="24"/>
          <w:lang w:val="fr-CH"/>
        </w:rPr>
      </w:pPr>
      <w:r w:rsidRPr="008653E6">
        <w:t>Un service d</w:t>
      </w:r>
      <w:r w:rsidR="00D3135C">
        <w:t>'</w:t>
      </w:r>
      <w:r w:rsidRPr="008653E6">
        <w:t>interprétation simultanée a été assuré dans les six langues officielles de l</w:t>
      </w:r>
      <w:r w:rsidR="00D3135C">
        <w:t>'</w:t>
      </w:r>
      <w:r w:rsidRPr="008653E6">
        <w:t>UIT pour les exposés et les discussions.</w:t>
      </w:r>
      <w:r w:rsidRPr="008653E6">
        <w:rPr>
          <w:rFonts w:asciiTheme="majorBidi" w:hAnsiTheme="majorBidi" w:cstheme="majorBidi"/>
          <w:szCs w:val="24"/>
          <w:lang w:val="fr-CH"/>
        </w:rPr>
        <w:t xml:space="preserve"> Parallèlement</w:t>
      </w:r>
      <w:r w:rsidRPr="008653E6">
        <w:t>, des ateliers consacrés aux services spatiaux et aux services de Terre ont été organisés pendant trois jours. Les ateliers se sont tenus en groupes distincts, en fonction des langues et des installations disponibles</w:t>
      </w:r>
      <w:r w:rsidRPr="008653E6">
        <w:rPr>
          <w:rFonts w:asciiTheme="majorBidi" w:hAnsiTheme="majorBidi" w:cstheme="majorBidi"/>
          <w:szCs w:val="24"/>
          <w:lang w:val="fr-CH"/>
        </w:rPr>
        <w:t xml:space="preserve">. </w:t>
      </w:r>
      <w:r w:rsidRPr="008653E6">
        <w:t xml:space="preserve">Le </w:t>
      </w:r>
      <w:r w:rsidRPr="008653E6">
        <w:rPr>
          <w:rFonts w:asciiTheme="majorBidi" w:hAnsiTheme="majorBidi" w:cstheme="majorBidi"/>
          <w:szCs w:val="24"/>
          <w:lang w:val="fr-CH"/>
        </w:rPr>
        <w:t xml:space="preserve">WRS-12 et le </w:t>
      </w:r>
      <w:r w:rsidRPr="008653E6">
        <w:t>WSR-14 ont été des séminaires «sans papier», c</w:t>
      </w:r>
      <w:r w:rsidR="00D3135C">
        <w:t>'</w:t>
      </w:r>
      <w:r w:rsidRPr="008653E6">
        <w:t>est-à-dire que les documents qui s</w:t>
      </w:r>
      <w:r w:rsidR="00D3135C">
        <w:t>'</w:t>
      </w:r>
      <w:r w:rsidRPr="008653E6">
        <w:t xml:space="preserve">y rapportaient ont été postés sur le site web </w:t>
      </w:r>
      <w:r w:rsidRPr="008653E6">
        <w:rPr>
          <w:rFonts w:asciiTheme="majorBidi" w:hAnsiTheme="majorBidi" w:cstheme="majorBidi"/>
          <w:szCs w:val="24"/>
          <w:lang w:val="fr-CH"/>
        </w:rPr>
        <w:t>à l</w:t>
      </w:r>
      <w:r w:rsidR="00D3135C">
        <w:rPr>
          <w:rFonts w:asciiTheme="majorBidi" w:hAnsiTheme="majorBidi" w:cstheme="majorBidi"/>
          <w:szCs w:val="24"/>
          <w:lang w:val="fr-CH"/>
        </w:rPr>
        <w:t>'</w:t>
      </w:r>
      <w:r w:rsidRPr="008653E6">
        <w:rPr>
          <w:rFonts w:asciiTheme="majorBidi" w:hAnsiTheme="majorBidi" w:cstheme="majorBidi"/>
          <w:szCs w:val="24"/>
          <w:lang w:val="fr-CH"/>
        </w:rPr>
        <w:t xml:space="preserve">adresse: </w:t>
      </w:r>
      <w:hyperlink r:id="rId29" w:history="1">
        <w:r w:rsidR="009E42AD" w:rsidRPr="00906B2F">
          <w:rPr>
            <w:rStyle w:val="Hyperlink"/>
            <w:szCs w:val="24"/>
          </w:rPr>
          <w:t>http://www.itu.int/ITU-R/go/seminars</w:t>
        </w:r>
      </w:hyperlink>
      <w:r w:rsidRPr="008653E6">
        <w:rPr>
          <w:rFonts w:asciiTheme="majorBidi" w:hAnsiTheme="majorBidi" w:cstheme="majorBidi"/>
          <w:szCs w:val="24"/>
          <w:lang w:val="fr-CH"/>
        </w:rPr>
        <w:t xml:space="preserve">. </w:t>
      </w:r>
    </w:p>
    <w:p w:rsidR="009440A0" w:rsidRPr="008653E6" w:rsidRDefault="009440A0" w:rsidP="00785D5A">
      <w:pPr>
        <w:rPr>
          <w:lang w:val="fr-CH"/>
        </w:rPr>
      </w:pPr>
      <w:r w:rsidRPr="008653E6">
        <w:rPr>
          <w:lang w:val="fr-CH"/>
        </w:rPr>
        <w:t>Le BR a accordé des bourses complètes pour la participation aux séminaires WRS (</w:t>
      </w:r>
      <w:r w:rsidR="00785D5A">
        <w:rPr>
          <w:color w:val="000000"/>
        </w:rPr>
        <w:t>seule</w:t>
      </w:r>
      <w:r w:rsidR="00785D5A" w:rsidRPr="008653E6">
        <w:rPr>
          <w:color w:val="000000"/>
        </w:rPr>
        <w:t xml:space="preserve"> </w:t>
      </w:r>
      <w:r w:rsidRPr="008653E6">
        <w:rPr>
          <w:color w:val="000000"/>
        </w:rPr>
        <w:t>une</w:t>
      </w:r>
      <w:r w:rsidR="00785D5A">
        <w:rPr>
          <w:color w:val="000000"/>
        </w:rPr>
        <w:t xml:space="preserve"> </w:t>
      </w:r>
      <w:r w:rsidRPr="008653E6">
        <w:rPr>
          <w:color w:val="000000"/>
        </w:rPr>
        <w:t>bourse par pays remplissant les conditions requises)</w:t>
      </w:r>
      <w:r w:rsidRPr="008653E6">
        <w:rPr>
          <w:lang w:val="fr-CH"/>
        </w:rPr>
        <w:t xml:space="preserve">. </w:t>
      </w:r>
      <w:r w:rsidR="00785D5A">
        <w:rPr>
          <w:lang w:val="fr-CH"/>
        </w:rPr>
        <w:t>Soixante-quatre</w:t>
      </w:r>
      <w:r w:rsidRPr="008653E6">
        <w:rPr>
          <w:lang w:val="fr-CH"/>
        </w:rPr>
        <w:t xml:space="preserve"> bourses complètes ont été octroyées.</w:t>
      </w:r>
    </w:p>
    <w:p w:rsidR="009440A0" w:rsidRPr="008653E6" w:rsidRDefault="009440A0" w:rsidP="009440A0">
      <w:pPr>
        <w:pStyle w:val="Heading3"/>
      </w:pPr>
      <w:bookmarkStart w:id="106" w:name="_Toc424047603"/>
      <w:bookmarkStart w:id="107" w:name="_Toc426463261"/>
      <w:r w:rsidRPr="008653E6">
        <w:t>8.2.2</w:t>
      </w:r>
      <w:r w:rsidRPr="008653E6">
        <w:tab/>
        <w:t>Séminaires régionaux des radiocommunications (RRS)</w:t>
      </w:r>
      <w:bookmarkEnd w:id="106"/>
      <w:bookmarkEnd w:id="107"/>
    </w:p>
    <w:p w:rsidR="009440A0" w:rsidRPr="008653E6" w:rsidRDefault="009440A0" w:rsidP="009440A0">
      <w:pPr>
        <w:rPr>
          <w:lang w:val="fr-CH"/>
        </w:rPr>
      </w:pPr>
      <w:r w:rsidRPr="008653E6">
        <w:t>En complément des séminaires mondiaux des radiocommunications qui se tiennent tous les deux ans, le BR organise chaque année, dans le cadre d</w:t>
      </w:r>
      <w:r w:rsidR="00D3135C">
        <w:t>'</w:t>
      </w:r>
      <w:r w:rsidRPr="008653E6">
        <w:t>une stratégie de sensibilisation sur le plan régional, des séminaires régionaux des radiocommunications (RRS), qui ont lieu dans les différentes régions du monde, en vue de promouvoir le renforcement des capacités humaines en ce qui concerne l</w:t>
      </w:r>
      <w:r w:rsidR="00D3135C">
        <w:t>'</w:t>
      </w:r>
      <w:r w:rsidRPr="008653E6">
        <w:t>utilisation du spectre des fréquences radioélectriques et des orbites de satellites et, en particulier, l</w:t>
      </w:r>
      <w:r w:rsidR="00D3135C">
        <w:t>'</w:t>
      </w:r>
      <w:r w:rsidRPr="008653E6">
        <w:t>application des dispositions du Règlement des radiocommunications de l</w:t>
      </w:r>
      <w:r w:rsidR="00D3135C">
        <w:t>'</w:t>
      </w:r>
      <w:r w:rsidRPr="008653E6">
        <w:t>UIT.</w:t>
      </w:r>
    </w:p>
    <w:p w:rsidR="009440A0" w:rsidRPr="008653E6" w:rsidRDefault="009440A0" w:rsidP="00785D5A">
      <w:pPr>
        <w:rPr>
          <w:lang w:val="fr-CH"/>
        </w:rPr>
      </w:pPr>
      <w:r w:rsidRPr="008653E6">
        <w:t>Les séminaires régionaux des radiocommunications comprennent une partie technique, d</w:t>
      </w:r>
      <w:r w:rsidR="00D3135C">
        <w:t>'</w:t>
      </w:r>
      <w:r w:rsidRPr="008653E6">
        <w:t>une durée de deux jours, et des ateliers d</w:t>
      </w:r>
      <w:r w:rsidR="00D3135C">
        <w:t>'</w:t>
      </w:r>
      <w:r w:rsidRPr="008653E6">
        <w:t>une durée de deux jours consacrés aux services de Terre et aux services spatiaux,</w:t>
      </w:r>
      <w:r w:rsidRPr="008653E6">
        <w:rPr>
          <w:lang w:val="fr-CH"/>
        </w:rPr>
        <w:t xml:space="preserve"> qui peuvent se tenir en parallèle ou en série, en fonction des besoins particuliers de la région.</w:t>
      </w:r>
      <w:r w:rsidRPr="008653E6">
        <w:t xml:space="preserve"> Les séminaires</w:t>
      </w:r>
      <w:r w:rsidRPr="008653E6">
        <w:rPr>
          <w:lang w:val="fr-CH"/>
        </w:rPr>
        <w:t xml:space="preserve"> RRS sont complétés par </w:t>
      </w:r>
      <w:r w:rsidRPr="008653E6">
        <w:t>un forum d</w:t>
      </w:r>
      <w:r w:rsidR="00D3135C">
        <w:t>'</w:t>
      </w:r>
      <w:r w:rsidRPr="008653E6">
        <w:t xml:space="preserve">une journée axé sur un thème </w:t>
      </w:r>
      <w:r w:rsidR="00785D5A">
        <w:t>relatif au</w:t>
      </w:r>
      <w:r w:rsidRPr="008653E6">
        <w:t xml:space="preserve"> spectre qui présente un intérêt particulier pour la région.</w:t>
      </w:r>
    </w:p>
    <w:p w:rsidR="009440A0" w:rsidRPr="008653E6" w:rsidRDefault="009440A0" w:rsidP="009E42AD">
      <w:pPr>
        <w:rPr>
          <w:rFonts w:asciiTheme="majorBidi" w:hAnsiTheme="majorBidi" w:cstheme="majorBidi"/>
          <w:szCs w:val="24"/>
          <w:lang w:val="fr-CH"/>
        </w:rPr>
      </w:pPr>
      <w:r w:rsidRPr="008653E6">
        <w:rPr>
          <w:lang w:val="fr-CH"/>
        </w:rPr>
        <w:t xml:space="preserve">On trouvera dans le Tableau </w:t>
      </w:r>
      <w:r w:rsidR="00785D5A">
        <w:rPr>
          <w:lang w:val="fr-CH"/>
        </w:rPr>
        <w:t>8</w:t>
      </w:r>
      <w:r w:rsidRPr="008653E6">
        <w:rPr>
          <w:lang w:val="fr-CH"/>
        </w:rPr>
        <w:t>.2.2-1 un récapitulatif des dix séminaires RRS qui se sont tenus depuis la CMR-12. En général, ces séminaires se tiennent à l</w:t>
      </w:r>
      <w:r w:rsidR="00D3135C">
        <w:rPr>
          <w:lang w:val="fr-CH"/>
        </w:rPr>
        <w:t>'</w:t>
      </w:r>
      <w:r w:rsidRPr="008653E6">
        <w:rPr>
          <w:lang w:val="fr-CH"/>
        </w:rPr>
        <w:t>invitation du gouvernement, du régulateur ou de l</w:t>
      </w:r>
      <w:r w:rsidR="00D3135C">
        <w:rPr>
          <w:lang w:val="fr-CH"/>
        </w:rPr>
        <w:t>'</w:t>
      </w:r>
      <w:r w:rsidRPr="008653E6">
        <w:rPr>
          <w:lang w:val="fr-CH"/>
        </w:rPr>
        <w:t>Autorité chargée de la gestion du spectre du pays considéré, en coopération avec les organisations régionales concernées et les bureaux régionaux ou bureaux de zone de l</w:t>
      </w:r>
      <w:r w:rsidR="00D3135C">
        <w:rPr>
          <w:lang w:val="fr-CH"/>
        </w:rPr>
        <w:t>'</w:t>
      </w:r>
      <w:r w:rsidRPr="008653E6">
        <w:rPr>
          <w:lang w:val="fr-CH"/>
        </w:rPr>
        <w:t>UIT.</w:t>
      </w:r>
      <w:r w:rsidRPr="008653E6">
        <w:rPr>
          <w:color w:val="000000"/>
        </w:rPr>
        <w:t xml:space="preserve"> Les</w:t>
      </w:r>
      <w:r w:rsidRPr="008653E6">
        <w:t xml:space="preserve"> séminaires</w:t>
      </w:r>
      <w:r w:rsidRPr="008653E6">
        <w:rPr>
          <w:lang w:val="fr-CH"/>
        </w:rPr>
        <w:t xml:space="preserve"> RRS</w:t>
      </w:r>
      <w:r w:rsidRPr="008653E6">
        <w:rPr>
          <w:color w:val="000000"/>
        </w:rPr>
        <w:t xml:space="preserve"> ont été des séminaires «sans papier», c</w:t>
      </w:r>
      <w:r w:rsidR="00D3135C">
        <w:rPr>
          <w:color w:val="000000"/>
        </w:rPr>
        <w:t>'</w:t>
      </w:r>
      <w:r w:rsidRPr="008653E6">
        <w:rPr>
          <w:color w:val="000000"/>
        </w:rPr>
        <w:t>est-à-dire que les documents qui s</w:t>
      </w:r>
      <w:r w:rsidR="00D3135C">
        <w:rPr>
          <w:color w:val="000000"/>
        </w:rPr>
        <w:t>'</w:t>
      </w:r>
      <w:r w:rsidRPr="008653E6">
        <w:rPr>
          <w:color w:val="000000"/>
        </w:rPr>
        <w:t xml:space="preserve">y rapportaient ont été postés sur le site web </w:t>
      </w:r>
      <w:r w:rsidRPr="008653E6">
        <w:rPr>
          <w:rFonts w:asciiTheme="majorBidi" w:hAnsiTheme="majorBidi" w:cstheme="majorBidi"/>
          <w:szCs w:val="24"/>
          <w:lang w:val="fr-CH"/>
        </w:rPr>
        <w:t>à l</w:t>
      </w:r>
      <w:r w:rsidR="00D3135C">
        <w:rPr>
          <w:rFonts w:asciiTheme="majorBidi" w:hAnsiTheme="majorBidi" w:cstheme="majorBidi"/>
          <w:szCs w:val="24"/>
          <w:lang w:val="fr-CH"/>
        </w:rPr>
        <w:t>'</w:t>
      </w:r>
      <w:r w:rsidRPr="008653E6">
        <w:rPr>
          <w:rFonts w:asciiTheme="majorBidi" w:hAnsiTheme="majorBidi" w:cstheme="majorBidi"/>
          <w:szCs w:val="24"/>
          <w:lang w:val="fr-CH"/>
        </w:rPr>
        <w:t xml:space="preserve">adresse: </w:t>
      </w:r>
      <w:hyperlink r:id="rId30" w:history="1">
        <w:r w:rsidR="009E42AD" w:rsidRPr="00906B2F">
          <w:rPr>
            <w:rStyle w:val="Hyperlink"/>
            <w:szCs w:val="24"/>
          </w:rPr>
          <w:t>http://www.itu.int/ITU-R/go/seminars</w:t>
        </w:r>
      </w:hyperlink>
      <w:r w:rsidRPr="008653E6">
        <w:rPr>
          <w:rFonts w:asciiTheme="majorBidi" w:hAnsiTheme="majorBidi" w:cstheme="majorBidi"/>
          <w:szCs w:val="24"/>
          <w:lang w:val="fr-CH"/>
        </w:rPr>
        <w:t xml:space="preserve">. </w:t>
      </w:r>
      <w:r w:rsidRPr="008653E6">
        <w:rPr>
          <w:lang w:val="fr-CH"/>
        </w:rPr>
        <w:t>Le BR a accordé des bourses partielles pour la participation aux séminaires RRS</w:t>
      </w:r>
      <w:r w:rsidRPr="008653E6">
        <w:rPr>
          <w:color w:val="000000"/>
        </w:rPr>
        <w:t xml:space="preserve"> </w:t>
      </w:r>
      <w:r w:rsidRPr="008653E6">
        <w:rPr>
          <w:lang w:val="fr-CH"/>
        </w:rPr>
        <w:t>(</w:t>
      </w:r>
      <w:r w:rsidRPr="008653E6">
        <w:rPr>
          <w:color w:val="000000"/>
        </w:rPr>
        <w:t>une seule bourse par pays remplissant les conditions requises)</w:t>
      </w:r>
      <w:r w:rsidRPr="008653E6">
        <w:rPr>
          <w:lang w:val="fr-CH"/>
        </w:rPr>
        <w:t>. Plus de 80 bourses partielles ont été octroyées</w:t>
      </w:r>
      <w:r w:rsidR="00785D5A">
        <w:rPr>
          <w:lang w:val="fr-CH"/>
        </w:rPr>
        <w:t>.</w:t>
      </w:r>
    </w:p>
    <w:p w:rsidR="009440A0" w:rsidRPr="008653E6" w:rsidRDefault="009440A0" w:rsidP="009440A0">
      <w:pPr>
        <w:rPr>
          <w:lang w:val="fr-CH"/>
        </w:rPr>
      </w:pPr>
      <w:r w:rsidRPr="008653E6">
        <w:rPr>
          <w:lang w:val="fr-CH"/>
        </w:rPr>
        <w:t>Il ressort d</w:t>
      </w:r>
      <w:r w:rsidR="00D3135C">
        <w:rPr>
          <w:lang w:val="fr-CH"/>
        </w:rPr>
        <w:t>'</w:t>
      </w:r>
      <w:r w:rsidRPr="008653E6">
        <w:rPr>
          <w:lang w:val="fr-CH"/>
        </w:rPr>
        <w:t>une analyse de la participation aux séminaires WRS et RRS que ces deux types de séminaires se complètent mutuellement:</w:t>
      </w:r>
    </w:p>
    <w:p w:rsidR="009440A0" w:rsidRPr="00BC0CAD" w:rsidRDefault="009440A0" w:rsidP="00BC0CAD">
      <w:pPr>
        <w:pStyle w:val="enumlev1"/>
      </w:pPr>
      <w:r w:rsidRPr="00BC0CAD">
        <w:t>–</w:t>
      </w:r>
      <w:r w:rsidRPr="00BC0CAD">
        <w:tab/>
      </w:r>
      <w:r w:rsidRPr="002A55C1">
        <w:rPr>
          <w:b/>
          <w:bCs/>
        </w:rPr>
        <w:t>Participation à deux séminaires WRS</w:t>
      </w:r>
      <w:r w:rsidRPr="00BC0CAD">
        <w:t>: 751 participants de 121 pays (dont 49 n</w:t>
      </w:r>
      <w:r w:rsidR="00D3135C" w:rsidRPr="00BC0CAD">
        <w:t>'</w:t>
      </w:r>
      <w:r w:rsidRPr="00BC0CAD">
        <w:t>ont pas participé au séminaire RRS).</w:t>
      </w:r>
    </w:p>
    <w:p w:rsidR="009440A0" w:rsidRPr="00BC0CAD" w:rsidRDefault="009440A0" w:rsidP="00BC0CAD">
      <w:pPr>
        <w:pStyle w:val="enumlev1"/>
      </w:pPr>
      <w:r w:rsidRPr="00BC0CAD">
        <w:t>–</w:t>
      </w:r>
      <w:r w:rsidRPr="00BC0CAD">
        <w:tab/>
      </w:r>
      <w:r w:rsidRPr="002A55C1">
        <w:rPr>
          <w:b/>
          <w:bCs/>
        </w:rPr>
        <w:t>Participation à dix séminaires RRS</w:t>
      </w:r>
      <w:r w:rsidRPr="00BC0CAD">
        <w:t>: 824 participants de 115 pays (dont 42 n</w:t>
      </w:r>
      <w:r w:rsidR="00D3135C" w:rsidRPr="00BC0CAD">
        <w:t>'</w:t>
      </w:r>
      <w:r w:rsidRPr="00BC0CAD">
        <w:t>ont pas participé au séminaire WRS).</w:t>
      </w:r>
    </w:p>
    <w:p w:rsidR="009440A0" w:rsidRPr="00BC0CAD" w:rsidRDefault="009440A0" w:rsidP="00BC0CAD">
      <w:pPr>
        <w:pStyle w:val="enumlev1"/>
      </w:pPr>
      <w:r w:rsidRPr="00BC0CAD">
        <w:t>–</w:t>
      </w:r>
      <w:r w:rsidRPr="00BC0CAD">
        <w:tab/>
      </w:r>
      <w:r w:rsidRPr="002A55C1">
        <w:rPr>
          <w:b/>
          <w:bCs/>
        </w:rPr>
        <w:t>Total</w:t>
      </w:r>
      <w:r w:rsidRPr="00BC0CAD">
        <w:t>: 12 séminaires, 1 575 participants de 165 pays.</w:t>
      </w:r>
    </w:p>
    <w:p w:rsidR="00785D5A" w:rsidRDefault="00785D5A" w:rsidP="009440A0">
      <w:pPr>
        <w:sectPr w:rsidR="00785D5A">
          <w:headerReference w:type="even" r:id="rId31"/>
          <w:headerReference w:type="default" r:id="rId32"/>
          <w:footerReference w:type="even" r:id="rId33"/>
          <w:footerReference w:type="default" r:id="rId34"/>
          <w:footerReference w:type="first" r:id="rId35"/>
          <w:pgSz w:w="11907" w:h="16834"/>
          <w:pgMar w:top="1418" w:right="1134" w:bottom="1418" w:left="1134" w:header="720" w:footer="720" w:gutter="0"/>
          <w:paperSrc w:first="15" w:other="15"/>
          <w:cols w:space="720"/>
          <w:titlePg/>
        </w:sectPr>
      </w:pPr>
    </w:p>
    <w:p w:rsidR="009440A0" w:rsidRPr="008653E6" w:rsidRDefault="009440A0" w:rsidP="009440A0">
      <w:pPr>
        <w:pStyle w:val="TableNo"/>
        <w:rPr>
          <w:lang w:val="fr-CH"/>
        </w:rPr>
      </w:pPr>
      <w:r w:rsidRPr="008653E6">
        <w:rPr>
          <w:lang w:val="fr-CH"/>
        </w:rPr>
        <w:t>TableAU 8.2.2-1</w:t>
      </w:r>
    </w:p>
    <w:p w:rsidR="009440A0" w:rsidRPr="008653E6" w:rsidRDefault="009440A0" w:rsidP="009440A0">
      <w:pPr>
        <w:pStyle w:val="Tabletitle"/>
        <w:rPr>
          <w:lang w:val="fr-CH"/>
        </w:rPr>
      </w:pPr>
      <w:r w:rsidRPr="008653E6">
        <w:rPr>
          <w:lang w:val="fr-CH"/>
        </w:rPr>
        <w:t>Séminaires régionaux des radiocommunications de l</w:t>
      </w:r>
      <w:r w:rsidR="00D3135C">
        <w:rPr>
          <w:lang w:val="fr-CH"/>
        </w:rPr>
        <w:t>'</w:t>
      </w:r>
      <w:r w:rsidRPr="008653E6">
        <w:rPr>
          <w:lang w:val="fr-CH"/>
        </w:rPr>
        <w:t>UIT (2013-2015)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276"/>
        <w:gridCol w:w="2126"/>
        <w:gridCol w:w="1701"/>
        <w:gridCol w:w="1985"/>
        <w:gridCol w:w="979"/>
        <w:gridCol w:w="1630"/>
      </w:tblGrid>
      <w:tr w:rsidR="009440A0" w:rsidRPr="00785D5A" w:rsidTr="00E3472E">
        <w:trPr>
          <w:tblHeader/>
          <w:jc w:val="center"/>
        </w:trPr>
        <w:tc>
          <w:tcPr>
            <w:tcW w:w="1980" w:type="dxa"/>
            <w:vAlign w:val="center"/>
          </w:tcPr>
          <w:p w:rsidR="009440A0" w:rsidRPr="00785D5A" w:rsidRDefault="009440A0" w:rsidP="00E3472E">
            <w:pPr>
              <w:pStyle w:val="Tablehead0"/>
              <w:spacing w:before="80" w:after="80"/>
              <w:rPr>
                <w:sz w:val="18"/>
                <w:szCs w:val="18"/>
              </w:rPr>
            </w:pPr>
            <w:r w:rsidRPr="00785D5A">
              <w:rPr>
                <w:sz w:val="18"/>
                <w:szCs w:val="18"/>
              </w:rPr>
              <w:t>Date</w:t>
            </w:r>
          </w:p>
        </w:tc>
        <w:tc>
          <w:tcPr>
            <w:tcW w:w="1984" w:type="dxa"/>
            <w:vAlign w:val="center"/>
          </w:tcPr>
          <w:p w:rsidR="009440A0" w:rsidRPr="00785D5A" w:rsidRDefault="009440A0" w:rsidP="00E3472E">
            <w:pPr>
              <w:pStyle w:val="Tablehead0"/>
              <w:spacing w:before="80" w:after="80"/>
              <w:rPr>
                <w:sz w:val="18"/>
                <w:szCs w:val="18"/>
              </w:rPr>
            </w:pPr>
            <w:r w:rsidRPr="00785D5A">
              <w:rPr>
                <w:sz w:val="18"/>
                <w:szCs w:val="18"/>
              </w:rPr>
              <w:t>RRS</w:t>
            </w:r>
          </w:p>
        </w:tc>
        <w:tc>
          <w:tcPr>
            <w:tcW w:w="1276" w:type="dxa"/>
            <w:vAlign w:val="center"/>
          </w:tcPr>
          <w:p w:rsidR="009440A0" w:rsidRPr="00785D5A" w:rsidRDefault="009440A0" w:rsidP="00E3472E">
            <w:pPr>
              <w:pStyle w:val="Tablehead0"/>
              <w:spacing w:before="80" w:after="80"/>
              <w:rPr>
                <w:sz w:val="18"/>
                <w:szCs w:val="18"/>
              </w:rPr>
            </w:pPr>
            <w:r w:rsidRPr="00785D5A">
              <w:rPr>
                <w:sz w:val="18"/>
                <w:szCs w:val="18"/>
              </w:rPr>
              <w:t>Lieu</w:t>
            </w:r>
          </w:p>
        </w:tc>
        <w:tc>
          <w:tcPr>
            <w:tcW w:w="2126" w:type="dxa"/>
            <w:vAlign w:val="center"/>
          </w:tcPr>
          <w:p w:rsidR="009440A0" w:rsidRPr="00785D5A" w:rsidRDefault="009440A0" w:rsidP="00E3472E">
            <w:pPr>
              <w:pStyle w:val="Tablehead0"/>
              <w:spacing w:before="80" w:after="80"/>
              <w:rPr>
                <w:sz w:val="18"/>
                <w:szCs w:val="18"/>
              </w:rPr>
            </w:pPr>
            <w:r w:rsidRPr="00785D5A">
              <w:rPr>
                <w:sz w:val="18"/>
                <w:szCs w:val="18"/>
              </w:rPr>
              <w:t>Organisateur</w:t>
            </w:r>
          </w:p>
        </w:tc>
        <w:tc>
          <w:tcPr>
            <w:tcW w:w="1701" w:type="dxa"/>
            <w:vAlign w:val="center"/>
          </w:tcPr>
          <w:p w:rsidR="009440A0" w:rsidRPr="00785D5A" w:rsidRDefault="009440A0" w:rsidP="00E3472E">
            <w:pPr>
              <w:pStyle w:val="Tablehead0"/>
              <w:spacing w:before="80" w:after="80"/>
              <w:rPr>
                <w:sz w:val="18"/>
                <w:szCs w:val="18"/>
              </w:rPr>
            </w:pPr>
            <w:r w:rsidRPr="00785D5A">
              <w:rPr>
                <w:sz w:val="18"/>
                <w:szCs w:val="18"/>
              </w:rPr>
              <w:t>Coopération</w:t>
            </w:r>
          </w:p>
        </w:tc>
        <w:tc>
          <w:tcPr>
            <w:tcW w:w="1985" w:type="dxa"/>
            <w:vAlign w:val="center"/>
          </w:tcPr>
          <w:p w:rsidR="009440A0" w:rsidRPr="00785D5A" w:rsidRDefault="009440A0" w:rsidP="00E3472E">
            <w:pPr>
              <w:pStyle w:val="Tablehead0"/>
              <w:spacing w:before="80" w:after="80"/>
              <w:rPr>
                <w:sz w:val="18"/>
                <w:szCs w:val="18"/>
              </w:rPr>
            </w:pPr>
            <w:r w:rsidRPr="00785D5A">
              <w:rPr>
                <w:sz w:val="18"/>
                <w:szCs w:val="18"/>
              </w:rPr>
              <w:t xml:space="preserve">Thèmes du Forum </w:t>
            </w:r>
          </w:p>
        </w:tc>
        <w:tc>
          <w:tcPr>
            <w:tcW w:w="979" w:type="dxa"/>
            <w:vAlign w:val="center"/>
          </w:tcPr>
          <w:p w:rsidR="009440A0" w:rsidRPr="00785D5A" w:rsidRDefault="009440A0" w:rsidP="00E3472E">
            <w:pPr>
              <w:pStyle w:val="Tablehead0"/>
              <w:spacing w:before="80" w:after="80"/>
              <w:rPr>
                <w:sz w:val="18"/>
                <w:szCs w:val="18"/>
              </w:rPr>
            </w:pPr>
            <w:r w:rsidRPr="00785D5A">
              <w:rPr>
                <w:sz w:val="18"/>
                <w:szCs w:val="18"/>
              </w:rPr>
              <w:t>Langues</w:t>
            </w:r>
          </w:p>
        </w:tc>
        <w:tc>
          <w:tcPr>
            <w:tcW w:w="1630" w:type="dxa"/>
            <w:vAlign w:val="center"/>
          </w:tcPr>
          <w:p w:rsidR="009440A0" w:rsidRPr="00785D5A" w:rsidRDefault="009440A0" w:rsidP="00E3472E">
            <w:pPr>
              <w:pStyle w:val="Tablehead0"/>
              <w:spacing w:before="80" w:after="80"/>
              <w:rPr>
                <w:sz w:val="18"/>
                <w:szCs w:val="18"/>
              </w:rPr>
            </w:pPr>
            <w:r w:rsidRPr="00785D5A">
              <w:rPr>
                <w:sz w:val="18"/>
                <w:szCs w:val="18"/>
              </w:rPr>
              <w:t>Participants/</w:t>
            </w:r>
            <w:r w:rsidRPr="00785D5A">
              <w:rPr>
                <w:sz w:val="18"/>
                <w:szCs w:val="18"/>
              </w:rPr>
              <w:br/>
              <w:t>administrations</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8-12 juillet 2013</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RRS-13-Amériques</w:t>
            </w:r>
          </w:p>
        </w:tc>
        <w:tc>
          <w:tcPr>
            <w:tcW w:w="127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Asunción, Paraguay</w:t>
            </w:r>
          </w:p>
        </w:tc>
        <w:tc>
          <w:tcPr>
            <w:tcW w:w="212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CONATEL Paraguay</w:t>
            </w:r>
          </w:p>
        </w:tc>
        <w:tc>
          <w:tcPr>
            <w:tcW w:w="1701"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Amériques</w:t>
            </w:r>
          </w:p>
        </w:tc>
        <w:tc>
          <w:tcPr>
            <w:tcW w:w="1985"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Le dividende numérique en Amérique latine</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S, 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121/9</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16-20 septembre 2013</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RRS-13-Afrique</w:t>
            </w:r>
          </w:p>
        </w:tc>
        <w:tc>
          <w:tcPr>
            <w:tcW w:w="1276" w:type="dxa"/>
            <w:vAlign w:val="center"/>
          </w:tcPr>
          <w:p w:rsidR="009440A0" w:rsidRPr="00785D5A" w:rsidRDefault="009440A0" w:rsidP="00E3472E">
            <w:pPr>
              <w:jc w:val="center"/>
              <w:rPr>
                <w:rFonts w:asciiTheme="majorBidi" w:hAnsiTheme="majorBidi" w:cstheme="majorBidi"/>
                <w:bCs/>
                <w:sz w:val="18"/>
                <w:szCs w:val="18"/>
                <w:lang w:val="en-US"/>
              </w:rPr>
            </w:pPr>
            <w:r w:rsidRPr="00785D5A">
              <w:rPr>
                <w:rFonts w:asciiTheme="majorBidi" w:hAnsiTheme="majorBidi" w:cstheme="majorBidi"/>
                <w:bCs/>
                <w:sz w:val="18"/>
                <w:szCs w:val="18"/>
                <w:lang w:val="en-US"/>
              </w:rPr>
              <w:t>Yaoundé, Cameroun</w:t>
            </w:r>
          </w:p>
        </w:tc>
        <w:tc>
          <w:tcPr>
            <w:tcW w:w="212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MINPOSTEL Cameroun</w:t>
            </w:r>
          </w:p>
        </w:tc>
        <w:tc>
          <w:tcPr>
            <w:tcW w:w="1701"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UAT,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Afrique</w:t>
            </w:r>
          </w:p>
        </w:tc>
        <w:tc>
          <w:tcPr>
            <w:tcW w:w="1985"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L</w:t>
            </w:r>
            <w:r w:rsidR="00D3135C">
              <w:rPr>
                <w:rFonts w:asciiTheme="majorBidi" w:hAnsiTheme="majorBidi" w:cstheme="majorBidi"/>
                <w:sz w:val="18"/>
                <w:szCs w:val="18"/>
              </w:rPr>
              <w:t>'</w:t>
            </w:r>
            <w:r w:rsidRPr="00785D5A">
              <w:rPr>
                <w:rFonts w:asciiTheme="majorBidi" w:hAnsiTheme="majorBidi" w:cstheme="majorBidi"/>
                <w:sz w:val="18"/>
                <w:szCs w:val="18"/>
              </w:rPr>
              <w:t>avenir de la bande des ondes décimétriques dans la région Afrique</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F, 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135/33</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28 octobre- 1er novembre 2013</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RRS-13-Asie-Pacifique</w:t>
            </w:r>
          </w:p>
        </w:tc>
        <w:tc>
          <w:tcPr>
            <w:tcW w:w="127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Nadi, Fidji</w:t>
            </w:r>
          </w:p>
        </w:tc>
        <w:tc>
          <w:tcPr>
            <w:tcW w:w="2126"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Ministère des Communications, Fidji</w:t>
            </w:r>
          </w:p>
        </w:tc>
        <w:tc>
          <w:tcPr>
            <w:tcW w:w="1701"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PITA,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Asie-Pacifique</w:t>
            </w:r>
          </w:p>
        </w:tc>
        <w:tc>
          <w:tcPr>
            <w:tcW w:w="1985"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L</w:t>
            </w:r>
            <w:r w:rsidR="00D3135C">
              <w:rPr>
                <w:rFonts w:asciiTheme="majorBidi" w:hAnsiTheme="majorBidi" w:cstheme="majorBidi"/>
                <w:sz w:val="18"/>
                <w:szCs w:val="18"/>
              </w:rPr>
              <w:t>'</w:t>
            </w:r>
            <w:r w:rsidRPr="00785D5A">
              <w:rPr>
                <w:rFonts w:asciiTheme="majorBidi" w:hAnsiTheme="majorBidi" w:cstheme="majorBidi"/>
                <w:sz w:val="18"/>
                <w:szCs w:val="18"/>
              </w:rPr>
              <w:t>avenir de la bande C dans la région Asie-Pacifique</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53/18</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9-13 décembre 2013</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RRS-13-Etats arabes</w:t>
            </w:r>
          </w:p>
        </w:tc>
        <w:tc>
          <w:tcPr>
            <w:tcW w:w="127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Tunis, Tunisie</w:t>
            </w:r>
          </w:p>
        </w:tc>
        <w:tc>
          <w:tcPr>
            <w:tcW w:w="212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ANF-Tunisie</w:t>
            </w:r>
          </w:p>
        </w:tc>
        <w:tc>
          <w:tcPr>
            <w:tcW w:w="1701"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ASMG,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des Etats arabes</w:t>
            </w:r>
          </w:p>
        </w:tc>
        <w:tc>
          <w:tcPr>
            <w:tcW w:w="1985"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Les futurs systèmes de radiocommunication cognitifs et les espaces blancs de télévision</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A, 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49/12</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26-30 mai 2014</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RRS-14-Asie</w:t>
            </w:r>
          </w:p>
        </w:tc>
        <w:tc>
          <w:tcPr>
            <w:tcW w:w="127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Hanoï, Viet Nam</w:t>
            </w:r>
          </w:p>
        </w:tc>
        <w:tc>
          <w:tcPr>
            <w:tcW w:w="212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MIC</w:t>
            </w:r>
            <w:r w:rsidRPr="00785D5A">
              <w:rPr>
                <w:rFonts w:asciiTheme="majorBidi" w:hAnsiTheme="majorBidi" w:cstheme="majorBidi"/>
                <w:sz w:val="18"/>
                <w:szCs w:val="18"/>
              </w:rPr>
              <w:br/>
              <w:t>Viet Nam</w:t>
            </w:r>
          </w:p>
        </w:tc>
        <w:tc>
          <w:tcPr>
            <w:tcW w:w="1701"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APT,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Asie</w:t>
            </w:r>
            <w:r w:rsidRPr="00785D5A">
              <w:rPr>
                <w:rFonts w:asciiTheme="majorBidi" w:hAnsiTheme="majorBidi" w:cstheme="majorBidi"/>
                <w:sz w:val="18"/>
                <w:szCs w:val="18"/>
              </w:rPr>
              <w:noBreakHyphen/>
              <w:t>Pacifique</w:t>
            </w:r>
          </w:p>
        </w:tc>
        <w:tc>
          <w:tcPr>
            <w:tcW w:w="1985"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Nouvelles questions de réglementation sur la gestion du spectre</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94/15</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14-18 juillet 2014</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RRS-14-Amériques</w:t>
            </w:r>
          </w:p>
        </w:tc>
        <w:tc>
          <w:tcPr>
            <w:tcW w:w="1276"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Ile de Tobago – Trinité-et-Tobago</w:t>
            </w:r>
          </w:p>
        </w:tc>
        <w:tc>
          <w:tcPr>
            <w:tcW w:w="2126"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Autorité des télécommunications de Trinité-et-Tobago</w:t>
            </w:r>
          </w:p>
        </w:tc>
        <w:tc>
          <w:tcPr>
            <w:tcW w:w="1701"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CTU,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Amériques</w:t>
            </w:r>
          </w:p>
        </w:tc>
        <w:tc>
          <w:tcPr>
            <w:tcW w:w="1985"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Ordre du jour de la CMR-15: questions régionales</w:t>
            </w:r>
          </w:p>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Enregistrement dans la bande C</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46/19</w:t>
            </w:r>
          </w:p>
        </w:tc>
      </w:tr>
      <w:tr w:rsidR="009440A0" w:rsidRPr="00785D5A" w:rsidTr="00E3472E">
        <w:trPr>
          <w:jc w:val="center"/>
        </w:trPr>
        <w:tc>
          <w:tcPr>
            <w:tcW w:w="1980" w:type="dxa"/>
            <w:vAlign w:val="center"/>
          </w:tcPr>
          <w:p w:rsidR="009440A0" w:rsidRPr="00785D5A" w:rsidRDefault="009440A0" w:rsidP="00E3472E">
            <w:pPr>
              <w:keepNext/>
              <w:keepLines/>
              <w:rPr>
                <w:rFonts w:asciiTheme="majorBidi" w:hAnsiTheme="majorBidi" w:cstheme="majorBidi"/>
                <w:b/>
                <w:bCs/>
                <w:sz w:val="18"/>
                <w:szCs w:val="18"/>
                <w:lang w:val="en-US"/>
              </w:rPr>
            </w:pPr>
            <w:r w:rsidRPr="00785D5A">
              <w:rPr>
                <w:rFonts w:asciiTheme="majorBidi" w:hAnsiTheme="majorBidi" w:cstheme="majorBidi"/>
                <w:sz w:val="18"/>
                <w:szCs w:val="18"/>
              </w:rPr>
              <w:t>2-6 mars 2015</w:t>
            </w:r>
          </w:p>
        </w:tc>
        <w:tc>
          <w:tcPr>
            <w:tcW w:w="1984" w:type="dxa"/>
            <w:vAlign w:val="center"/>
          </w:tcPr>
          <w:p w:rsidR="009440A0" w:rsidRPr="00785D5A" w:rsidRDefault="009440A0" w:rsidP="00E3472E">
            <w:pPr>
              <w:keepNext/>
              <w:keepLines/>
              <w:rPr>
                <w:rFonts w:asciiTheme="majorBidi" w:hAnsiTheme="majorBidi" w:cstheme="majorBidi"/>
                <w:b/>
                <w:bCs/>
                <w:sz w:val="18"/>
                <w:szCs w:val="18"/>
                <w:lang w:val="fr-CH"/>
              </w:rPr>
            </w:pPr>
            <w:r w:rsidRPr="00785D5A">
              <w:rPr>
                <w:rFonts w:asciiTheme="majorBidi" w:hAnsiTheme="majorBidi" w:cstheme="majorBidi"/>
                <w:b/>
                <w:bCs/>
                <w:sz w:val="18"/>
                <w:szCs w:val="18"/>
              </w:rPr>
              <w:t>RRS-15-Europe orientale et CEI</w:t>
            </w:r>
          </w:p>
        </w:tc>
        <w:tc>
          <w:tcPr>
            <w:tcW w:w="1276" w:type="dxa"/>
            <w:vAlign w:val="center"/>
          </w:tcPr>
          <w:p w:rsidR="009440A0" w:rsidRPr="00785D5A" w:rsidRDefault="009440A0" w:rsidP="00E3472E">
            <w:pPr>
              <w:keepNext/>
              <w:keepLines/>
              <w:jc w:val="center"/>
              <w:rPr>
                <w:rFonts w:asciiTheme="majorBidi" w:hAnsiTheme="majorBidi" w:cstheme="majorBidi"/>
                <w:b/>
                <w:bCs/>
                <w:sz w:val="18"/>
                <w:szCs w:val="18"/>
                <w:lang w:val="en-US"/>
              </w:rPr>
            </w:pPr>
            <w:r w:rsidRPr="00785D5A">
              <w:rPr>
                <w:rFonts w:asciiTheme="majorBidi" w:hAnsiTheme="majorBidi" w:cstheme="majorBidi"/>
                <w:sz w:val="18"/>
                <w:szCs w:val="18"/>
              </w:rPr>
              <w:t>Bichkek, République kirghize</w:t>
            </w:r>
          </w:p>
        </w:tc>
        <w:tc>
          <w:tcPr>
            <w:tcW w:w="2126" w:type="dxa"/>
            <w:vAlign w:val="center"/>
          </w:tcPr>
          <w:p w:rsidR="009440A0" w:rsidRPr="00785D5A" w:rsidRDefault="009440A0" w:rsidP="00E3472E">
            <w:pPr>
              <w:keepNext/>
              <w:keepLines/>
              <w:jc w:val="center"/>
              <w:rPr>
                <w:rFonts w:asciiTheme="majorBidi" w:hAnsiTheme="majorBidi" w:cstheme="majorBidi"/>
                <w:b/>
                <w:bCs/>
                <w:sz w:val="18"/>
                <w:szCs w:val="18"/>
                <w:lang w:val="fr-CH"/>
              </w:rPr>
            </w:pPr>
            <w:r w:rsidRPr="00785D5A">
              <w:rPr>
                <w:rFonts w:asciiTheme="majorBidi" w:hAnsiTheme="majorBidi" w:cstheme="majorBidi"/>
                <w:sz w:val="18"/>
                <w:szCs w:val="18"/>
              </w:rPr>
              <w:t>Agence nationale des communications de la République kirghize</w:t>
            </w:r>
          </w:p>
        </w:tc>
        <w:tc>
          <w:tcPr>
            <w:tcW w:w="1701" w:type="dxa"/>
            <w:vAlign w:val="center"/>
          </w:tcPr>
          <w:p w:rsidR="009440A0" w:rsidRPr="00785D5A" w:rsidRDefault="009440A0" w:rsidP="00E3472E">
            <w:pPr>
              <w:keepNext/>
              <w:keepLines/>
              <w:jc w:val="center"/>
              <w:rPr>
                <w:rFonts w:asciiTheme="majorBidi" w:hAnsiTheme="majorBidi" w:cstheme="majorBidi"/>
                <w:sz w:val="18"/>
                <w:szCs w:val="18"/>
              </w:rPr>
            </w:pPr>
            <w:r w:rsidRPr="00785D5A">
              <w:rPr>
                <w:rFonts w:asciiTheme="majorBidi" w:hAnsiTheme="majorBidi" w:cstheme="majorBidi"/>
                <w:sz w:val="18"/>
                <w:szCs w:val="18"/>
              </w:rPr>
              <w:t>RCC,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Europe orientale et CEI</w:t>
            </w:r>
          </w:p>
        </w:tc>
        <w:tc>
          <w:tcPr>
            <w:tcW w:w="1985" w:type="dxa"/>
            <w:vAlign w:val="center"/>
          </w:tcPr>
          <w:p w:rsidR="009440A0" w:rsidRPr="00785D5A" w:rsidRDefault="009440A0" w:rsidP="00E3472E">
            <w:pPr>
              <w:keepNext/>
              <w:keepLines/>
              <w:jc w:val="center"/>
              <w:rPr>
                <w:rFonts w:asciiTheme="majorBidi" w:hAnsiTheme="majorBidi" w:cstheme="majorBidi"/>
                <w:sz w:val="18"/>
                <w:szCs w:val="18"/>
              </w:rPr>
            </w:pPr>
            <w:r w:rsidRPr="00785D5A">
              <w:rPr>
                <w:rFonts w:asciiTheme="majorBidi" w:hAnsiTheme="majorBidi" w:cstheme="majorBidi"/>
                <w:sz w:val="18"/>
                <w:szCs w:val="18"/>
              </w:rPr>
              <w:t>Travaux préparatoires au niveau régional en vue de la CMR-15</w:t>
            </w:r>
          </w:p>
        </w:tc>
        <w:tc>
          <w:tcPr>
            <w:tcW w:w="979" w:type="dxa"/>
            <w:vAlign w:val="center"/>
          </w:tcPr>
          <w:p w:rsidR="009440A0" w:rsidRPr="00785D5A" w:rsidRDefault="009440A0" w:rsidP="00E3472E">
            <w:pPr>
              <w:keepNext/>
              <w:keepLines/>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R</w:t>
            </w:r>
          </w:p>
        </w:tc>
        <w:tc>
          <w:tcPr>
            <w:tcW w:w="1630" w:type="dxa"/>
            <w:vAlign w:val="center"/>
          </w:tcPr>
          <w:p w:rsidR="009440A0" w:rsidRPr="00785D5A" w:rsidRDefault="009440A0" w:rsidP="00E3472E">
            <w:pPr>
              <w:keepNext/>
              <w:keepLines/>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56/8</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20-24 avril 2015</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RRS-15-Afrique</w:t>
            </w:r>
          </w:p>
        </w:tc>
        <w:tc>
          <w:tcPr>
            <w:tcW w:w="127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Niamey, Niger</w:t>
            </w:r>
          </w:p>
        </w:tc>
        <w:tc>
          <w:tcPr>
            <w:tcW w:w="2126"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iCs/>
                <w:sz w:val="18"/>
                <w:szCs w:val="18"/>
                <w:lang w:val="fr-CH"/>
              </w:rPr>
              <w:t>Autorité de régulation des télécommunications et de la poste</w:t>
            </w:r>
            <w:r w:rsidRPr="00785D5A">
              <w:rPr>
                <w:rFonts w:asciiTheme="majorBidi" w:hAnsiTheme="majorBidi" w:cstheme="majorBidi"/>
                <w:sz w:val="18"/>
                <w:szCs w:val="18"/>
                <w:lang w:val="fr-CH"/>
              </w:rPr>
              <w:t>, ARTP, Niger</w:t>
            </w:r>
          </w:p>
        </w:tc>
        <w:tc>
          <w:tcPr>
            <w:tcW w:w="1701"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UAT,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Afrique</w:t>
            </w:r>
          </w:p>
        </w:tc>
        <w:tc>
          <w:tcPr>
            <w:tcW w:w="1985"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Nouveaux concepts relatifs à l</w:t>
            </w:r>
            <w:r w:rsidR="00D3135C">
              <w:rPr>
                <w:rFonts w:asciiTheme="majorBidi" w:hAnsiTheme="majorBidi" w:cstheme="majorBidi"/>
                <w:sz w:val="18"/>
                <w:szCs w:val="18"/>
              </w:rPr>
              <w:t>'</w:t>
            </w:r>
            <w:r w:rsidRPr="00785D5A">
              <w:rPr>
                <w:rFonts w:asciiTheme="majorBidi" w:hAnsiTheme="majorBidi" w:cstheme="majorBidi"/>
                <w:sz w:val="18"/>
                <w:szCs w:val="18"/>
              </w:rPr>
              <w:t>utilisation et au contrôle du spectre: se préparer à la gestion future du spectre dans la région</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F, 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100/36</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25-30 mai 2015</w:t>
            </w:r>
          </w:p>
        </w:tc>
        <w:tc>
          <w:tcPr>
            <w:tcW w:w="1984"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b/>
                <w:bCs/>
                <w:sz w:val="18"/>
                <w:szCs w:val="18"/>
              </w:rPr>
              <w:t>RRS-15-Asie-Pacifique</w:t>
            </w:r>
          </w:p>
        </w:tc>
        <w:tc>
          <w:tcPr>
            <w:tcW w:w="1276"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sz w:val="18"/>
                <w:szCs w:val="18"/>
              </w:rPr>
              <w:t>Manille, Philippines</w:t>
            </w:r>
          </w:p>
        </w:tc>
        <w:tc>
          <w:tcPr>
            <w:tcW w:w="2126" w:type="dxa"/>
            <w:vAlign w:val="center"/>
          </w:tcPr>
          <w:p w:rsidR="009440A0" w:rsidRPr="00785D5A" w:rsidRDefault="009440A0" w:rsidP="00E3472E">
            <w:pPr>
              <w:jc w:val="center"/>
              <w:rPr>
                <w:rFonts w:asciiTheme="majorBidi" w:hAnsiTheme="majorBidi" w:cstheme="majorBidi"/>
                <w:b/>
                <w:bCs/>
                <w:sz w:val="18"/>
                <w:szCs w:val="18"/>
                <w:lang w:val="fr-CH"/>
              </w:rPr>
            </w:pPr>
            <w:r w:rsidRPr="00785D5A">
              <w:rPr>
                <w:rFonts w:asciiTheme="majorBidi" w:hAnsiTheme="majorBidi" w:cstheme="majorBidi"/>
                <w:sz w:val="18"/>
                <w:szCs w:val="18"/>
              </w:rPr>
              <w:t>Bureau des technologies de l</w:t>
            </w:r>
            <w:r w:rsidR="00D3135C">
              <w:rPr>
                <w:rFonts w:asciiTheme="majorBidi" w:hAnsiTheme="majorBidi" w:cstheme="majorBidi"/>
                <w:sz w:val="18"/>
                <w:szCs w:val="18"/>
              </w:rPr>
              <w:t>'</w:t>
            </w:r>
            <w:r w:rsidRPr="00785D5A">
              <w:rPr>
                <w:rFonts w:asciiTheme="majorBidi" w:hAnsiTheme="majorBidi" w:cstheme="majorBidi"/>
                <w:sz w:val="18"/>
                <w:szCs w:val="18"/>
              </w:rPr>
              <w:t>information et de la communication du Ministère des sciences et de la technologie (ICTO-DOST) des Philippines</w:t>
            </w:r>
          </w:p>
        </w:tc>
        <w:tc>
          <w:tcPr>
            <w:tcW w:w="1701"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APT, Département des communications, Gouvernement australien, Bureau de l</w:t>
            </w:r>
            <w:r w:rsidR="00D3135C">
              <w:rPr>
                <w:rFonts w:asciiTheme="majorBidi" w:hAnsiTheme="majorBidi" w:cstheme="majorBidi"/>
                <w:sz w:val="18"/>
                <w:szCs w:val="18"/>
              </w:rPr>
              <w:t>'</w:t>
            </w:r>
            <w:r w:rsidRPr="00785D5A">
              <w:rPr>
                <w:rFonts w:asciiTheme="majorBidi" w:hAnsiTheme="majorBidi" w:cstheme="majorBidi"/>
                <w:sz w:val="18"/>
                <w:szCs w:val="18"/>
              </w:rPr>
              <w:t>UIT pour la région Asie-Pacifique</w:t>
            </w:r>
          </w:p>
        </w:tc>
        <w:tc>
          <w:tcPr>
            <w:tcW w:w="1985"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Services spatiaux planifiés: situation actuelle et défis à relever</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E</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70/20</w:t>
            </w:r>
          </w:p>
        </w:tc>
      </w:tr>
      <w:tr w:rsidR="009440A0" w:rsidRPr="00785D5A" w:rsidTr="00E3472E">
        <w:trPr>
          <w:jc w:val="center"/>
        </w:trPr>
        <w:tc>
          <w:tcPr>
            <w:tcW w:w="1980" w:type="dxa"/>
            <w:vAlign w:val="center"/>
          </w:tcPr>
          <w:p w:rsidR="009440A0" w:rsidRPr="00785D5A" w:rsidRDefault="009440A0" w:rsidP="00E3472E">
            <w:pPr>
              <w:rPr>
                <w:rFonts w:asciiTheme="majorBidi" w:hAnsiTheme="majorBidi" w:cstheme="majorBidi"/>
                <w:b/>
                <w:bCs/>
                <w:sz w:val="18"/>
                <w:szCs w:val="18"/>
                <w:lang w:val="en-US"/>
              </w:rPr>
            </w:pPr>
            <w:r w:rsidRPr="00785D5A">
              <w:rPr>
                <w:rFonts w:asciiTheme="majorBidi" w:hAnsiTheme="majorBidi" w:cstheme="majorBidi"/>
                <w:sz w:val="18"/>
                <w:szCs w:val="18"/>
              </w:rPr>
              <w:t>27-31 juillet 2015</w:t>
            </w:r>
          </w:p>
        </w:tc>
        <w:tc>
          <w:tcPr>
            <w:tcW w:w="1984" w:type="dxa"/>
            <w:vAlign w:val="center"/>
          </w:tcPr>
          <w:p w:rsidR="009440A0" w:rsidRPr="00785D5A" w:rsidRDefault="009440A0" w:rsidP="00E3472E">
            <w:pPr>
              <w:rPr>
                <w:rFonts w:asciiTheme="majorBidi" w:hAnsiTheme="majorBidi" w:cstheme="majorBidi"/>
                <w:b/>
                <w:bCs/>
                <w:sz w:val="18"/>
                <w:szCs w:val="18"/>
              </w:rPr>
            </w:pPr>
            <w:r w:rsidRPr="00785D5A">
              <w:rPr>
                <w:rFonts w:asciiTheme="majorBidi" w:hAnsiTheme="majorBidi" w:cstheme="majorBidi"/>
                <w:b/>
                <w:bCs/>
                <w:sz w:val="18"/>
                <w:szCs w:val="18"/>
              </w:rPr>
              <w:t>RRS-15-Amériques</w:t>
            </w:r>
          </w:p>
        </w:tc>
        <w:tc>
          <w:tcPr>
            <w:tcW w:w="1276" w:type="dxa"/>
            <w:vAlign w:val="center"/>
          </w:tcPr>
          <w:p w:rsidR="009440A0" w:rsidRPr="00785D5A" w:rsidRDefault="009440A0" w:rsidP="00E3472E">
            <w:pPr>
              <w:jc w:val="center"/>
              <w:rPr>
                <w:rFonts w:asciiTheme="majorBidi" w:hAnsiTheme="majorBidi" w:cstheme="majorBidi"/>
                <w:b/>
                <w:bCs/>
                <w:sz w:val="18"/>
                <w:szCs w:val="18"/>
                <w:lang w:val="es-ES"/>
              </w:rPr>
            </w:pPr>
            <w:r w:rsidRPr="00785D5A">
              <w:rPr>
                <w:rFonts w:asciiTheme="majorBidi" w:hAnsiTheme="majorBidi" w:cstheme="majorBidi"/>
                <w:sz w:val="18"/>
                <w:szCs w:val="18"/>
                <w:lang w:val="es-ES"/>
              </w:rPr>
              <w:t xml:space="preserve">San Salvador, </w:t>
            </w:r>
            <w:r w:rsidRPr="00785D5A">
              <w:rPr>
                <w:rFonts w:asciiTheme="majorBidi" w:hAnsiTheme="majorBidi" w:cstheme="majorBidi"/>
                <w:sz w:val="18"/>
                <w:szCs w:val="18"/>
                <w:lang w:val="es-ES"/>
              </w:rPr>
              <w:br/>
              <w:t>El Salvador</w:t>
            </w:r>
          </w:p>
        </w:tc>
        <w:tc>
          <w:tcPr>
            <w:tcW w:w="2126" w:type="dxa"/>
            <w:vAlign w:val="center"/>
          </w:tcPr>
          <w:p w:rsidR="009440A0" w:rsidRPr="00785D5A" w:rsidRDefault="009440A0" w:rsidP="00E3472E">
            <w:pPr>
              <w:jc w:val="center"/>
              <w:rPr>
                <w:rFonts w:asciiTheme="majorBidi" w:hAnsiTheme="majorBidi" w:cstheme="majorBidi"/>
                <w:b/>
                <w:bCs/>
                <w:sz w:val="18"/>
                <w:szCs w:val="18"/>
                <w:lang w:val="es-ES_tradnl"/>
              </w:rPr>
            </w:pPr>
            <w:r w:rsidRPr="00785D5A">
              <w:rPr>
                <w:rFonts w:asciiTheme="majorBidi" w:hAnsiTheme="majorBidi" w:cstheme="majorBidi"/>
                <w:sz w:val="18"/>
                <w:szCs w:val="18"/>
                <w:lang w:val="es-ES_tradnl"/>
              </w:rPr>
              <w:t>Superintendencia General de Electricidad y Telecomunicaciones of El Salvador (SIGET)</w:t>
            </w:r>
          </w:p>
        </w:tc>
        <w:tc>
          <w:tcPr>
            <w:tcW w:w="1701"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lang w:val="fr-CH"/>
              </w:rPr>
              <w:t>COMTELCA, Bureau de zone de l</w:t>
            </w:r>
            <w:r w:rsidR="00D3135C">
              <w:rPr>
                <w:rFonts w:asciiTheme="majorBidi" w:hAnsiTheme="majorBidi" w:cstheme="majorBidi"/>
                <w:sz w:val="18"/>
                <w:szCs w:val="18"/>
                <w:lang w:val="fr-CH"/>
              </w:rPr>
              <w:t>'</w:t>
            </w:r>
            <w:r w:rsidRPr="00785D5A">
              <w:rPr>
                <w:rFonts w:asciiTheme="majorBidi" w:hAnsiTheme="majorBidi" w:cstheme="majorBidi"/>
                <w:sz w:val="18"/>
                <w:szCs w:val="18"/>
                <w:lang w:val="fr-CH"/>
              </w:rPr>
              <w:t>UIT pour l</w:t>
            </w:r>
            <w:r w:rsidR="00D3135C">
              <w:rPr>
                <w:rFonts w:asciiTheme="majorBidi" w:hAnsiTheme="majorBidi" w:cstheme="majorBidi"/>
                <w:sz w:val="18"/>
                <w:szCs w:val="18"/>
                <w:lang w:val="fr-CH"/>
              </w:rPr>
              <w:t>'</w:t>
            </w:r>
            <w:r w:rsidRPr="00785D5A">
              <w:rPr>
                <w:rFonts w:asciiTheme="majorBidi" w:hAnsiTheme="majorBidi" w:cstheme="majorBidi"/>
                <w:sz w:val="18"/>
                <w:szCs w:val="18"/>
                <w:lang w:val="fr-CH"/>
              </w:rPr>
              <w:t>A</w:t>
            </w:r>
            <w:r w:rsidRPr="00785D5A">
              <w:rPr>
                <w:rFonts w:asciiTheme="majorBidi" w:hAnsiTheme="majorBidi" w:cstheme="majorBidi"/>
                <w:sz w:val="18"/>
                <w:szCs w:val="18"/>
              </w:rPr>
              <w:t>mérique centrale</w:t>
            </w:r>
          </w:p>
        </w:tc>
        <w:tc>
          <w:tcPr>
            <w:tcW w:w="1985" w:type="dxa"/>
            <w:vAlign w:val="center"/>
          </w:tcPr>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CMR-15: défis et perspectives pour la région</w:t>
            </w:r>
          </w:p>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 xml:space="preserve">Enregistrement dans la bande C </w:t>
            </w:r>
          </w:p>
          <w:p w:rsidR="009440A0" w:rsidRPr="00785D5A" w:rsidRDefault="009440A0" w:rsidP="00E3472E">
            <w:pPr>
              <w:jc w:val="center"/>
              <w:rPr>
                <w:rFonts w:asciiTheme="majorBidi" w:hAnsiTheme="majorBidi" w:cstheme="majorBidi"/>
                <w:sz w:val="18"/>
                <w:szCs w:val="18"/>
              </w:rPr>
            </w:pPr>
            <w:r w:rsidRPr="00785D5A">
              <w:rPr>
                <w:rFonts w:asciiTheme="majorBidi" w:hAnsiTheme="majorBidi" w:cstheme="majorBidi"/>
                <w:sz w:val="18"/>
                <w:szCs w:val="18"/>
              </w:rPr>
              <w:t>Réglementation applicable aux dispositifs fonctionnant sans licence</w:t>
            </w:r>
          </w:p>
        </w:tc>
        <w:tc>
          <w:tcPr>
            <w:tcW w:w="979"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S</w:t>
            </w:r>
          </w:p>
        </w:tc>
        <w:tc>
          <w:tcPr>
            <w:tcW w:w="1630" w:type="dxa"/>
            <w:vAlign w:val="center"/>
          </w:tcPr>
          <w:p w:rsidR="009440A0" w:rsidRPr="00785D5A" w:rsidRDefault="009440A0" w:rsidP="00E3472E">
            <w:pPr>
              <w:jc w:val="center"/>
              <w:rPr>
                <w:rFonts w:asciiTheme="majorBidi" w:hAnsiTheme="majorBidi" w:cstheme="majorBidi"/>
                <w:b/>
                <w:bCs/>
                <w:sz w:val="18"/>
                <w:szCs w:val="18"/>
                <w:lang w:val="en-US"/>
              </w:rPr>
            </w:pPr>
            <w:r w:rsidRPr="00785D5A">
              <w:rPr>
                <w:rFonts w:asciiTheme="majorBidi" w:hAnsiTheme="majorBidi" w:cstheme="majorBidi"/>
                <w:b/>
                <w:bCs/>
                <w:sz w:val="18"/>
                <w:szCs w:val="18"/>
                <w:lang w:val="en-US"/>
              </w:rPr>
              <w:t>TBC</w:t>
            </w:r>
          </w:p>
        </w:tc>
      </w:tr>
    </w:tbl>
    <w:p w:rsidR="00785D5A" w:rsidRDefault="00785D5A" w:rsidP="009440A0">
      <w:pPr>
        <w:rPr>
          <w:sz w:val="16"/>
          <w:szCs w:val="16"/>
          <w:lang w:val="en-US"/>
        </w:rPr>
        <w:sectPr w:rsidR="00785D5A" w:rsidSect="00785D5A">
          <w:headerReference w:type="default" r:id="rId36"/>
          <w:headerReference w:type="first" r:id="rId37"/>
          <w:pgSz w:w="16834" w:h="11907" w:orient="landscape"/>
          <w:pgMar w:top="1134" w:right="1418" w:bottom="1134" w:left="1418" w:header="720" w:footer="720" w:gutter="0"/>
          <w:paperSrc w:first="15" w:other="15"/>
          <w:cols w:space="720"/>
          <w:titlePg/>
          <w:docGrid w:linePitch="326"/>
        </w:sectPr>
      </w:pPr>
    </w:p>
    <w:p w:rsidR="009440A0" w:rsidRPr="00785D5A" w:rsidRDefault="00785D5A" w:rsidP="00785D5A">
      <w:pPr>
        <w:pStyle w:val="Heading3"/>
        <w:rPr>
          <w:lang w:val="fr-CH"/>
        </w:rPr>
      </w:pPr>
      <w:r w:rsidRPr="00785D5A">
        <w:rPr>
          <w:lang w:val="fr-CH"/>
        </w:rPr>
        <w:t>8.2.3</w:t>
      </w:r>
      <w:r w:rsidRPr="00785D5A">
        <w:rPr>
          <w:lang w:val="fr-CH"/>
        </w:rPr>
        <w:tab/>
        <w:t>Cycle de séminaires WRS et RRS prévus pour la période 2016-2019</w:t>
      </w:r>
    </w:p>
    <w:p w:rsidR="009440A0" w:rsidRPr="008653E6" w:rsidRDefault="00785D5A" w:rsidP="009D5B6A">
      <w:pPr>
        <w:rPr>
          <w:lang w:val="fr-CH"/>
        </w:rPr>
      </w:pPr>
      <w:bookmarkStart w:id="108" w:name="lt_pId1138"/>
      <w:r>
        <w:rPr>
          <w:lang w:val="fr-CH"/>
        </w:rPr>
        <w:t>P</w:t>
      </w:r>
      <w:r w:rsidR="009440A0" w:rsidRPr="008653E6">
        <w:rPr>
          <w:lang w:val="fr-CH"/>
        </w:rPr>
        <w:t>endant la péri</w:t>
      </w:r>
      <w:r>
        <w:rPr>
          <w:lang w:val="fr-CH"/>
        </w:rPr>
        <w:t xml:space="preserve">ode 2016-2019, les séminaires WRS et </w:t>
      </w:r>
      <w:r w:rsidR="009440A0" w:rsidRPr="008653E6">
        <w:rPr>
          <w:lang w:val="fr-CH"/>
        </w:rPr>
        <w:t>RRS seront programmées conformément a</w:t>
      </w:r>
      <w:r>
        <w:rPr>
          <w:lang w:val="fr-CH"/>
        </w:rPr>
        <w:t>ux principes suivants</w:t>
      </w:r>
      <w:r w:rsidR="009440A0" w:rsidRPr="008653E6">
        <w:rPr>
          <w:lang w:val="fr-CH"/>
        </w:rPr>
        <w:t>:</w:t>
      </w:r>
      <w:bookmarkEnd w:id="108"/>
    </w:p>
    <w:p w:rsidR="00002B46" w:rsidRDefault="00C244D7" w:rsidP="00C244D7">
      <w:pPr>
        <w:pStyle w:val="enumlev1"/>
        <w:rPr>
          <w:lang w:val="fr-CH"/>
        </w:rPr>
      </w:pPr>
      <w:r w:rsidRPr="00C244D7">
        <w:rPr>
          <w:lang w:val="fr-CH"/>
        </w:rPr>
        <w:t>•</w:t>
      </w:r>
      <w:r>
        <w:rPr>
          <w:lang w:val="fr-CH"/>
        </w:rPr>
        <w:tab/>
      </w:r>
      <w:r w:rsidRPr="008653E6">
        <w:rPr>
          <w:color w:val="000000"/>
          <w:lang w:val="fr-CH"/>
        </w:rPr>
        <w:t>Pendant le trimestre précédant et sui</w:t>
      </w:r>
      <w:r>
        <w:rPr>
          <w:color w:val="000000"/>
          <w:lang w:val="fr-CH"/>
        </w:rPr>
        <w:t xml:space="preserve">vant une CMR, aucun séminaire ne sera programmé, </w:t>
      </w:r>
      <w:r w:rsidRPr="008653E6">
        <w:rPr>
          <w:color w:val="000000"/>
          <w:lang w:val="fr-CH"/>
        </w:rPr>
        <w:t>afin de procéder aux mises à jour du RR et aux modifications né</w:t>
      </w:r>
      <w:r>
        <w:rPr>
          <w:color w:val="000000"/>
          <w:lang w:val="fr-CH"/>
        </w:rPr>
        <w:t>cessaires des outils logiciels</w:t>
      </w:r>
      <w:r w:rsidR="00BC0CAD">
        <w:rPr>
          <w:color w:val="000000"/>
          <w:lang w:val="fr-CH"/>
        </w:rPr>
        <w:t>.</w:t>
      </w:r>
    </w:p>
    <w:p w:rsidR="00C244D7" w:rsidRDefault="00C244D7" w:rsidP="00BC0CAD">
      <w:pPr>
        <w:pStyle w:val="enumlev1"/>
        <w:rPr>
          <w:lang w:val="fr-CH"/>
        </w:rPr>
      </w:pPr>
      <w:r w:rsidRPr="00C244D7">
        <w:rPr>
          <w:lang w:val="fr-CH"/>
        </w:rPr>
        <w:t>•</w:t>
      </w:r>
      <w:r>
        <w:rPr>
          <w:lang w:val="fr-CH"/>
        </w:rPr>
        <w:tab/>
        <w:t>D</w:t>
      </w:r>
      <w:r w:rsidRPr="008653E6">
        <w:rPr>
          <w:lang w:val="fr-CH"/>
        </w:rPr>
        <w:t>eux séminaires WRS par cycle (tous les deux ans)</w:t>
      </w:r>
      <w:r w:rsidR="00BC0CAD">
        <w:rPr>
          <w:lang w:val="fr-CH"/>
        </w:rPr>
        <w:t>.</w:t>
      </w:r>
    </w:p>
    <w:p w:rsidR="00C244D7" w:rsidRDefault="00C244D7" w:rsidP="00BC0CAD">
      <w:pPr>
        <w:pStyle w:val="enumlev1"/>
        <w:rPr>
          <w:lang w:val="fr-CH"/>
        </w:rPr>
      </w:pPr>
      <w:r w:rsidRPr="00C244D7">
        <w:rPr>
          <w:lang w:val="fr-CH"/>
        </w:rPr>
        <w:t>•</w:t>
      </w:r>
      <w:r>
        <w:rPr>
          <w:lang w:val="fr-CH"/>
        </w:rPr>
        <w:tab/>
      </w:r>
      <w:r w:rsidRPr="008653E6">
        <w:rPr>
          <w:color w:val="000000"/>
          <w:lang w:val="fr-CH"/>
        </w:rPr>
        <w:t>Le premier séminaire WRS suivant une CMR comprendra une session spéciale au cours de laquelle les modifications apportées au RR par la CMR seront expliquées de manière détaillée</w:t>
      </w:r>
      <w:r w:rsidR="00BC0CAD">
        <w:rPr>
          <w:color w:val="000000"/>
          <w:lang w:val="fr-CH"/>
        </w:rPr>
        <w:t>.</w:t>
      </w:r>
    </w:p>
    <w:p w:rsidR="00C244D7" w:rsidRDefault="00C244D7" w:rsidP="00C244D7">
      <w:pPr>
        <w:pStyle w:val="enumlev1"/>
        <w:rPr>
          <w:lang w:val="fr-CH"/>
        </w:rPr>
      </w:pPr>
      <w:r w:rsidRPr="00C244D7">
        <w:rPr>
          <w:lang w:val="fr-CH"/>
        </w:rPr>
        <w:t>•</w:t>
      </w:r>
      <w:r>
        <w:rPr>
          <w:lang w:val="fr-CH"/>
        </w:rPr>
        <w:tab/>
      </w:r>
      <w:bookmarkStart w:id="109" w:name="lt_pId1142"/>
      <w:r w:rsidRPr="008653E6">
        <w:rPr>
          <w:color w:val="000000"/>
          <w:lang w:val="fr-CH"/>
        </w:rPr>
        <w:t>Les deux séminaires RRS pour l</w:t>
      </w:r>
      <w:r w:rsidR="00D3135C">
        <w:rPr>
          <w:color w:val="000000"/>
          <w:lang w:val="fr-CH"/>
        </w:rPr>
        <w:t>'</w:t>
      </w:r>
      <w:r w:rsidRPr="008653E6">
        <w:rPr>
          <w:color w:val="000000"/>
          <w:lang w:val="fr-CH"/>
        </w:rPr>
        <w:t>Afrique ne se tiendront pas la même année que le séminaire WRS, étant donné que la participation aux séminaires RRS pour l</w:t>
      </w:r>
      <w:r w:rsidR="00D3135C">
        <w:rPr>
          <w:color w:val="000000"/>
          <w:lang w:val="fr-CH"/>
        </w:rPr>
        <w:t>'</w:t>
      </w:r>
      <w:r w:rsidRPr="008653E6">
        <w:rPr>
          <w:color w:val="000000"/>
          <w:lang w:val="fr-CH"/>
        </w:rPr>
        <w:t>Afrique est près de deux fois plus importante que celle des autres séminaires RRS</w:t>
      </w:r>
      <w:r>
        <w:rPr>
          <w:color w:val="000000"/>
          <w:lang w:val="fr-CH"/>
        </w:rPr>
        <w:t>,</w:t>
      </w:r>
      <w:r w:rsidRPr="008653E6">
        <w:rPr>
          <w:color w:val="000000"/>
          <w:lang w:val="fr-CH"/>
        </w:rPr>
        <w:t xml:space="preserve"> et afin de tenir compte de la nécessité d</w:t>
      </w:r>
      <w:r w:rsidR="00D3135C">
        <w:rPr>
          <w:color w:val="000000"/>
          <w:lang w:val="fr-CH"/>
        </w:rPr>
        <w:t>'</w:t>
      </w:r>
      <w:r w:rsidRPr="008653E6">
        <w:rPr>
          <w:color w:val="000000"/>
          <w:lang w:val="fr-CH"/>
        </w:rPr>
        <w:t>assurer une répartition uniforme du budget alloué aux bourses d</w:t>
      </w:r>
      <w:r w:rsidR="00D3135C">
        <w:rPr>
          <w:color w:val="000000"/>
          <w:lang w:val="fr-CH"/>
        </w:rPr>
        <w:t>'</w:t>
      </w:r>
      <w:r w:rsidRPr="008653E6">
        <w:rPr>
          <w:color w:val="000000"/>
          <w:lang w:val="fr-CH"/>
        </w:rPr>
        <w:t>études (l</w:t>
      </w:r>
      <w:r w:rsidR="00D3135C">
        <w:rPr>
          <w:color w:val="000000"/>
          <w:lang w:val="fr-CH"/>
        </w:rPr>
        <w:t>'</w:t>
      </w:r>
      <w:r w:rsidRPr="008653E6">
        <w:rPr>
          <w:color w:val="000000"/>
          <w:lang w:val="fr-CH"/>
        </w:rPr>
        <w:t>Afrique représente plus de 50% des pays remplissant les conditions requises)</w:t>
      </w:r>
      <w:bookmarkEnd w:id="109"/>
      <w:r w:rsidR="00BC0CAD">
        <w:rPr>
          <w:color w:val="000000"/>
          <w:lang w:val="fr-CH"/>
        </w:rPr>
        <w:t>.</w:t>
      </w:r>
    </w:p>
    <w:p w:rsidR="00C244D7" w:rsidRDefault="00C244D7" w:rsidP="00C244D7">
      <w:pPr>
        <w:pStyle w:val="enumlev1"/>
        <w:rPr>
          <w:lang w:val="fr-CH"/>
        </w:rPr>
      </w:pPr>
      <w:r w:rsidRPr="00C244D7">
        <w:rPr>
          <w:lang w:val="fr-CH"/>
        </w:rPr>
        <w:t>•</w:t>
      </w:r>
      <w:r>
        <w:rPr>
          <w:lang w:val="fr-CH"/>
        </w:rPr>
        <w:tab/>
      </w:r>
      <w:bookmarkStart w:id="110" w:name="lt_pId1143"/>
      <w:r>
        <w:rPr>
          <w:color w:val="000000"/>
          <w:lang w:val="fr-CH"/>
        </w:rPr>
        <w:t>I</w:t>
      </w:r>
      <w:r w:rsidRPr="008653E6">
        <w:rPr>
          <w:color w:val="000000"/>
          <w:lang w:val="fr-CH"/>
        </w:rPr>
        <w:t>l est prévu d</w:t>
      </w:r>
      <w:r w:rsidR="00D3135C">
        <w:rPr>
          <w:color w:val="000000"/>
          <w:lang w:val="fr-CH"/>
        </w:rPr>
        <w:t>'</w:t>
      </w:r>
      <w:r w:rsidRPr="008653E6">
        <w:rPr>
          <w:color w:val="000000"/>
          <w:lang w:val="fr-CH"/>
        </w:rPr>
        <w:t>organiser un séminaire RRS chaque trimestre, de façon à garantir une manifestation annuelle pour chaque région</w:t>
      </w:r>
      <w:bookmarkEnd w:id="110"/>
      <w:r w:rsidR="00BC0CAD">
        <w:rPr>
          <w:color w:val="000000"/>
          <w:lang w:val="fr-CH"/>
        </w:rPr>
        <w:t>.</w:t>
      </w:r>
    </w:p>
    <w:p w:rsidR="00C244D7" w:rsidRDefault="00C244D7" w:rsidP="00BC0CAD">
      <w:pPr>
        <w:pStyle w:val="enumlev1"/>
        <w:rPr>
          <w:lang w:val="fr-CH"/>
        </w:rPr>
      </w:pPr>
      <w:r w:rsidRPr="00C244D7">
        <w:rPr>
          <w:lang w:val="fr-CH"/>
        </w:rPr>
        <w:t>•</w:t>
      </w:r>
      <w:r>
        <w:rPr>
          <w:lang w:val="fr-CH"/>
        </w:rPr>
        <w:tab/>
      </w:r>
      <w:r w:rsidRPr="008653E6">
        <w:rPr>
          <w:lang w:val="fr-CH"/>
        </w:rPr>
        <w:t>Les séminaires RRS se dérouleront dans la langue principale de la région, ce qui permettra de réduire les coûts liés à l</w:t>
      </w:r>
      <w:r w:rsidR="00D3135C">
        <w:rPr>
          <w:lang w:val="fr-CH"/>
        </w:rPr>
        <w:t>'</w:t>
      </w:r>
      <w:r w:rsidRPr="008653E6">
        <w:rPr>
          <w:lang w:val="fr-CH"/>
        </w:rPr>
        <w:t>interprétation et de faciliter l</w:t>
      </w:r>
      <w:r w:rsidR="00D3135C">
        <w:rPr>
          <w:lang w:val="fr-CH"/>
        </w:rPr>
        <w:t>'</w:t>
      </w:r>
      <w:r w:rsidRPr="008653E6">
        <w:rPr>
          <w:lang w:val="fr-CH"/>
        </w:rPr>
        <w:t>échange d</w:t>
      </w:r>
      <w:r w:rsidR="00D3135C">
        <w:rPr>
          <w:lang w:val="fr-CH"/>
        </w:rPr>
        <w:t>'</w:t>
      </w:r>
      <w:r w:rsidRPr="008653E6">
        <w:rPr>
          <w:lang w:val="fr-CH"/>
        </w:rPr>
        <w:t>informations pendant la manifestation</w:t>
      </w:r>
      <w:r w:rsidR="00BC0CAD">
        <w:rPr>
          <w:lang w:val="fr-CH"/>
        </w:rPr>
        <w:t>.</w:t>
      </w:r>
    </w:p>
    <w:p w:rsidR="00C244D7" w:rsidRDefault="00C244D7" w:rsidP="00BC0CAD">
      <w:pPr>
        <w:pStyle w:val="enumlev1"/>
        <w:rPr>
          <w:lang w:val="fr-CH"/>
        </w:rPr>
      </w:pPr>
      <w:r w:rsidRPr="00C244D7">
        <w:rPr>
          <w:lang w:val="fr-CH"/>
        </w:rPr>
        <w:t>•</w:t>
      </w:r>
      <w:r>
        <w:rPr>
          <w:lang w:val="fr-CH"/>
        </w:rPr>
        <w:tab/>
      </w:r>
      <w:r w:rsidRPr="008653E6">
        <w:rPr>
          <w:lang w:val="fr-CH"/>
        </w:rPr>
        <w:t>Les programmes des séminaires RRS seront adaptés aux besoins particuliers de la région concernée</w:t>
      </w:r>
      <w:r w:rsidR="00BC0CAD">
        <w:rPr>
          <w:lang w:val="fr-CH"/>
        </w:rPr>
        <w:t>.</w:t>
      </w:r>
    </w:p>
    <w:p w:rsidR="00C244D7" w:rsidRDefault="00C244D7" w:rsidP="00C244D7">
      <w:pPr>
        <w:pStyle w:val="enumlev1"/>
        <w:rPr>
          <w:lang w:val="fr-CH"/>
        </w:rPr>
      </w:pPr>
      <w:r w:rsidRPr="00C244D7">
        <w:rPr>
          <w:lang w:val="fr-CH"/>
        </w:rPr>
        <w:t>•</w:t>
      </w:r>
      <w:r>
        <w:rPr>
          <w:lang w:val="fr-CH"/>
        </w:rPr>
        <w:tab/>
      </w:r>
      <w:bookmarkStart w:id="111" w:name="lt_pId1146"/>
      <w:r w:rsidRPr="008653E6">
        <w:rPr>
          <w:lang w:val="fr-CH"/>
        </w:rPr>
        <w:t>Le dernier jour de chaque séminaire</w:t>
      </w:r>
      <w:r>
        <w:rPr>
          <w:lang w:val="fr-CH"/>
        </w:rPr>
        <w:t xml:space="preserve"> RRS, une séance de type «F</w:t>
      </w:r>
      <w:r w:rsidRPr="008653E6">
        <w:rPr>
          <w:lang w:val="fr-CH"/>
        </w:rPr>
        <w:t>orum</w:t>
      </w:r>
      <w:r>
        <w:rPr>
          <w:lang w:val="fr-CH"/>
        </w:rPr>
        <w:t>»</w:t>
      </w:r>
      <w:r w:rsidRPr="008653E6">
        <w:rPr>
          <w:lang w:val="fr-CH"/>
        </w:rPr>
        <w:t xml:space="preserve"> sera organisée, au cours de laquelle des intervenants extérieurs pourront être invités à él</w:t>
      </w:r>
      <w:r>
        <w:rPr>
          <w:lang w:val="fr-CH"/>
        </w:rPr>
        <w:t xml:space="preserve">argir le champ des discussions </w:t>
      </w:r>
      <w:r w:rsidRPr="008653E6">
        <w:rPr>
          <w:lang w:val="fr-CH"/>
        </w:rPr>
        <w:t>(il faudra peut-être prévoir des services d</w:t>
      </w:r>
      <w:r w:rsidR="00D3135C">
        <w:rPr>
          <w:lang w:val="fr-CH"/>
        </w:rPr>
        <w:t>'</w:t>
      </w:r>
      <w:r w:rsidRPr="008653E6">
        <w:rPr>
          <w:lang w:val="fr-CH"/>
        </w:rPr>
        <w:t>interprétation de/ver</w:t>
      </w:r>
      <w:r>
        <w:rPr>
          <w:lang w:val="fr-CH"/>
        </w:rPr>
        <w:t>s l</w:t>
      </w:r>
      <w:r w:rsidR="00D3135C">
        <w:rPr>
          <w:lang w:val="fr-CH"/>
        </w:rPr>
        <w:t>'</w:t>
      </w:r>
      <w:r>
        <w:rPr>
          <w:lang w:val="fr-CH"/>
        </w:rPr>
        <w:t>anglais pour cette journée</w:t>
      </w:r>
      <w:r w:rsidRPr="008653E6">
        <w:rPr>
          <w:lang w:val="fr-CH"/>
        </w:rPr>
        <w:t>).</w:t>
      </w:r>
      <w:bookmarkEnd w:id="111"/>
    </w:p>
    <w:p w:rsidR="00C244D7" w:rsidRPr="008653E6" w:rsidRDefault="00C244D7" w:rsidP="00C244D7">
      <w:pPr>
        <w:rPr>
          <w:lang w:val="fr-CH"/>
        </w:rPr>
      </w:pPr>
      <w:bookmarkStart w:id="112" w:name="lt_pId1147"/>
      <w:r w:rsidRPr="008653E6">
        <w:rPr>
          <w:lang w:val="fr-CH"/>
        </w:rPr>
        <w:t>Le séminaire WRS-16 devrait avoir lieu du 12 au 16 décembre 2016. Il est prévu d</w:t>
      </w:r>
      <w:r w:rsidR="00D3135C">
        <w:rPr>
          <w:lang w:val="fr-CH"/>
        </w:rPr>
        <w:t>'</w:t>
      </w:r>
      <w:r w:rsidRPr="008653E6">
        <w:rPr>
          <w:lang w:val="fr-CH"/>
        </w:rPr>
        <w:t>organiser deux séminaires RRS pendant le deuxième s</w:t>
      </w:r>
      <w:r>
        <w:rPr>
          <w:lang w:val="fr-CH"/>
        </w:rPr>
        <w:t>emestre de 2016, l</w:t>
      </w:r>
      <w:r w:rsidR="00D3135C">
        <w:rPr>
          <w:lang w:val="fr-CH"/>
        </w:rPr>
        <w:t>'</w:t>
      </w:r>
      <w:r>
        <w:rPr>
          <w:lang w:val="fr-CH"/>
        </w:rPr>
        <w:t>un pour les Î</w:t>
      </w:r>
      <w:r w:rsidRPr="008653E6">
        <w:rPr>
          <w:lang w:val="fr-CH"/>
        </w:rPr>
        <w:t>les du Pacifique et l</w:t>
      </w:r>
      <w:r w:rsidR="00D3135C">
        <w:rPr>
          <w:lang w:val="fr-CH"/>
        </w:rPr>
        <w:t>'</w:t>
      </w:r>
      <w:r w:rsidRPr="008653E6">
        <w:rPr>
          <w:lang w:val="fr-CH"/>
        </w:rPr>
        <w:t>autre pour les pays des Caraïbes.</w:t>
      </w:r>
      <w:bookmarkEnd w:id="112"/>
    </w:p>
    <w:p w:rsidR="00C244D7" w:rsidRPr="008653E6" w:rsidRDefault="00C244D7" w:rsidP="008B6DCF">
      <w:pPr>
        <w:pStyle w:val="Heading3"/>
      </w:pPr>
      <w:bookmarkStart w:id="113" w:name="_Toc424047604"/>
      <w:bookmarkStart w:id="114" w:name="_Toc426463262"/>
      <w:r w:rsidRPr="008653E6">
        <w:t>8.2.</w:t>
      </w:r>
      <w:r w:rsidR="008B6DCF">
        <w:t>4</w:t>
      </w:r>
      <w:r w:rsidRPr="008653E6">
        <w:tab/>
      </w:r>
      <w:bookmarkEnd w:id="113"/>
      <w:r w:rsidRPr="008653E6">
        <w:t>Autres manifestations</w:t>
      </w:r>
      <w:bookmarkEnd w:id="114"/>
    </w:p>
    <w:p w:rsidR="00C244D7" w:rsidRPr="008653E6" w:rsidRDefault="00C244D7" w:rsidP="00C244D7">
      <w:pPr>
        <w:rPr>
          <w:szCs w:val="24"/>
          <w:lang w:eastAsia="zh-CN"/>
        </w:rPr>
      </w:pPr>
      <w:r>
        <w:t>Pendant l</w:t>
      </w:r>
      <w:r w:rsidRPr="008653E6">
        <w:t xml:space="preserve">a période </w:t>
      </w:r>
      <w:r>
        <w:t>qui s</w:t>
      </w:r>
      <w:r w:rsidR="00D3135C">
        <w:t>'</w:t>
      </w:r>
      <w:r>
        <w:t>est écoulée depuis la CMR-12,</w:t>
      </w:r>
      <w:r w:rsidRPr="008653E6">
        <w:t xml:space="preserve"> un grand nombre de manifestations </w:t>
      </w:r>
      <w:r>
        <w:t xml:space="preserve">ont été </w:t>
      </w:r>
      <w:r w:rsidRPr="008653E6">
        <w:t>organisées entièrement par le BR, ou en collaboration avec le BDT/TSB ou d</w:t>
      </w:r>
      <w:r w:rsidR="00D3135C">
        <w:t>'</w:t>
      </w:r>
      <w:r w:rsidRPr="008653E6">
        <w:t>autres instances (pour plus de précisions, voir l</w:t>
      </w:r>
      <w:r w:rsidR="00D3135C">
        <w:t>'</w:t>
      </w:r>
      <w:r w:rsidRPr="008653E6">
        <w:t xml:space="preserve">adresse: </w:t>
      </w:r>
      <w:hyperlink r:id="rId38" w:history="1">
        <w:r w:rsidRPr="008653E6">
          <w:rPr>
            <w:rStyle w:val="Hyperlink"/>
            <w:bCs/>
            <w:lang w:eastAsia="zh-CN"/>
          </w:rPr>
          <w:t>http://www.itu.int/ITU</w:t>
        </w:r>
        <w:r w:rsidRPr="008653E6">
          <w:rPr>
            <w:rStyle w:val="Hyperlink"/>
            <w:bCs/>
            <w:lang w:eastAsia="zh-CN"/>
          </w:rPr>
          <w:noBreakHyphen/>
          <w:t>R/go/seminars</w:t>
        </w:r>
      </w:hyperlink>
      <w:r w:rsidRPr="008653E6">
        <w:t>). Une nouvelle série d</w:t>
      </w:r>
      <w:r w:rsidR="00D3135C">
        <w:t>'</w:t>
      </w:r>
      <w:r w:rsidRPr="008653E6">
        <w:t>ateliers sur l</w:t>
      </w:r>
      <w:r w:rsidR="00D3135C">
        <w:t>'</w:t>
      </w:r>
      <w:r w:rsidRPr="008653E6">
        <w:t>utilisation efficace de l</w:t>
      </w:r>
      <w:r w:rsidR="00D3135C">
        <w:t>'</w:t>
      </w:r>
      <w:r w:rsidRPr="008653E6">
        <w:t>orbite et du spectre a été organisée, en vue d</w:t>
      </w:r>
      <w:r w:rsidR="00D3135C">
        <w:t>'</w:t>
      </w:r>
      <w:r w:rsidRPr="008653E6">
        <w:t>aborder ouvertement des questions que l</w:t>
      </w:r>
      <w:r w:rsidR="00D3135C">
        <w:t>'</w:t>
      </w:r>
      <w:r w:rsidRPr="008653E6">
        <w:t>on qualifie souvent de «sensibles» et de favoriser les échanges de vues pour adapter et améliorer le cadre réglementaire international régissant l</w:t>
      </w:r>
      <w:r w:rsidR="00D3135C">
        <w:t>'</w:t>
      </w:r>
      <w:r w:rsidRPr="008653E6">
        <w:t>enregistrement des réseaux à satellite lors de la prochaine CMR.</w:t>
      </w:r>
    </w:p>
    <w:p w:rsidR="00C244D7" w:rsidRPr="008653E6" w:rsidRDefault="00C244D7" w:rsidP="00C244D7">
      <w:pPr>
        <w:rPr>
          <w:rFonts w:asciiTheme="majorBidi" w:hAnsiTheme="majorBidi" w:cstheme="majorBidi"/>
          <w:szCs w:val="24"/>
        </w:rPr>
      </w:pPr>
      <w:r w:rsidRPr="008653E6">
        <w:t>Dans le cadre des Centres d</w:t>
      </w:r>
      <w:r w:rsidR="00D3135C">
        <w:t>'</w:t>
      </w:r>
      <w:r w:rsidRPr="008653E6">
        <w:t>excellence de l</w:t>
      </w:r>
      <w:r w:rsidR="00D3135C">
        <w:t>'</w:t>
      </w:r>
      <w:r w:rsidRPr="008653E6">
        <w:t>UIT pour la région Asie-Pacifique, le Bureau a organisé</w:t>
      </w:r>
      <w:r w:rsidRPr="008653E6">
        <w:rPr>
          <w:rFonts w:asciiTheme="majorBidi" w:hAnsiTheme="majorBidi" w:cstheme="majorBidi"/>
          <w:szCs w:val="24"/>
        </w:rPr>
        <w:t>, du 1</w:t>
      </w:r>
      <w:r w:rsidRPr="008653E6">
        <w:t>er</w:t>
      </w:r>
      <w:r w:rsidRPr="008653E6">
        <w:rPr>
          <w:rFonts w:asciiTheme="majorBidi" w:hAnsiTheme="majorBidi" w:cstheme="majorBidi"/>
          <w:szCs w:val="24"/>
        </w:rPr>
        <w:t xml:space="preserve"> au 28 juin 2015, </w:t>
      </w:r>
      <w:r w:rsidRPr="008653E6">
        <w:t xml:space="preserve">le tout premier programme </w:t>
      </w:r>
      <w:r>
        <w:t xml:space="preserve">de formation </w:t>
      </w:r>
      <w:r w:rsidRPr="008653E6">
        <w:t xml:space="preserve">en ligne sur le thème </w:t>
      </w:r>
      <w:r w:rsidRPr="008653E6">
        <w:rPr>
          <w:rFonts w:asciiTheme="majorBidi" w:hAnsiTheme="majorBidi" w:cstheme="majorBidi"/>
          <w:szCs w:val="24"/>
        </w:rPr>
        <w:t>«</w:t>
      </w:r>
      <w:r w:rsidRPr="008653E6">
        <w:t>Procédures et réglementation internationale applicables à l</w:t>
      </w:r>
      <w:r w:rsidR="00D3135C">
        <w:t>'</w:t>
      </w:r>
      <w:r w:rsidRPr="008653E6">
        <w:t>enregistrement des réseaux à satellite» à l</w:t>
      </w:r>
      <w:r w:rsidR="00D3135C">
        <w:t>'</w:t>
      </w:r>
      <w:r w:rsidRPr="008653E6">
        <w:t xml:space="preserve">intention de la région Asie-Pacifique, en collaboration </w:t>
      </w:r>
      <w:r w:rsidRPr="008653E6">
        <w:rPr>
          <w:rFonts w:asciiTheme="majorBidi" w:hAnsiTheme="majorBidi" w:cstheme="majorBidi"/>
          <w:szCs w:val="24"/>
        </w:rPr>
        <w:t>avec le bureau régional de l</w:t>
      </w:r>
      <w:r w:rsidR="00D3135C">
        <w:rPr>
          <w:rFonts w:asciiTheme="majorBidi" w:hAnsiTheme="majorBidi" w:cstheme="majorBidi"/>
          <w:szCs w:val="24"/>
        </w:rPr>
        <w:t>'</w:t>
      </w:r>
      <w:r w:rsidRPr="008653E6">
        <w:rPr>
          <w:rFonts w:asciiTheme="majorBidi" w:hAnsiTheme="majorBidi" w:cstheme="majorBidi"/>
          <w:szCs w:val="24"/>
        </w:rPr>
        <w:t xml:space="preserve">UIT à Bangkok (Thaïlande) et le </w:t>
      </w:r>
      <w:r w:rsidRPr="008653E6">
        <w:t>Centre national de contrôle des émissions radioélectriques</w:t>
      </w:r>
      <w:r w:rsidRPr="008653E6">
        <w:rPr>
          <w:rFonts w:asciiTheme="majorBidi" w:hAnsiTheme="majorBidi" w:cstheme="majorBidi"/>
          <w:szCs w:val="24"/>
        </w:rPr>
        <w:t xml:space="preserve"> (SRMC) du </w:t>
      </w:r>
      <w:r w:rsidRPr="008653E6">
        <w:t>Ministère chinois de l</w:t>
      </w:r>
      <w:r w:rsidR="00D3135C">
        <w:t>'</w:t>
      </w:r>
      <w:r w:rsidRPr="008653E6">
        <w:t>industrie et des technologies de l</w:t>
      </w:r>
      <w:r w:rsidR="00D3135C">
        <w:t>'</w:t>
      </w:r>
      <w:r w:rsidRPr="008653E6">
        <w:t>information</w:t>
      </w:r>
      <w:r w:rsidRPr="008653E6">
        <w:rPr>
          <w:rFonts w:asciiTheme="majorBidi" w:hAnsiTheme="majorBidi" w:cstheme="majorBidi"/>
          <w:szCs w:val="24"/>
        </w:rPr>
        <w:t xml:space="preserve"> (MIT). Ce programme portait essentiellement sur les </w:t>
      </w:r>
      <w:r w:rsidRPr="008653E6">
        <w:t>procédures et la réglementation internationale applicables à l</w:t>
      </w:r>
      <w:r w:rsidR="00D3135C">
        <w:t>'</w:t>
      </w:r>
      <w:r w:rsidRPr="008653E6">
        <w:t xml:space="preserve">enregistrement des réseaux à satellite et comportait </w:t>
      </w:r>
      <w:r>
        <w:t xml:space="preserve">notamment </w:t>
      </w:r>
      <w:r w:rsidRPr="008653E6">
        <w:t>une introduction aux projets relatifs à des réseaux à satellite, au Secteur des radiocommunications de l</w:t>
      </w:r>
      <w:r w:rsidR="00D3135C">
        <w:t>'</w:t>
      </w:r>
      <w:r w:rsidRPr="008653E6">
        <w:t>UIT et à la réglementation relative au spectre/aux orbites, aux procédures applicables aux services spatiaux non planifiés et aux services spatiaux planifiés</w:t>
      </w:r>
      <w:r w:rsidRPr="008653E6">
        <w:rPr>
          <w:rFonts w:asciiTheme="majorBidi" w:hAnsiTheme="majorBidi" w:cstheme="majorBidi"/>
          <w:szCs w:val="24"/>
        </w:rPr>
        <w:t xml:space="preserve"> (SRS et SFS</w:t>
      </w:r>
      <w:r>
        <w:rPr>
          <w:rFonts w:asciiTheme="majorBidi" w:hAnsiTheme="majorBidi" w:cstheme="majorBidi"/>
          <w:szCs w:val="24"/>
        </w:rPr>
        <w:t>)</w:t>
      </w:r>
      <w:r w:rsidRPr="008653E6">
        <w:rPr>
          <w:rFonts w:asciiTheme="majorBidi" w:hAnsiTheme="majorBidi" w:cstheme="majorBidi"/>
          <w:szCs w:val="24"/>
        </w:rPr>
        <w:t>.</w:t>
      </w:r>
    </w:p>
    <w:p w:rsidR="00C244D7" w:rsidRPr="008653E6" w:rsidRDefault="00C244D7" w:rsidP="00C244D7">
      <w:r w:rsidRPr="008653E6">
        <w:rPr>
          <w:rFonts w:asciiTheme="majorBidi" w:hAnsiTheme="majorBidi" w:cstheme="majorBidi"/>
          <w:szCs w:val="24"/>
        </w:rPr>
        <w:t>Les objectifs du cours étaient de permettre aux participants d</w:t>
      </w:r>
      <w:r w:rsidR="00D3135C">
        <w:rPr>
          <w:rFonts w:asciiTheme="majorBidi" w:hAnsiTheme="majorBidi" w:cstheme="majorBidi"/>
          <w:szCs w:val="24"/>
        </w:rPr>
        <w:t>'</w:t>
      </w:r>
      <w:r w:rsidRPr="008653E6">
        <w:rPr>
          <w:rFonts w:asciiTheme="majorBidi" w:hAnsiTheme="majorBidi" w:cstheme="majorBidi"/>
          <w:szCs w:val="24"/>
        </w:rPr>
        <w:t xml:space="preserve">acquérir des notions de base sur les </w:t>
      </w:r>
      <w:r w:rsidRPr="008653E6">
        <w:t>projets relatifs à des réseaux à satellite, de mieux faire comprendre la réglementation internationale régissant l</w:t>
      </w:r>
      <w:r w:rsidR="00D3135C">
        <w:t>'</w:t>
      </w:r>
      <w:r w:rsidRPr="008653E6">
        <w:t>enregistrement des réseaux à satellite, de décrire de manière détaillée les procédures de coordination applicables à l</w:t>
      </w:r>
      <w:r w:rsidR="00D3135C">
        <w:t>'</w:t>
      </w:r>
      <w:r w:rsidRPr="008653E6">
        <w:t>enregistrement des réseaux à satellite et d</w:t>
      </w:r>
      <w:r w:rsidR="00D3135C">
        <w:t>'</w:t>
      </w:r>
      <w:r w:rsidRPr="008653E6">
        <w:t>échanger des données d</w:t>
      </w:r>
      <w:r w:rsidR="00D3135C">
        <w:t>'</w:t>
      </w:r>
      <w:r w:rsidRPr="008653E6">
        <w:t>expérience et d</w:t>
      </w:r>
      <w:r w:rsidR="00D3135C">
        <w:t>'</w:t>
      </w:r>
      <w:r w:rsidRPr="008653E6">
        <w:t>examiner les difficultés rencontrées en ce qui concerne l</w:t>
      </w:r>
      <w:r w:rsidR="00D3135C">
        <w:t>'</w:t>
      </w:r>
      <w:r w:rsidRPr="008653E6">
        <w:t>enregistrement des réseaux à satellite.</w:t>
      </w:r>
    </w:p>
    <w:p w:rsidR="00C244D7" w:rsidRPr="008653E6" w:rsidRDefault="00C244D7" w:rsidP="00BC0CAD">
      <w:pPr>
        <w:rPr>
          <w:lang w:eastAsia="zh-CN"/>
        </w:rPr>
      </w:pPr>
      <w:r w:rsidRPr="008653E6">
        <w:t>L</w:t>
      </w:r>
      <w:r w:rsidR="00D3135C">
        <w:t>'</w:t>
      </w:r>
      <w:r w:rsidRPr="008653E6">
        <w:t xml:space="preserve">UIT a également organisé à Prague (République tchèque), du 2 au 4 mars 2015, </w:t>
      </w:r>
      <w:r w:rsidRPr="008653E6">
        <w:rPr>
          <w:lang w:eastAsia="zh-CN"/>
        </w:rPr>
        <w:t xml:space="preserve">un </w:t>
      </w:r>
      <w:r w:rsidRPr="008653E6">
        <w:t>Colloque et un atelier sur la réglementation relative aux petits satellites et aux systèmes de télécommunication util</w:t>
      </w:r>
      <w:r w:rsidR="00E3472E">
        <w:t>isant de petits satellites. Ce C</w:t>
      </w:r>
      <w:r w:rsidRPr="008653E6">
        <w:t>olloque et cet atelier, d</w:t>
      </w:r>
      <w:r w:rsidR="00D3135C">
        <w:t>'</w:t>
      </w:r>
      <w:r w:rsidRPr="008653E6">
        <w:t>une durée de trois jours, étaient consacrés aux aspects réglementaires de l</w:t>
      </w:r>
      <w:r w:rsidR="00D3135C">
        <w:t>'</w:t>
      </w:r>
      <w:r w:rsidRPr="008653E6">
        <w:t>utilisation du spectre des fréquences radioélectriques et des orbites de satellites pour les systèmes de télécommunication utilisant de petits satellites, et plus particulièrement à l</w:t>
      </w:r>
      <w:r w:rsidR="00D3135C">
        <w:t>'</w:t>
      </w:r>
      <w:r w:rsidRPr="008653E6">
        <w:t>application des dispositions du Règlement des ra</w:t>
      </w:r>
      <w:r w:rsidR="00E3472E">
        <w:t>diocommunications de l</w:t>
      </w:r>
      <w:r w:rsidR="00D3135C">
        <w:t>'</w:t>
      </w:r>
      <w:r w:rsidR="00E3472E">
        <w:t>UIT. Le C</w:t>
      </w:r>
      <w:r w:rsidRPr="008653E6">
        <w:t>olloque était organisé par l</w:t>
      </w:r>
      <w:r w:rsidR="00D3135C">
        <w:t>'</w:t>
      </w:r>
      <w:r w:rsidRPr="008653E6">
        <w:t>UIT en coopération avec un établissement universitaire participant aux travaux de l</w:t>
      </w:r>
      <w:r w:rsidR="00D3135C">
        <w:t>'</w:t>
      </w:r>
      <w:r w:rsidRPr="008653E6">
        <w:t>Union, à savoir la Faculté d</w:t>
      </w:r>
      <w:r w:rsidR="00D3135C">
        <w:t>'</w:t>
      </w:r>
      <w:r w:rsidRPr="008653E6">
        <w:t>ingénierie électrique de l</w:t>
      </w:r>
      <w:r w:rsidR="00D3135C">
        <w:t>'</w:t>
      </w:r>
      <w:r w:rsidRPr="008653E6">
        <w:t>Université technique tchèque (CTU FEE). Plus de 160 participants d</w:t>
      </w:r>
      <w:r w:rsidR="00D3135C">
        <w:t>'</w:t>
      </w:r>
      <w:r w:rsidRPr="008653E6">
        <w:t>une quarantaine de pays</w:t>
      </w:r>
      <w:r w:rsidR="00E3472E">
        <w:t xml:space="preserve"> y</w:t>
      </w:r>
      <w:r w:rsidRPr="008653E6">
        <w:t xml:space="preserve"> ont assisté.</w:t>
      </w:r>
    </w:p>
    <w:p w:rsidR="00C244D7" w:rsidRPr="008653E6" w:rsidRDefault="00C244D7" w:rsidP="00C244D7">
      <w:pPr>
        <w:rPr>
          <w:lang w:val="fr-CH"/>
        </w:rPr>
      </w:pPr>
      <w:r w:rsidRPr="008653E6">
        <w:t>Le Colloque s</w:t>
      </w:r>
      <w:r w:rsidR="00D3135C">
        <w:t>'</w:t>
      </w:r>
      <w:r w:rsidRPr="008653E6">
        <w:t>est achevé par l</w:t>
      </w:r>
      <w:r w:rsidR="00D3135C">
        <w:t>'</w:t>
      </w:r>
      <w:r w:rsidRPr="008653E6">
        <w:t>approbation à l</w:t>
      </w:r>
      <w:r w:rsidR="00D3135C">
        <w:t>'</w:t>
      </w:r>
      <w:r w:rsidRPr="008653E6">
        <w:t xml:space="preserve">unanimité de la «Déclaration de Prague sur la réglementation applicable aux petits satellites et aux systèmes de télécommunication utilisant de petits satellites». En vertu de cette Déclaration, la communauté des utilisateurs de petits satellites est instamment priée de se conformer </w:t>
      </w:r>
      <w:r w:rsidRPr="008653E6">
        <w:rPr>
          <w:color w:val="000000"/>
        </w:rPr>
        <w:t>aux législations, aux réglementations et aux procédures nationales et internationales</w:t>
      </w:r>
      <w:r w:rsidRPr="008653E6">
        <w:t xml:space="preserve"> applicables, qui sont indispensables pour </w:t>
      </w:r>
      <w:r w:rsidRPr="008653E6">
        <w:rPr>
          <w:color w:val="000000"/>
        </w:rPr>
        <w:t>assurer la viabilité à long terme des projets relatifs à de petits satellites, pour éviter les brouillages préjudiciables et gérer comme il se doit les débris spatiaux.</w:t>
      </w:r>
      <w:r w:rsidRPr="008653E6">
        <w:t xml:space="preserve"> Dans cette Déclaration, il est également recommandé à l</w:t>
      </w:r>
      <w:r w:rsidR="00D3135C">
        <w:t>'</w:t>
      </w:r>
      <w:r w:rsidRPr="008653E6">
        <w:t>UIT de poursuivre</w:t>
      </w:r>
      <w:r w:rsidRPr="008653E6">
        <w:rPr>
          <w:color w:val="000000"/>
        </w:rPr>
        <w:t xml:space="preserve"> ses activités de renforcement des capacités en matière de réglementation des systèmes de télécommunication par satellite</w:t>
      </w:r>
      <w:r w:rsidRPr="008653E6">
        <w:t xml:space="preserve"> </w:t>
      </w:r>
      <w:r w:rsidRPr="008653E6">
        <w:rPr>
          <w:lang w:val="fr-CH"/>
        </w:rPr>
        <w:t>(voir l</w:t>
      </w:r>
      <w:r w:rsidR="00D3135C">
        <w:rPr>
          <w:lang w:val="fr-CH"/>
        </w:rPr>
        <w:t>'</w:t>
      </w:r>
      <w:r w:rsidRPr="008653E6">
        <w:rPr>
          <w:lang w:val="fr-CH"/>
        </w:rPr>
        <w:t xml:space="preserve">adresse: </w:t>
      </w:r>
      <w:hyperlink r:id="rId39" w:history="1">
        <w:r w:rsidRPr="008653E6">
          <w:rPr>
            <w:rStyle w:val="Hyperlink"/>
          </w:rPr>
          <w:t>http://www.itu.int/en/ITU-R/space/workshops/2015-prague-small-sat/Documents/Prague%20Declaration.pdf</w:t>
        </w:r>
      </w:hyperlink>
      <w:r w:rsidRPr="008653E6">
        <w:rPr>
          <w:lang w:val="fr-CH"/>
        </w:rPr>
        <w:t>).</w:t>
      </w:r>
    </w:p>
    <w:p w:rsidR="00C244D7" w:rsidRPr="008653E6" w:rsidRDefault="00C244D7" w:rsidP="00C244D7">
      <w:pPr>
        <w:keepNext/>
        <w:keepLines/>
        <w:rPr>
          <w:lang w:eastAsia="zh-CN"/>
        </w:rPr>
      </w:pPr>
      <w:r w:rsidRPr="008653E6">
        <w:t>Le Bureau se propose de poursuivre sa coopération avec les Centres d</w:t>
      </w:r>
      <w:r w:rsidR="00D3135C">
        <w:t>'</w:t>
      </w:r>
      <w:r w:rsidRPr="008653E6">
        <w:t>excellence de l</w:t>
      </w:r>
      <w:r w:rsidR="00D3135C">
        <w:t>'</w:t>
      </w:r>
      <w:r w:rsidRPr="008653E6">
        <w:t>UIT pour la région Asie-Pacifique et d</w:t>
      </w:r>
      <w:r w:rsidR="00D3135C">
        <w:t>'</w:t>
      </w:r>
      <w:r w:rsidRPr="008653E6">
        <w:t xml:space="preserve">organiser, à intervalles réguliers, des cours en ligne sur les </w:t>
      </w:r>
      <w:r w:rsidRPr="008653E6">
        <w:rPr>
          <w:color w:val="000000"/>
        </w:rPr>
        <w:t>procédures d</w:t>
      </w:r>
      <w:r w:rsidR="00D3135C">
        <w:rPr>
          <w:color w:val="000000"/>
        </w:rPr>
        <w:t>'</w:t>
      </w:r>
      <w:r w:rsidRPr="008653E6">
        <w:rPr>
          <w:color w:val="000000"/>
        </w:rPr>
        <w:t>enregistrement des réseaux à satellite</w:t>
      </w:r>
      <w:r w:rsidRPr="008653E6">
        <w:t>. En raison du succès rencontré par cette activité, le Bureau projette également de concevoir le même cours en ligne pour la région Afrique et la région Amériques.</w:t>
      </w:r>
    </w:p>
    <w:p w:rsidR="00C244D7" w:rsidRDefault="00C244D7" w:rsidP="008B6DCF">
      <w:pPr>
        <w:keepNext/>
        <w:keepLines/>
        <w:rPr>
          <w:lang w:eastAsia="zh-CN"/>
        </w:rPr>
      </w:pPr>
      <w:r w:rsidRPr="008653E6">
        <w:rPr>
          <w:lang w:eastAsia="zh-CN"/>
        </w:rPr>
        <w:t xml:space="preserve">On trouvera dans le Tableau 8.2.4-1 un récapitulatif des missions effectuées par des fonctionnaires du BR au titre des activités </w:t>
      </w:r>
      <w:r w:rsidR="00E3472E">
        <w:rPr>
          <w:lang w:eastAsia="zh-CN"/>
        </w:rPr>
        <w:t>menées</w:t>
      </w:r>
      <w:r w:rsidRPr="008653E6">
        <w:rPr>
          <w:lang w:eastAsia="zh-CN"/>
        </w:rPr>
        <w:t xml:space="preserve"> depuis la CMR-12</w:t>
      </w:r>
      <w:r w:rsidR="00E3472E">
        <w:rPr>
          <w:lang w:eastAsia="zh-CN"/>
        </w:rPr>
        <w:t xml:space="preserve"> qui sont </w:t>
      </w:r>
      <w:r w:rsidR="00E3472E" w:rsidRPr="008653E6">
        <w:rPr>
          <w:lang w:eastAsia="zh-CN"/>
        </w:rPr>
        <w:t>décrites ci-dessus</w:t>
      </w:r>
      <w:r w:rsidRPr="008653E6">
        <w:rPr>
          <w:lang w:eastAsia="zh-CN"/>
        </w:rPr>
        <w:t>. Dans un souci d</w:t>
      </w:r>
      <w:r w:rsidR="00D3135C">
        <w:rPr>
          <w:lang w:eastAsia="zh-CN"/>
        </w:rPr>
        <w:t>'</w:t>
      </w:r>
      <w:r w:rsidRPr="008653E6">
        <w:rPr>
          <w:lang w:eastAsia="zh-CN"/>
        </w:rPr>
        <w:t>exhaustivité, ce tableau indique également la participation du personnel du BR à l</w:t>
      </w:r>
      <w:r w:rsidR="00D3135C">
        <w:rPr>
          <w:lang w:eastAsia="zh-CN"/>
        </w:rPr>
        <w:t>'</w:t>
      </w:r>
      <w:r w:rsidRPr="008653E6">
        <w:rPr>
          <w:lang w:eastAsia="zh-CN"/>
        </w:rPr>
        <w:t xml:space="preserve">assistance fournie aux </w:t>
      </w:r>
      <w:r w:rsidR="008B6DCF">
        <w:rPr>
          <w:lang w:eastAsia="zh-CN"/>
        </w:rPr>
        <w:t>E</w:t>
      </w:r>
      <w:r w:rsidRPr="008653E6">
        <w:rPr>
          <w:lang w:eastAsia="zh-CN"/>
        </w:rPr>
        <w:t>tats Membres (voir le § 8.3)</w:t>
      </w:r>
      <w:r w:rsidR="00E3472E">
        <w:rPr>
          <w:lang w:eastAsia="zh-CN"/>
        </w:rPr>
        <w:t>.</w:t>
      </w:r>
    </w:p>
    <w:p w:rsidR="008B6DCF" w:rsidRPr="008653E6" w:rsidRDefault="008B6DCF" w:rsidP="008B6DCF">
      <w:pPr>
        <w:keepNext/>
        <w:keepLines/>
        <w:rPr>
          <w:lang w:eastAsia="zh-CN"/>
        </w:rPr>
      </w:pPr>
    </w:p>
    <w:p w:rsidR="00E3472E" w:rsidRDefault="00E3472E" w:rsidP="00C244D7">
      <w:pPr>
        <w:keepNext/>
        <w:keepLines/>
        <w:rPr>
          <w:lang w:eastAsia="zh-CN"/>
        </w:rPr>
        <w:sectPr w:rsidR="00E3472E" w:rsidSect="00785D5A">
          <w:headerReference w:type="first" r:id="rId40"/>
          <w:pgSz w:w="11907" w:h="16834"/>
          <w:pgMar w:top="1418" w:right="1134" w:bottom="1418" w:left="1134" w:header="720" w:footer="720" w:gutter="0"/>
          <w:paperSrc w:first="15" w:other="15"/>
          <w:cols w:space="720"/>
          <w:titlePg/>
          <w:docGrid w:linePitch="326"/>
        </w:sectPr>
      </w:pPr>
    </w:p>
    <w:p w:rsidR="00C244D7" w:rsidRPr="008653E6" w:rsidRDefault="00C244D7" w:rsidP="002A55C1">
      <w:pPr>
        <w:pStyle w:val="TableNoBR"/>
        <w:rPr>
          <w:lang w:eastAsia="zh-CN"/>
        </w:rPr>
      </w:pPr>
      <w:r w:rsidRPr="008653E6">
        <w:rPr>
          <w:lang w:eastAsia="zh-CN"/>
        </w:rPr>
        <w:t>TableAU 8.2.4-1</w:t>
      </w:r>
    </w:p>
    <w:p w:rsidR="00C244D7" w:rsidRPr="008653E6" w:rsidRDefault="00C244D7" w:rsidP="002A55C1">
      <w:pPr>
        <w:pStyle w:val="TabletitleBR"/>
        <w:rPr>
          <w:lang w:eastAsia="zh-CN"/>
        </w:rPr>
      </w:pPr>
      <w:r w:rsidRPr="008653E6">
        <w:rPr>
          <w:lang w:eastAsia="zh-CN"/>
        </w:rPr>
        <w:t>Participation de fonctionnaires du BR aux manifestations destinées à diffuser des informations</w:t>
      </w:r>
    </w:p>
    <w:tbl>
      <w:tblPr>
        <w:tblW w:w="13761" w:type="dxa"/>
        <w:tblInd w:w="675" w:type="dxa"/>
        <w:tblLook w:val="04A0" w:firstRow="1" w:lastRow="0" w:firstColumn="1" w:lastColumn="0" w:noHBand="0" w:noVBand="1"/>
      </w:tblPr>
      <w:tblGrid>
        <w:gridCol w:w="3402"/>
        <w:gridCol w:w="993"/>
        <w:gridCol w:w="992"/>
        <w:gridCol w:w="992"/>
        <w:gridCol w:w="992"/>
        <w:gridCol w:w="993"/>
        <w:gridCol w:w="992"/>
        <w:gridCol w:w="992"/>
        <w:gridCol w:w="992"/>
        <w:gridCol w:w="1134"/>
        <w:gridCol w:w="1287"/>
      </w:tblGrid>
      <w:tr w:rsidR="00C244D7" w:rsidRPr="008653E6" w:rsidTr="00E3472E">
        <w:trPr>
          <w:trHeight w:val="315"/>
        </w:trPr>
        <w:tc>
          <w:tcPr>
            <w:tcW w:w="3402" w:type="dxa"/>
            <w:vMerge w:val="restart"/>
            <w:tcBorders>
              <w:top w:val="single" w:sz="8" w:space="0" w:color="auto"/>
              <w:left w:val="single" w:sz="8" w:space="0" w:color="auto"/>
              <w:bottom w:val="single" w:sz="4" w:space="0" w:color="000000"/>
              <w:right w:val="single" w:sz="8" w:space="0" w:color="auto"/>
            </w:tcBorders>
            <w:shd w:val="clear" w:color="auto" w:fill="auto"/>
            <w:noWrap/>
            <w:vAlign w:val="bottom"/>
            <w:hideMark/>
          </w:tcPr>
          <w:p w:rsidR="00C244D7" w:rsidRPr="008653E6" w:rsidRDefault="00C244D7" w:rsidP="00E3472E">
            <w:pPr>
              <w:overflowPunct/>
              <w:autoSpaceDE/>
              <w:autoSpaceDN/>
              <w:adjustRightInd/>
              <w:spacing w:before="0"/>
              <w:textAlignment w:val="auto"/>
              <w:rPr>
                <w:rFonts w:asciiTheme="majorBidi" w:hAnsiTheme="majorBidi" w:cstheme="majorBidi"/>
                <w:color w:val="000000"/>
                <w:sz w:val="18"/>
                <w:szCs w:val="18"/>
                <w:lang w:val="fr-CH" w:eastAsia="zh-CN"/>
              </w:rPr>
            </w:pPr>
            <w:r w:rsidRPr="008653E6">
              <w:rPr>
                <w:rFonts w:asciiTheme="majorBidi" w:hAnsiTheme="majorBidi" w:cstheme="majorBidi"/>
                <w:color w:val="000000"/>
                <w:sz w:val="18"/>
                <w:szCs w:val="18"/>
                <w:lang w:val="fr-CH" w:eastAsia="zh-CN"/>
              </w:rPr>
              <w:t> </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2012</w:t>
            </w:r>
          </w:p>
        </w:tc>
        <w:tc>
          <w:tcPr>
            <w:tcW w:w="1984" w:type="dxa"/>
            <w:gridSpan w:val="2"/>
            <w:tcBorders>
              <w:top w:val="single" w:sz="8" w:space="0" w:color="auto"/>
              <w:left w:val="nil"/>
              <w:bottom w:val="nil"/>
              <w:right w:val="single" w:sz="8" w:space="0" w:color="000000"/>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2013</w:t>
            </w:r>
          </w:p>
        </w:tc>
        <w:tc>
          <w:tcPr>
            <w:tcW w:w="1985" w:type="dxa"/>
            <w:gridSpan w:val="2"/>
            <w:tcBorders>
              <w:top w:val="single" w:sz="8" w:space="0" w:color="auto"/>
              <w:left w:val="nil"/>
              <w:bottom w:val="nil"/>
              <w:right w:val="single" w:sz="8" w:space="0" w:color="000000"/>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2014</w:t>
            </w:r>
          </w:p>
        </w:tc>
        <w:tc>
          <w:tcPr>
            <w:tcW w:w="1984" w:type="dxa"/>
            <w:gridSpan w:val="2"/>
            <w:tcBorders>
              <w:top w:val="single" w:sz="8" w:space="0" w:color="auto"/>
              <w:left w:val="single" w:sz="8" w:space="0" w:color="auto"/>
              <w:bottom w:val="nil"/>
              <w:right w:val="single" w:sz="8" w:space="0" w:color="000000"/>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2015 (jusqu</w:t>
            </w:r>
            <w:r w:rsidR="00D3135C">
              <w:rPr>
                <w:rFonts w:asciiTheme="majorBidi" w:hAnsiTheme="majorBidi" w:cstheme="majorBidi"/>
                <w:b/>
                <w:bCs/>
                <w:color w:val="000000"/>
                <w:sz w:val="18"/>
                <w:szCs w:val="18"/>
                <w:lang w:val="en-US" w:eastAsia="zh-CN"/>
              </w:rPr>
              <w:t>'</w:t>
            </w:r>
            <w:r w:rsidRPr="008653E6">
              <w:rPr>
                <w:rFonts w:asciiTheme="majorBidi" w:hAnsiTheme="majorBidi" w:cstheme="majorBidi"/>
                <w:b/>
                <w:bCs/>
                <w:color w:val="000000"/>
                <w:sz w:val="18"/>
                <w:szCs w:val="18"/>
                <w:lang w:val="en-US" w:eastAsia="zh-CN"/>
              </w:rPr>
              <w:t>au 30 juin)</w:t>
            </w:r>
          </w:p>
        </w:tc>
        <w:tc>
          <w:tcPr>
            <w:tcW w:w="2421" w:type="dxa"/>
            <w:gridSpan w:val="2"/>
            <w:tcBorders>
              <w:top w:val="single" w:sz="8" w:space="0" w:color="auto"/>
              <w:left w:val="nil"/>
              <w:bottom w:val="nil"/>
              <w:right w:val="single" w:sz="8" w:space="0" w:color="000000"/>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TOTAL</w:t>
            </w:r>
          </w:p>
        </w:tc>
      </w:tr>
      <w:tr w:rsidR="00C244D7" w:rsidRPr="008653E6" w:rsidTr="00E3472E">
        <w:trPr>
          <w:trHeight w:val="315"/>
        </w:trPr>
        <w:tc>
          <w:tcPr>
            <w:tcW w:w="3402" w:type="dxa"/>
            <w:vMerge/>
            <w:tcBorders>
              <w:top w:val="single" w:sz="8" w:space="0" w:color="auto"/>
              <w:left w:val="single" w:sz="8" w:space="0" w:color="auto"/>
              <w:bottom w:val="single" w:sz="4" w:space="0" w:color="000000"/>
              <w:right w:val="single" w:sz="8" w:space="0" w:color="auto"/>
            </w:tcBorders>
            <w:vAlign w:val="center"/>
            <w:hideMark/>
          </w:tcPr>
          <w:p w:rsidR="00C244D7" w:rsidRPr="008653E6" w:rsidRDefault="00C244D7" w:rsidP="00E3472E">
            <w:pPr>
              <w:overflowPunct/>
              <w:autoSpaceDE/>
              <w:autoSpaceDN/>
              <w:adjustRightInd/>
              <w:spacing w:before="0"/>
              <w:textAlignment w:val="auto"/>
              <w:rPr>
                <w:rFonts w:asciiTheme="majorBidi" w:hAnsiTheme="majorBidi" w:cstheme="majorBidi"/>
                <w:color w:val="000000"/>
                <w:sz w:val="18"/>
                <w:szCs w:val="18"/>
                <w:lang w:val="en-US" w:eastAsia="zh-CN"/>
              </w:rPr>
            </w:pP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Pays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Pays</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Pays</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Missions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Pays</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MISSIONS</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C244D7" w:rsidRPr="008653E6" w:rsidRDefault="00C244D7" w:rsidP="00E3472E">
            <w:pPr>
              <w:overflowPunct/>
              <w:autoSpaceDE/>
              <w:autoSpaceDN/>
              <w:adjustRightInd/>
              <w:spacing w:before="0"/>
              <w:jc w:val="center"/>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PAYS</w:t>
            </w:r>
          </w:p>
        </w:tc>
      </w:tr>
      <w:tr w:rsidR="00E3472E" w:rsidRPr="008653E6" w:rsidTr="00E3472E">
        <w:trPr>
          <w:trHeight w:val="422"/>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i/>
                <w:iCs/>
                <w:color w:val="000000"/>
                <w:sz w:val="18"/>
                <w:szCs w:val="18"/>
                <w:lang w:val="en-US" w:eastAsia="zh-CN"/>
              </w:rPr>
            </w:pPr>
            <w:r w:rsidRPr="008653E6">
              <w:rPr>
                <w:rFonts w:asciiTheme="majorBidi" w:hAnsiTheme="majorBidi" w:cstheme="majorBidi"/>
                <w:b/>
                <w:bCs/>
                <w:i/>
                <w:iCs/>
                <w:color w:val="000000"/>
                <w:sz w:val="18"/>
                <w:szCs w:val="18"/>
                <w:lang w:val="en-US" w:eastAsia="zh-CN"/>
              </w:rPr>
              <w:t>INSTITUTIONS SPÉCIALISÉES</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14</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16</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12</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17</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12</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24</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71</w:t>
            </w:r>
          </w:p>
        </w:tc>
        <w:tc>
          <w:tcPr>
            <w:tcW w:w="1287" w:type="dxa"/>
            <w:tcBorders>
              <w:top w:val="nil"/>
              <w:left w:val="nil"/>
              <w:bottom w:val="single" w:sz="4" w:space="0" w:color="auto"/>
              <w:right w:val="single" w:sz="8"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42</w:t>
            </w:r>
          </w:p>
        </w:tc>
      </w:tr>
      <w:tr w:rsidR="00E3472E" w:rsidRPr="008653E6" w:rsidTr="00E3472E">
        <w:trPr>
          <w:trHeight w:val="521"/>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i/>
                <w:iCs/>
                <w:color w:val="000000"/>
                <w:sz w:val="18"/>
                <w:szCs w:val="18"/>
                <w:lang w:val="en-US" w:eastAsia="zh-CN"/>
              </w:rPr>
            </w:pPr>
            <w:r w:rsidRPr="008653E6">
              <w:rPr>
                <w:rFonts w:asciiTheme="majorBidi" w:hAnsiTheme="majorBidi" w:cstheme="majorBidi"/>
                <w:b/>
                <w:bCs/>
                <w:i/>
                <w:iCs/>
                <w:color w:val="000000"/>
                <w:sz w:val="18"/>
                <w:szCs w:val="18"/>
                <w:lang w:val="en-US" w:eastAsia="zh-CN"/>
              </w:rPr>
              <w:t>ORGANISATIONS RÉGIONALES DE TÉLÉCOMMUNICATIONS</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23</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17</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34</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27</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33</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74</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34</w:t>
            </w:r>
          </w:p>
        </w:tc>
        <w:tc>
          <w:tcPr>
            <w:tcW w:w="1134" w:type="dxa"/>
            <w:tcBorders>
              <w:top w:val="nil"/>
              <w:left w:val="nil"/>
              <w:bottom w:val="single" w:sz="4" w:space="0" w:color="auto"/>
              <w:right w:val="single" w:sz="4"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164</w:t>
            </w:r>
          </w:p>
        </w:tc>
        <w:tc>
          <w:tcPr>
            <w:tcW w:w="1287" w:type="dxa"/>
            <w:tcBorders>
              <w:top w:val="nil"/>
              <w:left w:val="nil"/>
              <w:bottom w:val="single" w:sz="4" w:space="0" w:color="auto"/>
              <w:right w:val="single" w:sz="8"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103</w:t>
            </w:r>
          </w:p>
        </w:tc>
      </w:tr>
      <w:tr w:rsidR="00E3472E" w:rsidRPr="008653E6" w:rsidTr="00E3472E">
        <w:trPr>
          <w:trHeight w:val="557"/>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i/>
                <w:iCs/>
                <w:color w:val="000000"/>
                <w:sz w:val="18"/>
                <w:szCs w:val="18"/>
                <w:lang w:val="fr-CH" w:eastAsia="zh-CN"/>
              </w:rPr>
            </w:pPr>
            <w:r w:rsidRPr="008653E6">
              <w:rPr>
                <w:rFonts w:asciiTheme="majorBidi" w:hAnsiTheme="majorBidi" w:cstheme="majorBidi"/>
                <w:b/>
                <w:bCs/>
                <w:i/>
                <w:iCs/>
                <w:color w:val="000000"/>
                <w:sz w:val="18"/>
                <w:szCs w:val="18"/>
                <w:lang w:val="fr-CH" w:eastAsia="zh-CN"/>
              </w:rPr>
              <w:t>CONFÉRENCES ET COLLOQUES NON ORGANISÉS PAR L</w:t>
            </w:r>
            <w:r w:rsidR="00D3135C">
              <w:rPr>
                <w:rFonts w:asciiTheme="majorBidi" w:hAnsiTheme="majorBidi" w:cstheme="majorBidi"/>
                <w:b/>
                <w:bCs/>
                <w:i/>
                <w:iCs/>
                <w:color w:val="000000"/>
                <w:sz w:val="18"/>
                <w:szCs w:val="18"/>
                <w:lang w:val="fr-CH" w:eastAsia="zh-CN"/>
              </w:rPr>
              <w:t>'</w:t>
            </w:r>
            <w:r w:rsidRPr="008653E6">
              <w:rPr>
                <w:rFonts w:asciiTheme="majorBidi" w:hAnsiTheme="majorBidi" w:cstheme="majorBidi"/>
                <w:b/>
                <w:bCs/>
                <w:i/>
                <w:iCs/>
                <w:color w:val="000000"/>
                <w:sz w:val="18"/>
                <w:szCs w:val="18"/>
                <w:lang w:val="fr-CH" w:eastAsia="zh-CN"/>
              </w:rPr>
              <w:t xml:space="preserve">UIT </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63</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42</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60</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37</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59</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43</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57</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45</w:t>
            </w:r>
          </w:p>
        </w:tc>
        <w:tc>
          <w:tcPr>
            <w:tcW w:w="1134" w:type="dxa"/>
            <w:tcBorders>
              <w:top w:val="nil"/>
              <w:left w:val="nil"/>
              <w:bottom w:val="single" w:sz="4" w:space="0" w:color="auto"/>
              <w:right w:val="single" w:sz="4"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239</w:t>
            </w:r>
          </w:p>
        </w:tc>
        <w:tc>
          <w:tcPr>
            <w:tcW w:w="1287" w:type="dxa"/>
            <w:tcBorders>
              <w:top w:val="nil"/>
              <w:left w:val="nil"/>
              <w:bottom w:val="single" w:sz="4" w:space="0" w:color="auto"/>
              <w:right w:val="single" w:sz="8"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167</w:t>
            </w:r>
          </w:p>
        </w:tc>
      </w:tr>
      <w:tr w:rsidR="00E3472E" w:rsidRPr="008653E6" w:rsidTr="00E3472E">
        <w:trPr>
          <w:trHeight w:val="585"/>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i/>
                <w:iCs/>
                <w:color w:val="000000"/>
                <w:sz w:val="18"/>
                <w:szCs w:val="18"/>
                <w:lang w:val="fr-CH" w:eastAsia="zh-CN"/>
              </w:rPr>
            </w:pPr>
            <w:r w:rsidRPr="008653E6">
              <w:rPr>
                <w:rFonts w:asciiTheme="majorBidi" w:hAnsiTheme="majorBidi" w:cstheme="majorBidi"/>
                <w:b/>
                <w:bCs/>
                <w:i/>
                <w:iCs/>
                <w:color w:val="000000"/>
                <w:sz w:val="18"/>
                <w:szCs w:val="18"/>
                <w:lang w:val="fr-CH" w:eastAsia="zh-CN"/>
              </w:rPr>
              <w:t>SÉMINAIRES, ATELIERS ET RÉUNIONS DE L</w:t>
            </w:r>
            <w:r w:rsidR="00D3135C">
              <w:rPr>
                <w:rFonts w:asciiTheme="majorBidi" w:hAnsiTheme="majorBidi" w:cstheme="majorBidi"/>
                <w:b/>
                <w:bCs/>
                <w:i/>
                <w:iCs/>
                <w:color w:val="000000"/>
                <w:sz w:val="18"/>
                <w:szCs w:val="18"/>
                <w:lang w:val="fr-CH" w:eastAsia="zh-CN"/>
              </w:rPr>
              <w:t>'</w:t>
            </w:r>
            <w:r w:rsidRPr="008653E6">
              <w:rPr>
                <w:rFonts w:asciiTheme="majorBidi" w:hAnsiTheme="majorBidi" w:cstheme="majorBidi"/>
                <w:b/>
                <w:bCs/>
                <w:i/>
                <w:iCs/>
                <w:color w:val="000000"/>
                <w:sz w:val="18"/>
                <w:szCs w:val="18"/>
                <w:lang w:val="fr-CH" w:eastAsia="zh-CN"/>
              </w:rPr>
              <w:t>UIT</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36</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34</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24</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22</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29</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22</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33</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19</w:t>
            </w:r>
          </w:p>
        </w:tc>
        <w:tc>
          <w:tcPr>
            <w:tcW w:w="1134" w:type="dxa"/>
            <w:tcBorders>
              <w:top w:val="nil"/>
              <w:left w:val="nil"/>
              <w:bottom w:val="single" w:sz="4" w:space="0" w:color="auto"/>
              <w:right w:val="single" w:sz="4"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122</w:t>
            </w:r>
          </w:p>
        </w:tc>
        <w:tc>
          <w:tcPr>
            <w:tcW w:w="1287" w:type="dxa"/>
            <w:tcBorders>
              <w:top w:val="nil"/>
              <w:left w:val="nil"/>
              <w:bottom w:val="single" w:sz="4" w:space="0" w:color="auto"/>
              <w:right w:val="single" w:sz="8"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97</w:t>
            </w:r>
          </w:p>
        </w:tc>
      </w:tr>
      <w:tr w:rsidR="00E3472E" w:rsidRPr="008653E6" w:rsidTr="00E3472E">
        <w:trPr>
          <w:trHeight w:val="300"/>
        </w:trPr>
        <w:tc>
          <w:tcPr>
            <w:tcW w:w="3402" w:type="dxa"/>
            <w:tcBorders>
              <w:top w:val="nil"/>
              <w:left w:val="single" w:sz="8" w:space="0" w:color="auto"/>
              <w:bottom w:val="single" w:sz="4" w:space="0" w:color="auto"/>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i/>
                <w:iCs/>
                <w:color w:val="000000"/>
                <w:sz w:val="18"/>
                <w:szCs w:val="18"/>
                <w:lang w:val="en-US" w:eastAsia="zh-CN"/>
              </w:rPr>
            </w:pPr>
            <w:r w:rsidRPr="008653E6">
              <w:rPr>
                <w:rFonts w:asciiTheme="majorBidi" w:hAnsiTheme="majorBidi" w:cstheme="majorBidi"/>
                <w:b/>
                <w:bCs/>
                <w:i/>
                <w:iCs/>
                <w:color w:val="000000"/>
                <w:sz w:val="18"/>
                <w:szCs w:val="18"/>
                <w:lang w:val="en-US" w:eastAsia="zh-CN"/>
              </w:rPr>
              <w:t>DEMANDES D</w:t>
            </w:r>
            <w:r w:rsidR="00D3135C">
              <w:rPr>
                <w:rFonts w:asciiTheme="majorBidi" w:hAnsiTheme="majorBidi" w:cstheme="majorBidi"/>
                <w:b/>
                <w:bCs/>
                <w:i/>
                <w:iCs/>
                <w:color w:val="000000"/>
                <w:sz w:val="18"/>
                <w:szCs w:val="18"/>
                <w:lang w:val="en-US" w:eastAsia="zh-CN"/>
              </w:rPr>
              <w:t>'</w:t>
            </w:r>
            <w:r w:rsidRPr="008653E6">
              <w:rPr>
                <w:rFonts w:asciiTheme="majorBidi" w:hAnsiTheme="majorBidi" w:cstheme="majorBidi"/>
                <w:b/>
                <w:bCs/>
                <w:i/>
                <w:iCs/>
                <w:color w:val="000000"/>
                <w:sz w:val="18"/>
                <w:szCs w:val="18"/>
                <w:lang w:val="en-US" w:eastAsia="zh-CN"/>
              </w:rPr>
              <w:t>ASSISTANCE</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21</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15</w:t>
            </w:r>
          </w:p>
        </w:tc>
        <w:tc>
          <w:tcPr>
            <w:tcW w:w="993"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9</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c>
          <w:tcPr>
            <w:tcW w:w="992" w:type="dxa"/>
            <w:tcBorders>
              <w:top w:val="nil"/>
              <w:left w:val="nil"/>
              <w:bottom w:val="single" w:sz="4"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53</w:t>
            </w:r>
          </w:p>
        </w:tc>
        <w:tc>
          <w:tcPr>
            <w:tcW w:w="1287" w:type="dxa"/>
            <w:tcBorders>
              <w:top w:val="nil"/>
              <w:left w:val="nil"/>
              <w:bottom w:val="single" w:sz="4" w:space="0" w:color="auto"/>
              <w:right w:val="single" w:sz="8"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37</w:t>
            </w:r>
          </w:p>
        </w:tc>
      </w:tr>
      <w:tr w:rsidR="00E3472E" w:rsidRPr="008653E6" w:rsidTr="00E3472E">
        <w:trPr>
          <w:trHeight w:val="315"/>
        </w:trPr>
        <w:tc>
          <w:tcPr>
            <w:tcW w:w="3402" w:type="dxa"/>
            <w:tcBorders>
              <w:top w:val="nil"/>
              <w:left w:val="single" w:sz="8" w:space="0" w:color="auto"/>
              <w:bottom w:val="nil"/>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i/>
                <w:iCs/>
                <w:color w:val="000000"/>
                <w:sz w:val="18"/>
                <w:szCs w:val="18"/>
                <w:lang w:val="en-US" w:eastAsia="zh-CN"/>
              </w:rPr>
            </w:pPr>
            <w:r w:rsidRPr="008653E6">
              <w:rPr>
                <w:rFonts w:asciiTheme="majorBidi" w:hAnsiTheme="majorBidi" w:cstheme="majorBidi"/>
                <w:b/>
                <w:bCs/>
                <w:i/>
                <w:iCs/>
                <w:color w:val="000000"/>
                <w:sz w:val="18"/>
                <w:szCs w:val="18"/>
                <w:lang w:val="en-US" w:eastAsia="zh-CN"/>
              </w:rPr>
              <w:t>AUTRES MANIFESTATIONS</w:t>
            </w:r>
          </w:p>
        </w:tc>
        <w:tc>
          <w:tcPr>
            <w:tcW w:w="993" w:type="dxa"/>
            <w:tcBorders>
              <w:top w:val="nil"/>
              <w:left w:val="nil"/>
              <w:bottom w:val="nil"/>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5</w:t>
            </w:r>
          </w:p>
        </w:tc>
        <w:tc>
          <w:tcPr>
            <w:tcW w:w="992" w:type="dxa"/>
            <w:tcBorders>
              <w:top w:val="nil"/>
              <w:left w:val="nil"/>
              <w:bottom w:val="nil"/>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5</w:t>
            </w:r>
          </w:p>
        </w:tc>
        <w:tc>
          <w:tcPr>
            <w:tcW w:w="992" w:type="dxa"/>
            <w:tcBorders>
              <w:top w:val="nil"/>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11</w:t>
            </w:r>
          </w:p>
        </w:tc>
        <w:tc>
          <w:tcPr>
            <w:tcW w:w="992" w:type="dxa"/>
            <w:tcBorders>
              <w:top w:val="nil"/>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8</w:t>
            </w:r>
          </w:p>
        </w:tc>
        <w:tc>
          <w:tcPr>
            <w:tcW w:w="993" w:type="dxa"/>
            <w:tcBorders>
              <w:top w:val="nil"/>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10</w:t>
            </w:r>
          </w:p>
        </w:tc>
        <w:tc>
          <w:tcPr>
            <w:tcW w:w="992" w:type="dxa"/>
            <w:tcBorders>
              <w:top w:val="nil"/>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sidRPr="000B4F10">
              <w:rPr>
                <w:rFonts w:asciiTheme="majorBidi" w:hAnsiTheme="majorBidi" w:cstheme="majorBidi"/>
                <w:color w:val="000000"/>
                <w:sz w:val="18"/>
                <w:szCs w:val="18"/>
              </w:rPr>
              <w:t>8</w:t>
            </w:r>
          </w:p>
        </w:tc>
        <w:tc>
          <w:tcPr>
            <w:tcW w:w="992" w:type="dxa"/>
            <w:tcBorders>
              <w:top w:val="nil"/>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31</w:t>
            </w:r>
          </w:p>
        </w:tc>
        <w:tc>
          <w:tcPr>
            <w:tcW w:w="992" w:type="dxa"/>
            <w:tcBorders>
              <w:top w:val="nil"/>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color w:val="000000"/>
                <w:sz w:val="18"/>
                <w:szCs w:val="18"/>
              </w:rPr>
            </w:pPr>
            <w:r>
              <w:rPr>
                <w:rFonts w:asciiTheme="majorBidi" w:hAnsiTheme="majorBidi" w:cstheme="majorBidi"/>
                <w:color w:val="000000"/>
                <w:sz w:val="18"/>
                <w:szCs w:val="18"/>
              </w:rPr>
              <w:t>14</w:t>
            </w:r>
          </w:p>
        </w:tc>
        <w:tc>
          <w:tcPr>
            <w:tcW w:w="1134" w:type="dxa"/>
            <w:tcBorders>
              <w:top w:val="nil"/>
              <w:left w:val="nil"/>
              <w:bottom w:val="nil"/>
              <w:right w:val="single" w:sz="4"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57</w:t>
            </w:r>
          </w:p>
        </w:tc>
        <w:tc>
          <w:tcPr>
            <w:tcW w:w="1287" w:type="dxa"/>
            <w:tcBorders>
              <w:top w:val="nil"/>
              <w:left w:val="nil"/>
              <w:bottom w:val="nil"/>
              <w:right w:val="single" w:sz="8" w:space="0" w:color="auto"/>
            </w:tcBorders>
            <w:shd w:val="clear" w:color="auto" w:fill="auto"/>
            <w:noWrap/>
            <w:vAlign w:val="center"/>
            <w:hideMark/>
          </w:tcPr>
          <w:p w:rsidR="00E3472E" w:rsidRPr="000B4F10" w:rsidRDefault="00E3472E" w:rsidP="00E3472E">
            <w:pPr>
              <w:jc w:val="center"/>
              <w:rPr>
                <w:rFonts w:asciiTheme="majorBidi" w:hAnsiTheme="majorBidi" w:cstheme="majorBidi"/>
                <w:b/>
                <w:bCs/>
                <w:i/>
                <w:iCs/>
                <w:color w:val="000000"/>
                <w:sz w:val="18"/>
                <w:szCs w:val="18"/>
              </w:rPr>
            </w:pPr>
            <w:r>
              <w:rPr>
                <w:rFonts w:asciiTheme="majorBidi" w:hAnsiTheme="majorBidi" w:cstheme="majorBidi"/>
                <w:b/>
                <w:bCs/>
                <w:i/>
                <w:iCs/>
                <w:color w:val="000000"/>
                <w:sz w:val="18"/>
                <w:szCs w:val="18"/>
              </w:rPr>
              <w:t>35</w:t>
            </w:r>
          </w:p>
        </w:tc>
      </w:tr>
      <w:tr w:rsidR="00E3472E" w:rsidRPr="008653E6" w:rsidTr="00E3472E">
        <w:trPr>
          <w:trHeight w:val="315"/>
        </w:trPr>
        <w:tc>
          <w:tcPr>
            <w:tcW w:w="3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472E" w:rsidRPr="008653E6" w:rsidRDefault="00E3472E" w:rsidP="00E3472E">
            <w:pPr>
              <w:overflowPunct/>
              <w:autoSpaceDE/>
              <w:autoSpaceDN/>
              <w:adjustRightInd/>
              <w:spacing w:before="0"/>
              <w:textAlignment w:val="auto"/>
              <w:rPr>
                <w:rFonts w:asciiTheme="majorBidi" w:hAnsiTheme="majorBidi" w:cstheme="majorBidi"/>
                <w:b/>
                <w:bCs/>
                <w:color w:val="000000"/>
                <w:sz w:val="18"/>
                <w:szCs w:val="18"/>
                <w:lang w:val="en-US" w:eastAsia="zh-CN"/>
              </w:rPr>
            </w:pPr>
            <w:r w:rsidRPr="008653E6">
              <w:rPr>
                <w:rFonts w:asciiTheme="majorBidi" w:hAnsiTheme="majorBidi" w:cstheme="majorBidi"/>
                <w:b/>
                <w:bCs/>
                <w:color w:val="000000"/>
                <w:sz w:val="18"/>
                <w:szCs w:val="18"/>
                <w:lang w:val="en-US" w:eastAsia="zh-CN"/>
              </w:rPr>
              <w:t>TOTAL</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153</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119</w:t>
            </w:r>
          </w:p>
        </w:tc>
        <w:tc>
          <w:tcPr>
            <w:tcW w:w="992" w:type="dxa"/>
            <w:tcBorders>
              <w:top w:val="nil"/>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168</w:t>
            </w:r>
          </w:p>
        </w:tc>
        <w:tc>
          <w:tcPr>
            <w:tcW w:w="992" w:type="dxa"/>
            <w:tcBorders>
              <w:top w:val="nil"/>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123</w:t>
            </w:r>
          </w:p>
        </w:tc>
        <w:tc>
          <w:tcPr>
            <w:tcW w:w="993" w:type="dxa"/>
            <w:tcBorders>
              <w:top w:val="nil"/>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159</w:t>
            </w:r>
          </w:p>
        </w:tc>
        <w:tc>
          <w:tcPr>
            <w:tcW w:w="992" w:type="dxa"/>
            <w:tcBorders>
              <w:top w:val="nil"/>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sidRPr="000B4F10">
              <w:rPr>
                <w:rFonts w:asciiTheme="majorBidi" w:hAnsiTheme="majorBidi" w:cstheme="majorBidi"/>
                <w:b/>
                <w:bCs/>
                <w:color w:val="000000"/>
                <w:sz w:val="18"/>
                <w:szCs w:val="18"/>
              </w:rPr>
              <w:t>118</w:t>
            </w:r>
          </w:p>
        </w:tc>
        <w:tc>
          <w:tcPr>
            <w:tcW w:w="992" w:type="dxa"/>
            <w:tcBorders>
              <w:top w:val="nil"/>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233</w:t>
            </w:r>
          </w:p>
        </w:tc>
        <w:tc>
          <w:tcPr>
            <w:tcW w:w="992" w:type="dxa"/>
            <w:tcBorders>
              <w:top w:val="nil"/>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128</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713</w:t>
            </w:r>
          </w:p>
        </w:tc>
        <w:tc>
          <w:tcPr>
            <w:tcW w:w="1287" w:type="dxa"/>
            <w:tcBorders>
              <w:top w:val="single" w:sz="8" w:space="0" w:color="auto"/>
              <w:left w:val="nil"/>
              <w:bottom w:val="single" w:sz="8" w:space="0" w:color="auto"/>
              <w:right w:val="single" w:sz="8" w:space="0" w:color="auto"/>
            </w:tcBorders>
            <w:shd w:val="clear" w:color="auto" w:fill="auto"/>
            <w:noWrap/>
            <w:vAlign w:val="bottom"/>
            <w:hideMark/>
          </w:tcPr>
          <w:p w:rsidR="00E3472E" w:rsidRPr="000B4F10" w:rsidRDefault="00E3472E" w:rsidP="00E3472E">
            <w:pPr>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176</w:t>
            </w:r>
          </w:p>
        </w:tc>
      </w:tr>
    </w:tbl>
    <w:p w:rsidR="00E3472E" w:rsidRDefault="00E3472E" w:rsidP="00C244D7">
      <w:pPr>
        <w:keepNext/>
        <w:keepLines/>
        <w:rPr>
          <w:lang w:eastAsia="zh-CN"/>
        </w:rPr>
        <w:sectPr w:rsidR="00E3472E" w:rsidSect="00E3472E">
          <w:pgSz w:w="16834" w:h="11907" w:orient="landscape"/>
          <w:pgMar w:top="1134" w:right="1418" w:bottom="1134" w:left="1418" w:header="720" w:footer="720" w:gutter="0"/>
          <w:paperSrc w:first="15" w:other="15"/>
          <w:cols w:space="720"/>
          <w:titlePg/>
          <w:docGrid w:linePitch="326"/>
        </w:sectPr>
      </w:pPr>
    </w:p>
    <w:p w:rsidR="00C244D7" w:rsidRPr="008653E6" w:rsidRDefault="00C244D7" w:rsidP="00E3472E">
      <w:pPr>
        <w:pStyle w:val="Heading2"/>
        <w:rPr>
          <w:lang w:val="fr-CH"/>
        </w:rPr>
      </w:pPr>
      <w:bookmarkStart w:id="115" w:name="_Toc426463268"/>
      <w:r w:rsidRPr="008653E6">
        <w:rPr>
          <w:lang w:val="fr-CH"/>
        </w:rPr>
        <w:t>8</w:t>
      </w:r>
      <w:r w:rsidR="00E3472E">
        <w:rPr>
          <w:lang w:val="fr-CH"/>
        </w:rPr>
        <w:t>.3</w:t>
      </w:r>
      <w:r w:rsidRPr="008653E6">
        <w:rPr>
          <w:lang w:val="fr-CH"/>
        </w:rPr>
        <w:tab/>
        <w:t>Assistance fournie aux Etats Membres</w:t>
      </w:r>
      <w:bookmarkEnd w:id="115"/>
    </w:p>
    <w:p w:rsidR="00C244D7" w:rsidRPr="008653E6" w:rsidRDefault="00C244D7" w:rsidP="00E3472E">
      <w:pPr>
        <w:pStyle w:val="Heading3"/>
        <w:rPr>
          <w:lang w:val="fr-CH"/>
        </w:rPr>
      </w:pPr>
      <w:bookmarkStart w:id="116" w:name="_Toc426463269"/>
      <w:r w:rsidRPr="008653E6">
        <w:rPr>
          <w:lang w:val="fr-CH"/>
        </w:rPr>
        <w:t>8.</w:t>
      </w:r>
      <w:r w:rsidR="00E3472E">
        <w:rPr>
          <w:lang w:val="fr-CH"/>
        </w:rPr>
        <w:t>3.</w:t>
      </w:r>
      <w:r w:rsidRPr="008653E6">
        <w:rPr>
          <w:lang w:val="fr-CH"/>
        </w:rPr>
        <w:t>1</w:t>
      </w:r>
      <w:r w:rsidRPr="008653E6">
        <w:rPr>
          <w:lang w:val="fr-CH"/>
        </w:rPr>
        <w:tab/>
        <w:t>Assistance fournie aux administrations des pays en développement</w:t>
      </w:r>
      <w:bookmarkEnd w:id="116"/>
    </w:p>
    <w:p w:rsidR="00C244D7" w:rsidRPr="008653E6" w:rsidRDefault="00C244D7" w:rsidP="00C244D7">
      <w:pPr>
        <w:rPr>
          <w:lang w:val="fr-CH"/>
        </w:rPr>
      </w:pPr>
      <w:r w:rsidRPr="008653E6">
        <w:rPr>
          <w:lang w:val="fr-CH"/>
        </w:rPr>
        <w:t>Entre la CMR-12 et la CMR-15, le Bureau a fourni une assistance aux administrations des pays en développement à plus de 40 occasions, dans les domaines suivants:</w:t>
      </w:r>
    </w:p>
    <w:p w:rsidR="00C244D7" w:rsidRPr="008653E6" w:rsidRDefault="00C244D7" w:rsidP="00BC0CAD">
      <w:pPr>
        <w:pStyle w:val="enumlev1"/>
        <w:rPr>
          <w:lang w:val="fr-CH"/>
        </w:rPr>
      </w:pPr>
      <w:r w:rsidRPr="008653E6">
        <w:rPr>
          <w:lang w:val="fr-CH"/>
        </w:rPr>
        <w:t>–</w:t>
      </w:r>
      <w:r w:rsidRPr="008653E6">
        <w:rPr>
          <w:lang w:val="fr-CH"/>
        </w:rPr>
        <w:tab/>
      </w:r>
      <w:r w:rsidR="00BC0CAD" w:rsidRPr="008653E6">
        <w:rPr>
          <w:lang w:val="fr-CH"/>
        </w:rPr>
        <w:t>S</w:t>
      </w:r>
      <w:r w:rsidRPr="008653E6">
        <w:rPr>
          <w:lang w:val="fr-CH"/>
        </w:rPr>
        <w:t>outien des activités de gestion du spectre au niveau national, compte tenu de l</w:t>
      </w:r>
      <w:r w:rsidR="00D3135C">
        <w:rPr>
          <w:lang w:val="fr-CH"/>
        </w:rPr>
        <w:t>'</w:t>
      </w:r>
      <w:r w:rsidRPr="008653E6">
        <w:rPr>
          <w:lang w:val="fr-CH"/>
        </w:rPr>
        <w:t xml:space="preserve">évolution rapide </w:t>
      </w:r>
      <w:r w:rsidRPr="008653E6">
        <w:rPr>
          <w:color w:val="000000"/>
        </w:rPr>
        <w:t>de l</w:t>
      </w:r>
      <w:r w:rsidR="00D3135C">
        <w:rPr>
          <w:color w:val="000000"/>
        </w:rPr>
        <w:t>'</w:t>
      </w:r>
      <w:r w:rsidRPr="008653E6">
        <w:rPr>
          <w:color w:val="000000"/>
        </w:rPr>
        <w:t>environnement réglementaire</w:t>
      </w:r>
      <w:r w:rsidRPr="008653E6">
        <w:rPr>
          <w:lang w:val="fr-CH"/>
        </w:rPr>
        <w:t xml:space="preserve"> (voir la Résolution 7 (Rév.CMR-03)) et fourniture d</w:t>
      </w:r>
      <w:r w:rsidR="00D3135C">
        <w:rPr>
          <w:lang w:val="fr-CH"/>
        </w:rPr>
        <w:t>'</w:t>
      </w:r>
      <w:r w:rsidRPr="008653E6">
        <w:rPr>
          <w:lang w:val="fr-CH"/>
        </w:rPr>
        <w:t>une assistance technique dans le domaine des radiocommunications spatiales (Résolution</w:t>
      </w:r>
      <w:r w:rsidR="00BC0CAD">
        <w:rPr>
          <w:lang w:val="fr-CH"/>
        </w:rPr>
        <w:t> </w:t>
      </w:r>
      <w:r w:rsidRPr="008653E6">
        <w:rPr>
          <w:lang w:val="fr-CH"/>
        </w:rPr>
        <w:t>15 (Rév.CMR-03)); à cette fin, des missions ont été effectuées, à la demande des administrations, ou dans le cadre de missions spéciales organisées conjointement avec le BDT, et des experts du BR ont participé à des séminaires régionaux organisés par le BDT ou des organisations régionales pour fournir des moyens de renforcement des capacités. En outre, des bourses ont été octroyées à des experts d</w:t>
      </w:r>
      <w:r w:rsidR="00D3135C">
        <w:rPr>
          <w:lang w:val="fr-CH"/>
        </w:rPr>
        <w:t>'</w:t>
      </w:r>
      <w:r w:rsidRPr="008653E6">
        <w:rPr>
          <w:lang w:val="fr-CH"/>
        </w:rPr>
        <w:t>administrations des pays les moins avancés, pour leur permettre d</w:t>
      </w:r>
      <w:r w:rsidR="00D3135C">
        <w:rPr>
          <w:lang w:val="fr-CH"/>
        </w:rPr>
        <w:t>'</w:t>
      </w:r>
      <w:r w:rsidRPr="008653E6">
        <w:rPr>
          <w:lang w:val="fr-CH"/>
        </w:rPr>
        <w:t>assister aux séminaires et ateliers du BR consacrés aux radiocommunications. Plusieurs experts d</w:t>
      </w:r>
      <w:r w:rsidR="00D3135C">
        <w:rPr>
          <w:lang w:val="fr-CH"/>
        </w:rPr>
        <w:t>'</w:t>
      </w:r>
      <w:r w:rsidRPr="008653E6">
        <w:rPr>
          <w:lang w:val="fr-CH"/>
        </w:rPr>
        <w:t>administrations ont par ailleurs bénéficié, à titre individuel ou collectif, d</w:t>
      </w:r>
      <w:r w:rsidR="00D3135C">
        <w:rPr>
          <w:lang w:val="fr-CH"/>
        </w:rPr>
        <w:t>'</w:t>
      </w:r>
      <w:r w:rsidRPr="008653E6">
        <w:rPr>
          <w:lang w:val="fr-CH"/>
        </w:rPr>
        <w:t>une formation professionnelle en cours d</w:t>
      </w:r>
      <w:r w:rsidR="00D3135C">
        <w:rPr>
          <w:lang w:val="fr-CH"/>
        </w:rPr>
        <w:t>'</w:t>
      </w:r>
      <w:r w:rsidRPr="008653E6">
        <w:rPr>
          <w:lang w:val="fr-CH"/>
        </w:rPr>
        <w:t>emploi sur les procédures réglementaires en matière de radiocommunications au siège de l</w:t>
      </w:r>
      <w:r w:rsidR="00D3135C">
        <w:rPr>
          <w:lang w:val="fr-CH"/>
        </w:rPr>
        <w:t>'</w:t>
      </w:r>
      <w:r w:rsidR="00BC0CAD">
        <w:rPr>
          <w:lang w:val="fr-CH"/>
        </w:rPr>
        <w:t>UIT.</w:t>
      </w:r>
    </w:p>
    <w:p w:rsidR="00C244D7" w:rsidRPr="008653E6" w:rsidRDefault="00C244D7" w:rsidP="00BC0CAD">
      <w:pPr>
        <w:pStyle w:val="enumlev1"/>
        <w:rPr>
          <w:lang w:val="fr-CH"/>
        </w:rPr>
      </w:pPr>
      <w:r w:rsidRPr="008653E6">
        <w:rPr>
          <w:lang w:val="fr-CH"/>
        </w:rPr>
        <w:t>–</w:t>
      </w:r>
      <w:r w:rsidRPr="008653E6">
        <w:rPr>
          <w:lang w:val="fr-CH"/>
        </w:rPr>
        <w:tab/>
      </w:r>
      <w:r w:rsidR="00BC0CAD" w:rsidRPr="008653E6">
        <w:rPr>
          <w:lang w:val="fr-CH"/>
        </w:rPr>
        <w:t>P</w:t>
      </w:r>
      <w:r w:rsidRPr="008653E6">
        <w:rPr>
          <w:lang w:val="fr-CH"/>
        </w:rPr>
        <w:t>articipation aux réunions des groupes de coordination régionaux, conformément à l</w:t>
      </w:r>
      <w:r w:rsidR="00D3135C">
        <w:rPr>
          <w:lang w:val="fr-CH"/>
        </w:rPr>
        <w:t>'</w:t>
      </w:r>
      <w:r w:rsidRPr="008653E6">
        <w:rPr>
          <w:lang w:val="fr-CH"/>
        </w:rPr>
        <w:t>Article</w:t>
      </w:r>
      <w:r w:rsidR="00E3472E">
        <w:rPr>
          <w:lang w:val="fr-CH"/>
        </w:rPr>
        <w:t> </w:t>
      </w:r>
      <w:r w:rsidRPr="008653E6">
        <w:rPr>
          <w:lang w:val="fr-CH"/>
        </w:rPr>
        <w:t>12 du Règlement des radiocommunications</w:t>
      </w:r>
      <w:r w:rsidR="00BC0CAD">
        <w:rPr>
          <w:lang w:val="fr-CH"/>
        </w:rPr>
        <w:t>.</w:t>
      </w:r>
    </w:p>
    <w:p w:rsidR="00C244D7" w:rsidRPr="008653E6" w:rsidRDefault="00C244D7" w:rsidP="00BC0CAD">
      <w:pPr>
        <w:pStyle w:val="enumlev1"/>
        <w:rPr>
          <w:lang w:val="fr-CH"/>
        </w:rPr>
      </w:pPr>
      <w:r w:rsidRPr="008653E6">
        <w:rPr>
          <w:lang w:val="fr-CH"/>
        </w:rPr>
        <w:t>–</w:t>
      </w:r>
      <w:r w:rsidRPr="008653E6">
        <w:rPr>
          <w:lang w:val="fr-CH"/>
        </w:rPr>
        <w:tab/>
      </w:r>
      <w:r w:rsidR="00BC0CAD" w:rsidRPr="008653E6">
        <w:rPr>
          <w:lang w:val="fr-CH"/>
        </w:rPr>
        <w:t>F</w:t>
      </w:r>
      <w:r w:rsidRPr="008653E6">
        <w:rPr>
          <w:lang w:val="fr-CH"/>
        </w:rPr>
        <w:t>ourniture d</w:t>
      </w:r>
      <w:r w:rsidR="00D3135C">
        <w:rPr>
          <w:lang w:val="fr-CH"/>
        </w:rPr>
        <w:t>'</w:t>
      </w:r>
      <w:r w:rsidRPr="008653E6">
        <w:rPr>
          <w:lang w:val="fr-CH"/>
        </w:rPr>
        <w:t>une assistance concernant la gestion des fréquences à long terme et les attributions au large bande mobile (IMT)</w:t>
      </w:r>
      <w:r w:rsidR="00BC0CAD">
        <w:rPr>
          <w:lang w:val="fr-CH"/>
        </w:rPr>
        <w:t>.</w:t>
      </w:r>
    </w:p>
    <w:p w:rsidR="00C244D7" w:rsidRPr="008653E6" w:rsidRDefault="00C244D7" w:rsidP="00C244D7">
      <w:pPr>
        <w:pStyle w:val="enumlev1"/>
        <w:rPr>
          <w:lang w:val="fr-CH"/>
        </w:rPr>
      </w:pPr>
      <w:r w:rsidRPr="008653E6">
        <w:rPr>
          <w:lang w:val="fr-CH"/>
        </w:rPr>
        <w:t>–</w:t>
      </w:r>
      <w:r w:rsidRPr="008653E6">
        <w:rPr>
          <w:lang w:val="fr-CH"/>
        </w:rPr>
        <w:tab/>
      </w:r>
      <w:r w:rsidR="00BC0CAD" w:rsidRPr="008653E6">
        <w:rPr>
          <w:lang w:val="fr-CH"/>
        </w:rPr>
        <w:t>F</w:t>
      </w:r>
      <w:r w:rsidRPr="008653E6">
        <w:rPr>
          <w:lang w:val="fr-CH"/>
        </w:rPr>
        <w:t>ourniture d</w:t>
      </w:r>
      <w:r w:rsidR="00D3135C">
        <w:rPr>
          <w:lang w:val="fr-CH"/>
        </w:rPr>
        <w:t>'</w:t>
      </w:r>
      <w:r w:rsidRPr="008653E6">
        <w:rPr>
          <w:lang w:val="fr-CH"/>
        </w:rPr>
        <w:t>avis et d</w:t>
      </w:r>
      <w:r w:rsidR="00D3135C">
        <w:rPr>
          <w:lang w:val="fr-CH"/>
        </w:rPr>
        <w:t>'</w:t>
      </w:r>
      <w:r w:rsidRPr="008653E6">
        <w:rPr>
          <w:lang w:val="fr-CH"/>
        </w:rPr>
        <w:t>une assistance technique pour le passage à la radiodiffusion télévisuelle numérique et la répartition du dividende numérique.</w:t>
      </w:r>
    </w:p>
    <w:p w:rsidR="00C244D7" w:rsidRPr="008653E6" w:rsidRDefault="00C244D7" w:rsidP="00C244D7">
      <w:r w:rsidRPr="008653E6">
        <w:t>Ces activités s</w:t>
      </w:r>
      <w:r w:rsidR="00E3472E">
        <w:t>ont présentées dans le Tableau 8.2.4</w:t>
      </w:r>
      <w:r w:rsidRPr="008653E6">
        <w:t>-1.</w:t>
      </w:r>
    </w:p>
    <w:p w:rsidR="00C244D7" w:rsidRPr="008653E6" w:rsidRDefault="00C244D7" w:rsidP="00E3472E">
      <w:pPr>
        <w:pStyle w:val="Heading3"/>
      </w:pPr>
      <w:bookmarkStart w:id="117" w:name="_Toc424047612"/>
      <w:bookmarkStart w:id="118" w:name="_Toc426463270"/>
      <w:r w:rsidRPr="008653E6">
        <w:rPr>
          <w:bCs/>
        </w:rPr>
        <w:t>8.</w:t>
      </w:r>
      <w:r w:rsidR="00E3472E">
        <w:rPr>
          <w:bCs/>
        </w:rPr>
        <w:t>3.</w:t>
      </w:r>
      <w:r w:rsidRPr="008653E6">
        <w:rPr>
          <w:bCs/>
        </w:rPr>
        <w:t>2</w:t>
      </w:r>
      <w:r w:rsidRPr="008653E6">
        <w:tab/>
        <w:t>Assistance aux groupes régionaux</w:t>
      </w:r>
      <w:bookmarkEnd w:id="117"/>
      <w:bookmarkEnd w:id="118"/>
    </w:p>
    <w:p w:rsidR="00C244D7" w:rsidRPr="008653E6" w:rsidRDefault="00C244D7" w:rsidP="00BC0CAD">
      <w:r w:rsidRPr="008653E6">
        <w:rPr>
          <w:lang w:val="fr-CH"/>
        </w:rPr>
        <w:t xml:space="preserve">Entre la CMR-12 et la CMR-15, </w:t>
      </w:r>
      <w:r w:rsidRPr="008653E6">
        <w:t>suite à des demandes d</w:t>
      </w:r>
      <w:r w:rsidR="00D3135C">
        <w:t>'</w:t>
      </w:r>
      <w:r w:rsidRPr="008653E6">
        <w:t>assistance des Groupes régionaux UAT et ASMG concernant l</w:t>
      </w:r>
      <w:r w:rsidR="00D3135C">
        <w:t>'</w:t>
      </w:r>
      <w:r w:rsidRPr="008653E6">
        <w:t>application des décisions de la CMR</w:t>
      </w:r>
      <w:r w:rsidRPr="008653E6">
        <w:noBreakHyphen/>
        <w:t>07 et de la CMR-12 relatives à l</w:t>
      </w:r>
      <w:r w:rsidR="00D3135C">
        <w:t>'</w:t>
      </w:r>
      <w:r w:rsidRPr="008653E6">
        <w:t xml:space="preserve">attribution des bandes des 700 et des 800 MHz, le Bureau a fourni </w:t>
      </w:r>
      <w:r w:rsidRPr="008653E6">
        <w:rPr>
          <w:color w:val="000000"/>
        </w:rPr>
        <w:t xml:space="preserve">des avis techniques spécialisés ainsi que le logiciel correspondant, pour permettre aux administrations membres de </w:t>
      </w:r>
      <w:r w:rsidRPr="008653E6">
        <w:t>l</w:t>
      </w:r>
      <w:r w:rsidR="00D3135C">
        <w:t>'</w:t>
      </w:r>
      <w:r w:rsidRPr="008653E6">
        <w:t>UAT et de l</w:t>
      </w:r>
      <w:r w:rsidR="00D3135C">
        <w:t>'</w:t>
      </w:r>
      <w:r w:rsidRPr="008653E6">
        <w:t>ASMG de planifier des canaux additionnels dans la bande de fréquences 470</w:t>
      </w:r>
      <w:r w:rsidRPr="008653E6">
        <w:noBreakHyphen/>
        <w:t>694 MHz, en vue du passage à la radiodiffusion télévisuelle numérique et de l</w:t>
      </w:r>
      <w:r w:rsidR="00D3135C">
        <w:t>'</w:t>
      </w:r>
      <w:r w:rsidRPr="008653E6">
        <w:t>attribution de ces bandes au service mobile.</w:t>
      </w:r>
    </w:p>
    <w:p w:rsidR="00C244D7" w:rsidRPr="008653E6" w:rsidRDefault="00C244D7" w:rsidP="00C244D7">
      <w:pPr>
        <w:rPr>
          <w:rFonts w:eastAsiaTheme="minorEastAsia"/>
        </w:rPr>
      </w:pPr>
      <w:r w:rsidRPr="008653E6">
        <w:t>En outre, le Bureau a prêté son assistance pour la coordination des fréquences entre les administrations de petits groupes de pays.</w:t>
      </w:r>
    </w:p>
    <w:p w:rsidR="00C244D7" w:rsidRPr="008653E6" w:rsidRDefault="00C244D7" w:rsidP="00E3472E">
      <w:pPr>
        <w:pStyle w:val="Heading4"/>
      </w:pPr>
      <w:bookmarkStart w:id="119" w:name="_Toc424047613"/>
      <w:bookmarkStart w:id="120" w:name="_Toc426463271"/>
      <w:r w:rsidRPr="008653E6">
        <w:t>8.</w:t>
      </w:r>
      <w:r w:rsidR="00E3472E">
        <w:t>3.</w:t>
      </w:r>
      <w:r w:rsidRPr="008653E6">
        <w:t>2.1</w:t>
      </w:r>
      <w:r w:rsidRPr="008653E6">
        <w:tab/>
        <w:t>Assistance à l</w:t>
      </w:r>
      <w:r w:rsidR="00D3135C">
        <w:t>'</w:t>
      </w:r>
      <w:r w:rsidRPr="008653E6">
        <w:t>UAT</w:t>
      </w:r>
      <w:bookmarkEnd w:id="119"/>
      <w:bookmarkEnd w:id="120"/>
    </w:p>
    <w:p w:rsidR="00C244D7" w:rsidRPr="008653E6" w:rsidRDefault="00C244D7" w:rsidP="00BC0CAD">
      <w:r w:rsidRPr="008653E6">
        <w:t>Le processus de coordination a été engagé à la suite de deux Sommets des ministres africains organisés par l</w:t>
      </w:r>
      <w:r w:rsidR="00D3135C">
        <w:t>'</w:t>
      </w:r>
      <w:r w:rsidRPr="008653E6">
        <w:t>UAT à Nairobi (décembre 2011) et à Accra (septembre 2012), en présence de 47 pays d</w:t>
      </w:r>
      <w:r w:rsidR="00D3135C">
        <w:t>'</w:t>
      </w:r>
      <w:r w:rsidRPr="008653E6">
        <w:t>Afrique subsaharienne. Ce processus, qui s</w:t>
      </w:r>
      <w:r w:rsidR="00D3135C">
        <w:t>'</w:t>
      </w:r>
      <w:r w:rsidRPr="008653E6">
        <w:t>est échelonné sur une période de 18 mois, a donné lieu à des débats prolongés et a comporté une analyse de compatibilité technique des fréquences, sur la base des recommandations de l</w:t>
      </w:r>
      <w:r w:rsidR="00D3135C">
        <w:t>'</w:t>
      </w:r>
      <w:r w:rsidRPr="008653E6">
        <w:t>UAT adoptées à Bamako en mars 2012. A cette occasion, 33 itérations de compatibilité ont été effectuées, à partir des besoins soumis par les administrations.</w:t>
      </w:r>
    </w:p>
    <w:p w:rsidR="00C244D7" w:rsidRPr="008653E6" w:rsidRDefault="00C244D7" w:rsidP="00C244D7">
      <w:r w:rsidRPr="008653E6">
        <w:t>Pour permettre aux administrations participantes de procéder à une coordination aux niveaux bilatéral et multilatéral, l</w:t>
      </w:r>
      <w:r w:rsidR="00D3135C">
        <w:t>'</w:t>
      </w:r>
      <w:r w:rsidRPr="008653E6">
        <w:t>UAT, avec le concours de l</w:t>
      </w:r>
      <w:r w:rsidR="00D3135C">
        <w:t>'</w:t>
      </w:r>
      <w:r w:rsidRPr="008653E6">
        <w:t>UIT, a organisé trois réunions de planification et de coordination, qui se sont tenues respectivement à Bamako, Kampala et Nairobi.</w:t>
      </w:r>
    </w:p>
    <w:p w:rsidR="00C244D7" w:rsidRPr="008653E6" w:rsidRDefault="00C244D7" w:rsidP="00C244D7">
      <w:r w:rsidRPr="008653E6">
        <w:t>En moyenne, 97,37% des besoins ont été satisfaits. A la date d</w:t>
      </w:r>
      <w:r w:rsidR="00D3135C">
        <w:t>'</w:t>
      </w:r>
      <w:r w:rsidRPr="008653E6">
        <w:t>élaboration du présent rapport, 89% des administrations membres de l</w:t>
      </w:r>
      <w:r w:rsidR="00D3135C">
        <w:t>'</w:t>
      </w:r>
      <w:r w:rsidRPr="008653E6">
        <w:t>UAT avaient modifié avec succès le Plan GE06 conformément aux accords conclus.</w:t>
      </w:r>
    </w:p>
    <w:p w:rsidR="00C244D7" w:rsidRPr="008653E6" w:rsidRDefault="00C244D7" w:rsidP="00E3472E">
      <w:pPr>
        <w:pStyle w:val="Heading4"/>
      </w:pPr>
      <w:bookmarkStart w:id="121" w:name="_Toc424047614"/>
      <w:bookmarkStart w:id="122" w:name="_Toc426463272"/>
      <w:r w:rsidRPr="008653E6">
        <w:t>8.</w:t>
      </w:r>
      <w:r w:rsidR="00E3472E">
        <w:t>3.</w:t>
      </w:r>
      <w:r w:rsidRPr="008653E6">
        <w:t>2.2</w:t>
      </w:r>
      <w:r w:rsidRPr="008653E6">
        <w:tab/>
        <w:t>Assistance à l</w:t>
      </w:r>
      <w:r w:rsidR="00D3135C">
        <w:t>'</w:t>
      </w:r>
      <w:r w:rsidRPr="008653E6">
        <w:t>ASMG</w:t>
      </w:r>
      <w:bookmarkEnd w:id="121"/>
      <w:bookmarkEnd w:id="122"/>
    </w:p>
    <w:p w:rsidR="00C244D7" w:rsidRPr="008653E6" w:rsidRDefault="00C244D7" w:rsidP="00BC0CAD">
      <w:r w:rsidRPr="008653E6">
        <w:t>Le processus de coordination entre les pays membres de l</w:t>
      </w:r>
      <w:r w:rsidR="00D3135C">
        <w:t>'</w:t>
      </w:r>
      <w:r w:rsidRPr="008653E6">
        <w:t>ASMG a été engagé en application d</w:t>
      </w:r>
      <w:r w:rsidR="00D3135C">
        <w:t>'</w:t>
      </w:r>
      <w:r w:rsidRPr="008653E6">
        <w:t>une recommandation adoptée suite à la 35ème réunion de la Commission permanente de la Ligue arabe pour les télécommunications et l</w:t>
      </w:r>
      <w:r w:rsidR="00D3135C">
        <w:t>'</w:t>
      </w:r>
      <w:r w:rsidRPr="008653E6">
        <w:t>information (Le Caire, 4 et 5 mars 2014), en présence de 17 Administrations d</w:t>
      </w:r>
      <w:r w:rsidR="00D3135C">
        <w:t>'</w:t>
      </w:r>
      <w:r w:rsidRPr="008653E6">
        <w:t>Etats arabes (exception faite des pays arabes faisant également partie de l</w:t>
      </w:r>
      <w:r w:rsidR="00D3135C">
        <w:t>'</w:t>
      </w:r>
      <w:r w:rsidRPr="008653E6">
        <w:t>UAT).</w:t>
      </w:r>
    </w:p>
    <w:p w:rsidR="00C244D7" w:rsidRPr="008653E6" w:rsidRDefault="00C244D7" w:rsidP="00C244D7">
      <w:r w:rsidRPr="008653E6">
        <w:t>Le processus s</w:t>
      </w:r>
      <w:r w:rsidR="00D3135C">
        <w:t>'</w:t>
      </w:r>
      <w:r w:rsidRPr="008653E6">
        <w:t>est échelonné sur une période de 11 mois, au cours desquels les critères de coordination et les besoins de fréquences ont été définis dans la bande 470-694 MHz, compte tenu des recommandations formulées par l</w:t>
      </w:r>
      <w:r w:rsidR="00D3135C">
        <w:t>'</w:t>
      </w:r>
      <w:r w:rsidRPr="008653E6">
        <w:t>ASMG (Dubaï, 2014). Vingt</w:t>
      </w:r>
      <w:r w:rsidRPr="008653E6">
        <w:noBreakHyphen/>
        <w:t>sept itérations en tout ont été effectuées aux fins de l</w:t>
      </w:r>
      <w:r w:rsidR="00D3135C">
        <w:t>'</w:t>
      </w:r>
      <w:r w:rsidRPr="008653E6">
        <w:t xml:space="preserve">analyse de compatibilité, à partir des besoins soumis par les administrations. Afin de faciliter la coordination bilatérale et multilatérale, trois réunions ont été organisées successivement à Dubaï, Hammamet et Marrakech. </w:t>
      </w:r>
    </w:p>
    <w:p w:rsidR="00C244D7" w:rsidRPr="008653E6" w:rsidRDefault="00C244D7" w:rsidP="00C244D7">
      <w:r w:rsidRPr="008653E6">
        <w:t>En moyenne, 76,87% des besoins ont été satisfaits. A la date d</w:t>
      </w:r>
      <w:r w:rsidR="00D3135C">
        <w:t>'</w:t>
      </w:r>
      <w:r w:rsidRPr="008653E6">
        <w:t>élaboration du présent rapport, les administrations membres de l</w:t>
      </w:r>
      <w:r w:rsidR="00D3135C">
        <w:t>'</w:t>
      </w:r>
      <w:r w:rsidRPr="008653E6">
        <w:t>ASMG procédaient à la modification du Plan GE06 conformément aux accords conclus concernant les canaux. La coordination se poursuit actuellement avec plusieurs administrations hors du cadre de l</w:t>
      </w:r>
      <w:r w:rsidR="00D3135C">
        <w:t>'</w:t>
      </w:r>
      <w:r w:rsidRPr="008653E6">
        <w:t>ASMG. Il est nécessaire de faire en sorte que les modifications correspondantes puissent être apportées au Plan GE06.</w:t>
      </w:r>
    </w:p>
    <w:p w:rsidR="00C244D7" w:rsidRPr="008653E6" w:rsidRDefault="00C244D7" w:rsidP="00E3472E">
      <w:pPr>
        <w:pStyle w:val="Heading4"/>
      </w:pPr>
      <w:bookmarkStart w:id="123" w:name="_Toc424047615"/>
      <w:bookmarkStart w:id="124" w:name="_Toc426463273"/>
      <w:r w:rsidRPr="008653E6">
        <w:t>8.</w:t>
      </w:r>
      <w:r w:rsidR="00E3472E">
        <w:t>3.</w:t>
      </w:r>
      <w:r w:rsidRPr="008653E6">
        <w:t>2.3</w:t>
      </w:r>
      <w:r w:rsidRPr="008653E6">
        <w:tab/>
        <w:t>Assistance à la CITEL</w:t>
      </w:r>
      <w:bookmarkEnd w:id="123"/>
      <w:bookmarkEnd w:id="124"/>
    </w:p>
    <w:p w:rsidR="00C244D7" w:rsidRPr="008653E6" w:rsidRDefault="00D5686A" w:rsidP="007B459E">
      <w:r w:rsidRPr="008653E6">
        <w:t>A la suite de l</w:t>
      </w:r>
      <w:r>
        <w:t>'</w:t>
      </w:r>
      <w:r w:rsidRPr="008653E6">
        <w:t>élaboration par le BR d</w:t>
      </w:r>
      <w:r>
        <w:t>'</w:t>
      </w:r>
      <w:r w:rsidRPr="008653E6">
        <w:t>outils en ligne pour les examens techniques relevant du Plan RJ81, le BR a dispensé une formation à distance concernant l</w:t>
      </w:r>
      <w:r>
        <w:t>'</w:t>
      </w:r>
      <w:r w:rsidRPr="008653E6">
        <w:t>utilisation de ce logiciel à la demande de la CITEL.</w:t>
      </w:r>
      <w:r>
        <w:t xml:space="preserve"> En outre, le BR a organisé quatre sessions de formation en ligne sur la «notification des assignations de fréquence (services de Terre)» au profit des participants de la CITEL, sessions ayant été suivies par 139 participants de 25 pays. On trouvera de plus amples informations sur cette formation en ligne à l'adresse: </w:t>
      </w:r>
      <w:hyperlink r:id="rId41" w:history="1">
        <w:r w:rsidRPr="00BB4D75">
          <w:rPr>
            <w:rStyle w:val="Hyperlink"/>
          </w:rPr>
          <w:t>http://www</w:t>
        </w:r>
        <w:r w:rsidRPr="00BB4D75">
          <w:rPr>
            <w:rStyle w:val="Hyperlink"/>
          </w:rPr>
          <w:t>.</w:t>
        </w:r>
        <w:r w:rsidRPr="00BB4D75">
          <w:rPr>
            <w:rStyle w:val="Hyperlink"/>
          </w:rPr>
          <w:t>itu.int/en/ITU-R/terrestrial/workshops/trainingCITEL/Pages/default.aspx</w:t>
        </w:r>
      </w:hyperlink>
      <w:r w:rsidR="007B459E" w:rsidRPr="008653E6">
        <w:t>.</w:t>
      </w:r>
    </w:p>
    <w:p w:rsidR="00C244D7" w:rsidRPr="008653E6" w:rsidRDefault="00C244D7" w:rsidP="00E3472E">
      <w:pPr>
        <w:pStyle w:val="Heading3"/>
      </w:pPr>
      <w:bookmarkStart w:id="125" w:name="_Toc424047616"/>
      <w:bookmarkStart w:id="126" w:name="_Toc426463274"/>
      <w:r w:rsidRPr="008653E6">
        <w:t>8.</w:t>
      </w:r>
      <w:r w:rsidR="00E3472E">
        <w:t>3.</w:t>
      </w:r>
      <w:r w:rsidRPr="008653E6">
        <w:t>3</w:t>
      </w:r>
      <w:r w:rsidRPr="008653E6">
        <w:tab/>
        <w:t>Assistance à d</w:t>
      </w:r>
      <w:r w:rsidR="00D3135C">
        <w:t>'</w:t>
      </w:r>
      <w:r w:rsidRPr="008653E6">
        <w:t>autres groupes de pays</w:t>
      </w:r>
      <w:bookmarkEnd w:id="125"/>
      <w:bookmarkEnd w:id="126"/>
      <w:r w:rsidRPr="008653E6">
        <w:t xml:space="preserve"> </w:t>
      </w:r>
    </w:p>
    <w:p w:rsidR="00C244D7" w:rsidRPr="008653E6" w:rsidRDefault="00C244D7" w:rsidP="00C244D7">
      <w:r w:rsidRPr="008653E6">
        <w:t>Le Bureau a organisé au siège de l</w:t>
      </w:r>
      <w:r w:rsidR="00D3135C">
        <w:t>'</w:t>
      </w:r>
      <w:r w:rsidRPr="008653E6">
        <w:t>UIT à Genève, en mars 2013 et novembre 2014, deux réunions de coordination des fréquences au niveau sous</w:t>
      </w:r>
      <w:r w:rsidRPr="008653E6">
        <w:noBreakHyphen/>
        <w:t>régional, en présence des Administrations de l</w:t>
      </w:r>
      <w:r w:rsidR="00D3135C">
        <w:t>'</w:t>
      </w:r>
      <w:r w:rsidRPr="008653E6">
        <w:t>Arabie saoudite, de Bahreïn, des Emirats arabes unis, de l</w:t>
      </w:r>
      <w:r w:rsidR="00D3135C">
        <w:t>'</w:t>
      </w:r>
      <w:r w:rsidRPr="008653E6">
        <w:t>Iran, du Koweït, d</w:t>
      </w:r>
      <w:r w:rsidR="00D3135C">
        <w:t>'</w:t>
      </w:r>
      <w:r w:rsidRPr="008653E6">
        <w:t>Oman et du Qatar. Ces réunions ont permis aux administrations concernées de conclure deux accords, à savoir:</w:t>
      </w:r>
    </w:p>
    <w:p w:rsidR="00C244D7" w:rsidRPr="008653E6" w:rsidRDefault="00C244D7" w:rsidP="00C244D7">
      <w:pPr>
        <w:pStyle w:val="enumlev1"/>
      </w:pPr>
      <w:r w:rsidRPr="008653E6">
        <w:t>–</w:t>
      </w:r>
      <w:r w:rsidRPr="008653E6">
        <w:tab/>
        <w:t xml:space="preserve">dispositions visant à limiter </w:t>
      </w:r>
      <w:r w:rsidRPr="008653E6">
        <w:rPr>
          <w:color w:val="000000"/>
        </w:rPr>
        <w:t>les effets de débordement par-delà les frontières ainsi que les brouillages préjudiciables causés au service mobile;</w:t>
      </w:r>
    </w:p>
    <w:p w:rsidR="00C244D7" w:rsidRPr="008653E6" w:rsidRDefault="00C244D7" w:rsidP="00C244D7">
      <w:pPr>
        <w:pStyle w:val="enumlev1"/>
      </w:pPr>
      <w:r w:rsidRPr="008653E6">
        <w:t>–</w:t>
      </w:r>
      <w:r w:rsidRPr="008653E6">
        <w:tab/>
        <w:t>mécanisme de coordination du service de radiodiffusion sonore en ondes métriques.</w:t>
      </w:r>
    </w:p>
    <w:p w:rsidR="00C244D7" w:rsidRPr="008653E6" w:rsidRDefault="00C244D7" w:rsidP="00C244D7">
      <w:r w:rsidRPr="008653E6">
        <w:t>L</w:t>
      </w:r>
      <w:r w:rsidR="00D3135C">
        <w:t>'</w:t>
      </w:r>
      <w:r w:rsidRPr="008653E6">
        <w:t>application de ces accords a permis une nette amélioration de la coordination des fréquences utilisées par les services mobiles.</w:t>
      </w:r>
    </w:p>
    <w:p w:rsidR="00C244D7" w:rsidRPr="008653E6" w:rsidRDefault="00C244D7" w:rsidP="00C244D7">
      <w:r w:rsidRPr="008653E6">
        <w:t>Le Bureau a organisé à Genève, du 29 septembre au 1er octobre 2014, une réunion de coordination entre les Administrations de l</w:t>
      </w:r>
      <w:r w:rsidR="00D3135C">
        <w:t>'</w:t>
      </w:r>
      <w:r w:rsidRPr="008653E6">
        <w:t>Egypte, d</w:t>
      </w:r>
      <w:r w:rsidR="00D3135C">
        <w:t>'</w:t>
      </w:r>
      <w:r w:rsidRPr="008653E6">
        <w:t>Israël, du Liban, de la Palestine et de la Syrie sur la planification des fréquences attribuées à la radiodiffusion télévisuelle numérique dans la bande 470</w:t>
      </w:r>
      <w:r w:rsidRPr="008653E6">
        <w:noBreakHyphen/>
        <w:t>694 MHz. A cette occasion, les participants se sont mis d</w:t>
      </w:r>
      <w:r w:rsidR="00D3135C">
        <w:t>'</w:t>
      </w:r>
      <w:r w:rsidRPr="008653E6">
        <w:t>accord sur l</w:t>
      </w:r>
      <w:r w:rsidR="00D3135C">
        <w:t>'</w:t>
      </w:r>
      <w:r w:rsidRPr="008653E6">
        <w:t>adoption de certains critères techniques régissant la coordination des fréquences, par exemple sur une marge limite de brouillage entre Israël et les pays arabes.</w:t>
      </w:r>
    </w:p>
    <w:p w:rsidR="00C244D7" w:rsidRPr="008653E6" w:rsidRDefault="00C244D7" w:rsidP="00E3472E">
      <w:pPr>
        <w:pStyle w:val="Heading2"/>
        <w:rPr>
          <w:lang w:val="fr-CH"/>
        </w:rPr>
      </w:pPr>
      <w:bookmarkStart w:id="127" w:name="_Toc418163382"/>
      <w:bookmarkStart w:id="128" w:name="_Toc418232300"/>
      <w:bookmarkStart w:id="129" w:name="_Toc424047620"/>
      <w:bookmarkStart w:id="130" w:name="_Toc426463277"/>
      <w:r w:rsidRPr="008653E6">
        <w:rPr>
          <w:lang w:val="fr-CH"/>
        </w:rPr>
        <w:t>8.4</w:t>
      </w:r>
      <w:r w:rsidRPr="008653E6">
        <w:rPr>
          <w:lang w:val="fr-CH"/>
        </w:rPr>
        <w:tab/>
        <w:t>Coopération</w:t>
      </w:r>
      <w:bookmarkEnd w:id="127"/>
      <w:bookmarkEnd w:id="128"/>
      <w:bookmarkEnd w:id="129"/>
      <w:bookmarkEnd w:id="130"/>
      <w:r w:rsidRPr="008653E6">
        <w:rPr>
          <w:lang w:val="fr-CH"/>
        </w:rPr>
        <w:t xml:space="preserve"> intersectorielle </w:t>
      </w:r>
    </w:p>
    <w:p w:rsidR="00C244D7" w:rsidRPr="008653E6" w:rsidRDefault="00E3472E" w:rsidP="00E3472E">
      <w:pPr>
        <w:pStyle w:val="Heading3"/>
        <w:rPr>
          <w:lang w:val="fr-CH"/>
        </w:rPr>
      </w:pPr>
      <w:bookmarkStart w:id="131" w:name="_Toc424047621"/>
      <w:bookmarkStart w:id="132" w:name="_Toc426463278"/>
      <w:r>
        <w:rPr>
          <w:lang w:val="fr-CH"/>
        </w:rPr>
        <w:t>8</w:t>
      </w:r>
      <w:r w:rsidR="00C244D7" w:rsidRPr="008653E6">
        <w:rPr>
          <w:lang w:val="fr-CH"/>
        </w:rPr>
        <w:t>.4.1</w:t>
      </w:r>
      <w:r w:rsidR="00C244D7" w:rsidRPr="008653E6">
        <w:rPr>
          <w:lang w:val="fr-CH"/>
        </w:rPr>
        <w:tab/>
        <w:t>Coopération avec l</w:t>
      </w:r>
      <w:r w:rsidR="00D3135C">
        <w:rPr>
          <w:lang w:val="fr-CH"/>
        </w:rPr>
        <w:t>'</w:t>
      </w:r>
      <w:r w:rsidR="00C244D7" w:rsidRPr="008653E6">
        <w:rPr>
          <w:lang w:val="fr-CH"/>
        </w:rPr>
        <w:t>UIT</w:t>
      </w:r>
      <w:r w:rsidR="00C244D7" w:rsidRPr="008653E6">
        <w:rPr>
          <w:lang w:val="fr-CH"/>
        </w:rPr>
        <w:noBreakHyphen/>
        <w:t>D</w:t>
      </w:r>
      <w:bookmarkEnd w:id="131"/>
      <w:bookmarkEnd w:id="132"/>
    </w:p>
    <w:p w:rsidR="00C244D7" w:rsidRPr="008653E6" w:rsidRDefault="00C244D7" w:rsidP="00C244D7">
      <w:r w:rsidRPr="008653E6">
        <w:t>C</w:t>
      </w:r>
      <w:r w:rsidR="00E3472E">
        <w:t xml:space="preserve">omme indiqué aux § 8.1 à 8.3 </w:t>
      </w:r>
      <w:r w:rsidRPr="008653E6">
        <w:t>ci-dessus, le BR continue de s</w:t>
      </w:r>
      <w:r w:rsidR="00D3135C">
        <w:t>'</w:t>
      </w:r>
      <w:r w:rsidRPr="008653E6">
        <w:t>employer à informer les membres de l</w:t>
      </w:r>
      <w:r w:rsidR="00D3135C">
        <w:t>'</w:t>
      </w:r>
      <w:r w:rsidRPr="008653E6">
        <w:t>UIT et à leur prêter une assistance, en particulier dans les pays en développement, pour l</w:t>
      </w:r>
      <w:r w:rsidR="00D3135C">
        <w:t>'</w:t>
      </w:r>
      <w:r w:rsidRPr="008653E6">
        <w:t>examen des sujets se rapportant à des questions de radiocommunication. A cette fin, le BR organise un certain nombre d</w:t>
      </w:r>
      <w:r w:rsidR="00D3135C">
        <w:t>'</w:t>
      </w:r>
      <w:r w:rsidRPr="008653E6">
        <w:t>ateliers, de séminaires et de réunions sur des questions se rapportant au spectre des fréquences ou y participe, et d</w:t>
      </w:r>
      <w:r w:rsidR="00D3135C">
        <w:t>'</w:t>
      </w:r>
      <w:r w:rsidRPr="008653E6">
        <w:t>activités en matière de renforcement des capacités. Il mène à bien ces activités en collaboration étroite avec le BDT, les bureaux régionaux et les bureaux de zone de l</w:t>
      </w:r>
      <w:r w:rsidR="00D3135C">
        <w:t>'</w:t>
      </w:r>
      <w:r w:rsidRPr="008653E6">
        <w:t>UIT et les organisations internationales ou les autorités nationales concernées.</w:t>
      </w:r>
    </w:p>
    <w:p w:rsidR="00C244D7" w:rsidRPr="008653E6" w:rsidRDefault="00C244D7" w:rsidP="00E3472E">
      <w:pPr>
        <w:pStyle w:val="Heading4"/>
      </w:pPr>
      <w:bookmarkStart w:id="133" w:name="_Toc424047622"/>
      <w:bookmarkStart w:id="134" w:name="_Toc426463279"/>
      <w:r w:rsidRPr="008653E6">
        <w:t>8.4.1.1</w:t>
      </w:r>
      <w:r w:rsidRPr="008653E6">
        <w:tab/>
        <w:t>GSR</w:t>
      </w:r>
      <w:bookmarkEnd w:id="133"/>
      <w:bookmarkEnd w:id="134"/>
    </w:p>
    <w:p w:rsidR="00C244D7" w:rsidRPr="008653E6" w:rsidRDefault="00C244D7" w:rsidP="00BC0CAD">
      <w:r w:rsidRPr="008653E6">
        <w:t>Conscient de l</w:t>
      </w:r>
      <w:r w:rsidR="00D3135C">
        <w:t>'</w:t>
      </w:r>
      <w:r w:rsidRPr="008653E6">
        <w:t>importance de la fourniture d</w:t>
      </w:r>
      <w:r w:rsidR="00D3135C">
        <w:t>'</w:t>
      </w:r>
      <w:r w:rsidRPr="008653E6">
        <w:t>une assistance spécialisée aux Etats Membres, le BR continue de mettre à la disposition du BDT des compétences techniques sur les aspects relatifs à la gestion du spectre, à la radiodiffusion numérique et au dividende numérique. Le BR a contribué aux éditions de 2012, 2013, 2014 et 2015 du Colloque mondial des régulateurs de l</w:t>
      </w:r>
      <w:r w:rsidR="00D3135C">
        <w:t>'</w:t>
      </w:r>
      <w:r w:rsidRPr="008653E6">
        <w:t>UIT, en organisant des sessions relatives à la gestion du spectre et en y participant.</w:t>
      </w:r>
    </w:p>
    <w:p w:rsidR="00C244D7" w:rsidRPr="008653E6" w:rsidRDefault="00C244D7" w:rsidP="00E3472E">
      <w:pPr>
        <w:pStyle w:val="Heading4"/>
      </w:pPr>
      <w:bookmarkStart w:id="135" w:name="_Toc424047623"/>
      <w:bookmarkStart w:id="136" w:name="_Toc426463280"/>
      <w:r w:rsidRPr="008653E6">
        <w:t>8.4.1.2</w:t>
      </w:r>
      <w:r w:rsidRPr="008653E6">
        <w:tab/>
        <w:t>Enquête sur les</w:t>
      </w:r>
      <w:r w:rsidRPr="008653E6">
        <w:rPr>
          <w:color w:val="000000"/>
        </w:rPr>
        <w:t xml:space="preserve"> TIC</w:t>
      </w:r>
      <w:r w:rsidRPr="008653E6">
        <w:t xml:space="preserve"> et portail «</w:t>
      </w:r>
      <w:r w:rsidRPr="008653E6">
        <w:rPr>
          <w:color w:val="000000"/>
        </w:rPr>
        <w:t>L</w:t>
      </w:r>
      <w:r w:rsidR="00D3135C">
        <w:rPr>
          <w:color w:val="000000"/>
        </w:rPr>
        <w:t>'</w:t>
      </w:r>
      <w:r w:rsidRPr="008653E6">
        <w:rPr>
          <w:color w:val="000000"/>
        </w:rPr>
        <w:t>oeil sur les TIC»</w:t>
      </w:r>
      <w:bookmarkEnd w:id="135"/>
      <w:bookmarkEnd w:id="136"/>
    </w:p>
    <w:p w:rsidR="00C244D7" w:rsidRPr="008653E6" w:rsidRDefault="00C244D7" w:rsidP="008B6DCF">
      <w:r w:rsidRPr="008653E6">
        <w:t>Le portail «L</w:t>
      </w:r>
      <w:r w:rsidR="00D3135C">
        <w:t>'</w:t>
      </w:r>
      <w:r w:rsidR="008B6DCF">
        <w:t>oeil sur les TIC»</w:t>
      </w:r>
      <w:r w:rsidRPr="008653E6">
        <w:t xml:space="preserve"> et l</w:t>
      </w:r>
      <w:r w:rsidR="00D3135C">
        <w:t>'</w:t>
      </w:r>
      <w:r w:rsidRPr="008653E6">
        <w:t>enquête qui lui est associée constituent un outil essentiel pour collecter des données auprès des administrations sur des paramètres relatifs aux TIC. Le BDT suit chaque année l</w:t>
      </w:r>
      <w:r w:rsidR="00D3135C">
        <w:t>'</w:t>
      </w:r>
      <w:r w:rsidRPr="008653E6">
        <w:t>évolution de ces données et en présente les résultats de manière logique sur le portail consacré aux statistiques. Afin de tirer parti de la plate-forme existante, à savoir le portail «L</w:t>
      </w:r>
      <w:r w:rsidR="00D3135C">
        <w:t>'</w:t>
      </w:r>
      <w:r w:rsidRPr="008653E6">
        <w:t>oeil sur les TIC», le BR a collaboré avec le BDT afin de développer l</w:t>
      </w:r>
      <w:r w:rsidR="00D3135C">
        <w:t>'</w:t>
      </w:r>
      <w:r w:rsidRPr="008653E6">
        <w:t>enquête actuelle et d</w:t>
      </w:r>
      <w:r w:rsidR="00D3135C">
        <w:t>'</w:t>
      </w:r>
      <w:r w:rsidRPr="008653E6">
        <w:t>y intégrer un chapitre sur des données essentielles axées sur le spectre (enchères, plafonnement, technologies mobiles/normes applicables au service mobile, octroi de licences pour l</w:t>
      </w:r>
      <w:r w:rsidR="00D3135C">
        <w:t>'</w:t>
      </w:r>
      <w:r w:rsidRPr="008653E6">
        <w:t>exploitation du spectre). Le chapitre consacré au spectre a été élaboré par le BR et publié pour la première fois en 2013 dans l</w:t>
      </w:r>
      <w:r w:rsidR="00D3135C">
        <w:t>'</w:t>
      </w:r>
      <w:r w:rsidRPr="008653E6">
        <w:t>enquête sur les TIC.</w:t>
      </w:r>
    </w:p>
    <w:p w:rsidR="00C244D7" w:rsidRPr="008653E6" w:rsidRDefault="00C244D7" w:rsidP="00E3472E">
      <w:pPr>
        <w:pStyle w:val="Heading4"/>
        <w:rPr>
          <w:lang w:val="fr-CH"/>
        </w:rPr>
      </w:pPr>
      <w:bookmarkStart w:id="137" w:name="lt_pId1329"/>
      <w:r w:rsidRPr="008653E6">
        <w:rPr>
          <w:lang w:val="fr-CH"/>
        </w:rPr>
        <w:t>8.4.1.3</w:t>
      </w:r>
      <w:bookmarkStart w:id="138" w:name="lt_pId1330"/>
      <w:bookmarkEnd w:id="137"/>
      <w:r w:rsidR="00E3472E">
        <w:rPr>
          <w:lang w:val="fr-CH"/>
        </w:rPr>
        <w:tab/>
      </w:r>
      <w:r w:rsidRPr="008653E6">
        <w:t>Colloque annuel sur les indicateurs des télécommunications/TIC dans le monde (WTIS)</w:t>
      </w:r>
      <w:bookmarkEnd w:id="138"/>
    </w:p>
    <w:p w:rsidR="00C244D7" w:rsidRPr="008653E6" w:rsidRDefault="00E3472E" w:rsidP="009D5B6A">
      <w:pPr>
        <w:rPr>
          <w:lang w:val="fr-CH"/>
        </w:rPr>
      </w:pPr>
      <w:bookmarkStart w:id="139" w:name="lt_pId1331"/>
      <w:r>
        <w:rPr>
          <w:lang w:val="fr-CH"/>
        </w:rPr>
        <w:t xml:space="preserve">Le BR a coopéré avec le </w:t>
      </w:r>
      <w:r w:rsidR="00C244D7" w:rsidRPr="008653E6">
        <w:rPr>
          <w:lang w:val="fr-CH"/>
        </w:rPr>
        <w:t>BDT au sujet des indicateurs et des définitions permettant de recueillir des données sur les technologies large</w:t>
      </w:r>
      <w:r w:rsidR="009D5B6A">
        <w:rPr>
          <w:lang w:val="fr-CH"/>
        </w:rPr>
        <w:t xml:space="preserve"> </w:t>
      </w:r>
      <w:r w:rsidR="00C244D7" w:rsidRPr="008653E6">
        <w:rPr>
          <w:lang w:val="fr-CH"/>
        </w:rPr>
        <w:t>bande mobile, notamment sous l</w:t>
      </w:r>
      <w:r w:rsidR="00D3135C">
        <w:rPr>
          <w:lang w:val="fr-CH"/>
        </w:rPr>
        <w:t>'</w:t>
      </w:r>
      <w:r w:rsidR="00C244D7" w:rsidRPr="008653E6">
        <w:rPr>
          <w:lang w:val="fr-CH"/>
        </w:rPr>
        <w:t>angle des normes. Dans ce contexte, le BR a présenté des exposés à l</w:t>
      </w:r>
      <w:r w:rsidR="00D3135C">
        <w:rPr>
          <w:lang w:val="fr-CH"/>
        </w:rPr>
        <w:t>'</w:t>
      </w:r>
      <w:r w:rsidR="00C244D7" w:rsidRPr="008653E6">
        <w:rPr>
          <w:lang w:val="fr-CH"/>
        </w:rPr>
        <w:t>occasion des</w:t>
      </w:r>
      <w:bookmarkStart w:id="140" w:name="lt_pId1332"/>
      <w:bookmarkEnd w:id="139"/>
      <w:r>
        <w:rPr>
          <w:lang w:val="fr-CH"/>
        </w:rPr>
        <w:t xml:space="preserve"> WTIS-13 et </w:t>
      </w:r>
      <w:r w:rsidR="00C244D7" w:rsidRPr="008653E6">
        <w:rPr>
          <w:lang w:val="fr-CH"/>
        </w:rPr>
        <w:t>WTIS-14.</w:t>
      </w:r>
      <w:bookmarkStart w:id="141" w:name="lt_pId1333"/>
      <w:bookmarkEnd w:id="140"/>
      <w:r w:rsidR="00C244D7" w:rsidRPr="008653E6">
        <w:rPr>
          <w:lang w:val="fr-CH"/>
        </w:rPr>
        <w:t xml:space="preserve"> Pendant le WTIS-15, les participants ont examiné la feuille de route à suivre pour concevoir et mesurer les indicateurs pour la technologie 5G et la composante sans fil de l</w:t>
      </w:r>
      <w:r w:rsidR="00D3135C">
        <w:rPr>
          <w:lang w:val="fr-CH"/>
        </w:rPr>
        <w:t>'</w:t>
      </w:r>
      <w:r w:rsidR="00C244D7" w:rsidRPr="008653E6">
        <w:rPr>
          <w:lang w:val="fr-CH"/>
        </w:rPr>
        <w:t>Internet des objets et le BR a activement participé à ce processus, afin de garantir la coordination avec les travaux menés actuellement par l</w:t>
      </w:r>
      <w:r w:rsidR="00D3135C">
        <w:rPr>
          <w:lang w:val="fr-CH"/>
        </w:rPr>
        <w:t>'</w:t>
      </w:r>
      <w:r w:rsidR="00C244D7" w:rsidRPr="008653E6">
        <w:rPr>
          <w:lang w:val="fr-CH"/>
        </w:rPr>
        <w:t>UIT-R sur cette question importante.</w:t>
      </w:r>
      <w:bookmarkEnd w:id="141"/>
    </w:p>
    <w:p w:rsidR="00C244D7" w:rsidRPr="008653E6" w:rsidRDefault="00C244D7" w:rsidP="00E3472E">
      <w:pPr>
        <w:rPr>
          <w:lang w:val="fr-CH"/>
        </w:rPr>
      </w:pPr>
      <w:bookmarkStart w:id="142" w:name="lt_pId1334"/>
      <w:r w:rsidRPr="008653E6">
        <w:rPr>
          <w:lang w:val="fr-CH"/>
        </w:rPr>
        <w:t>Des travaux analogues sur les indicateurs relatifs aux indicateurs fondamentaux de performance (KPI) de l</w:t>
      </w:r>
      <w:r w:rsidR="00D3135C">
        <w:rPr>
          <w:lang w:val="fr-CH"/>
        </w:rPr>
        <w:t>'</w:t>
      </w:r>
      <w:r w:rsidRPr="008653E6">
        <w:rPr>
          <w:lang w:val="fr-CH"/>
        </w:rPr>
        <w:t>UIT-R ont également été menés au titre de cette activité.</w:t>
      </w:r>
      <w:bookmarkEnd w:id="142"/>
    </w:p>
    <w:p w:rsidR="00C244D7" w:rsidRPr="008653E6" w:rsidRDefault="00C244D7" w:rsidP="00E3472E">
      <w:pPr>
        <w:pStyle w:val="Heading4"/>
      </w:pPr>
      <w:bookmarkStart w:id="143" w:name="_Toc426463281"/>
      <w:r w:rsidRPr="008653E6">
        <w:t>8.4.1.4</w:t>
      </w:r>
      <w:r w:rsidRPr="008653E6">
        <w:tab/>
        <w:t>Programme de formation à la gestion du spectre (SMTP)</w:t>
      </w:r>
      <w:bookmarkEnd w:id="143"/>
      <w:r w:rsidRPr="008653E6">
        <w:t xml:space="preserve"> </w:t>
      </w:r>
    </w:p>
    <w:p w:rsidR="00C244D7" w:rsidRPr="008653E6" w:rsidRDefault="00C244D7" w:rsidP="00E3472E">
      <w:pPr>
        <w:rPr>
          <w:lang w:val="fr-CH"/>
        </w:rPr>
      </w:pPr>
      <w:r w:rsidRPr="008653E6">
        <w:rPr>
          <w:lang w:val="fr-CH"/>
        </w:rPr>
        <w:t xml:space="preserve">Des liens étroits ont été maintenus avec le BDT dans le cadre de travaux présentant un intérêt </w:t>
      </w:r>
      <w:r w:rsidR="00E3472E">
        <w:rPr>
          <w:lang w:val="fr-CH"/>
        </w:rPr>
        <w:t>mutuel</w:t>
      </w:r>
      <w:r w:rsidRPr="008653E6">
        <w:rPr>
          <w:lang w:val="fr-CH"/>
        </w:rPr>
        <w:t xml:space="preserve"> pour l</w:t>
      </w:r>
      <w:r w:rsidR="00D3135C">
        <w:rPr>
          <w:lang w:val="fr-CH"/>
        </w:rPr>
        <w:t>'</w:t>
      </w:r>
      <w:r w:rsidRPr="008653E6">
        <w:rPr>
          <w:lang w:val="fr-CH"/>
        </w:rPr>
        <w:t>UIT-D et l</w:t>
      </w:r>
      <w:r w:rsidR="00D3135C">
        <w:rPr>
          <w:lang w:val="fr-CH"/>
        </w:rPr>
        <w:t>'</w:t>
      </w:r>
      <w:r w:rsidRPr="008653E6">
        <w:rPr>
          <w:lang w:val="fr-CH"/>
        </w:rPr>
        <w:t>UIT-R. Le BR a participé aux réunions pertinentes des commissions d</w:t>
      </w:r>
      <w:r w:rsidR="00D3135C">
        <w:rPr>
          <w:lang w:val="fr-CH"/>
        </w:rPr>
        <w:t>'</w:t>
      </w:r>
      <w:r w:rsidRPr="008653E6">
        <w:rPr>
          <w:lang w:val="fr-CH"/>
        </w:rPr>
        <w:t>études et des Groupes du Rapporteur de l</w:t>
      </w:r>
      <w:r w:rsidR="00D3135C">
        <w:rPr>
          <w:lang w:val="fr-CH"/>
        </w:rPr>
        <w:t>'</w:t>
      </w:r>
      <w:r w:rsidRPr="008653E6">
        <w:rPr>
          <w:lang w:val="fr-CH"/>
        </w:rPr>
        <w:t>UIT-D et du GCDT, lorsque les activités de liaison portaient sur des thèmes comme la gestion du spectre, la radiodiffusion numérique, le passage de l</w:t>
      </w:r>
      <w:r w:rsidR="00D3135C">
        <w:rPr>
          <w:lang w:val="fr-CH"/>
        </w:rPr>
        <w:t>'</w:t>
      </w:r>
      <w:r w:rsidRPr="008653E6">
        <w:rPr>
          <w:lang w:val="fr-CH"/>
        </w:rPr>
        <w:t>analogique au numérique, le passage aux IMT et la mise en oeuvre des IMT et les technologies d</w:t>
      </w:r>
      <w:r w:rsidR="00D3135C">
        <w:rPr>
          <w:lang w:val="fr-CH"/>
        </w:rPr>
        <w:t>'</w:t>
      </w:r>
      <w:r w:rsidRPr="008653E6">
        <w:rPr>
          <w:lang w:val="fr-CH"/>
        </w:rPr>
        <w:t>accès hertzien large bande. L</w:t>
      </w:r>
      <w:r w:rsidR="00D3135C">
        <w:rPr>
          <w:lang w:val="fr-CH"/>
        </w:rPr>
        <w:t>'</w:t>
      </w:r>
      <w:r w:rsidRPr="008653E6">
        <w:rPr>
          <w:lang w:val="fr-CH"/>
        </w:rPr>
        <w:t>examen de ces questions vient s</w:t>
      </w:r>
      <w:r w:rsidR="00D3135C">
        <w:rPr>
          <w:lang w:val="fr-CH"/>
        </w:rPr>
        <w:t>'</w:t>
      </w:r>
      <w:r w:rsidRPr="008653E6">
        <w:rPr>
          <w:lang w:val="fr-CH"/>
        </w:rPr>
        <w:t>ajouter à la collaboration mise en place au titre de la Question 9-3/2 de l</w:t>
      </w:r>
      <w:r w:rsidR="00D3135C">
        <w:rPr>
          <w:lang w:val="fr-CH"/>
        </w:rPr>
        <w:t>'</w:t>
      </w:r>
      <w:r w:rsidRPr="008653E6">
        <w:rPr>
          <w:lang w:val="fr-CH"/>
        </w:rPr>
        <w:t>UIT-D, aux termes de laquelle il est demandé de recenser les sujets d</w:t>
      </w:r>
      <w:r w:rsidR="00D3135C">
        <w:rPr>
          <w:lang w:val="fr-CH"/>
        </w:rPr>
        <w:t>'</w:t>
      </w:r>
      <w:r w:rsidRPr="008653E6">
        <w:rPr>
          <w:lang w:val="fr-CH"/>
        </w:rPr>
        <w:t>étude au sein de l</w:t>
      </w:r>
      <w:r w:rsidR="00D3135C">
        <w:rPr>
          <w:lang w:val="fr-CH"/>
        </w:rPr>
        <w:t>'</w:t>
      </w:r>
      <w:r w:rsidRPr="008653E6">
        <w:rPr>
          <w:lang w:val="fr-CH"/>
        </w:rPr>
        <w:t>UIT-R (et de l</w:t>
      </w:r>
      <w:r w:rsidR="00D3135C">
        <w:rPr>
          <w:lang w:val="fr-CH"/>
        </w:rPr>
        <w:t>'</w:t>
      </w:r>
      <w:r w:rsidRPr="008653E6">
        <w:rPr>
          <w:lang w:val="fr-CH"/>
        </w:rPr>
        <w:t>UIT</w:t>
      </w:r>
      <w:r w:rsidRPr="008653E6">
        <w:rPr>
          <w:lang w:val="fr-CH"/>
        </w:rPr>
        <w:noBreakHyphen/>
        <w:t>T) dont on estime qu</w:t>
      </w:r>
      <w:r w:rsidR="00D3135C">
        <w:rPr>
          <w:lang w:val="fr-CH"/>
        </w:rPr>
        <w:t>'</w:t>
      </w:r>
      <w:r w:rsidRPr="008653E6">
        <w:rPr>
          <w:lang w:val="fr-CH"/>
        </w:rPr>
        <w:t>ils intéressent particulièrement les pays en développement.</w:t>
      </w:r>
    </w:p>
    <w:p w:rsidR="00C244D7" w:rsidRPr="008653E6" w:rsidRDefault="00C244D7" w:rsidP="008B6DCF">
      <w:pPr>
        <w:rPr>
          <w:lang w:val="fr-CH"/>
        </w:rPr>
      </w:pPr>
      <w:r w:rsidRPr="008653E6">
        <w:rPr>
          <w:lang w:val="fr-CH"/>
        </w:rPr>
        <w:t>En réponse à des demandes du BDT, des experts de l</w:t>
      </w:r>
      <w:r w:rsidR="00D3135C">
        <w:rPr>
          <w:lang w:val="fr-CH"/>
        </w:rPr>
        <w:t>'</w:t>
      </w:r>
      <w:r w:rsidRPr="008653E6">
        <w:rPr>
          <w:lang w:val="fr-CH"/>
        </w:rPr>
        <w:t>UIT-R et du BR ont participé à des séminaires et ateliers de l</w:t>
      </w:r>
      <w:r w:rsidR="00D3135C">
        <w:rPr>
          <w:lang w:val="fr-CH"/>
        </w:rPr>
        <w:t>'</w:t>
      </w:r>
      <w:r w:rsidRPr="008653E6">
        <w:rPr>
          <w:lang w:val="fr-CH"/>
        </w:rPr>
        <w:t>UIT organisés par l</w:t>
      </w:r>
      <w:r w:rsidR="00D3135C">
        <w:rPr>
          <w:lang w:val="fr-CH"/>
        </w:rPr>
        <w:t>'</w:t>
      </w:r>
      <w:r w:rsidRPr="008653E6">
        <w:rPr>
          <w:lang w:val="fr-CH"/>
        </w:rPr>
        <w:t xml:space="preserve">UIT-D (voir le § </w:t>
      </w:r>
      <w:r w:rsidR="00E3472E">
        <w:rPr>
          <w:lang w:val="fr-CH"/>
        </w:rPr>
        <w:t>8</w:t>
      </w:r>
      <w:r w:rsidRPr="008653E6">
        <w:rPr>
          <w:lang w:val="fr-CH"/>
        </w:rPr>
        <w:t>.</w:t>
      </w:r>
      <w:r w:rsidR="00E3472E">
        <w:rPr>
          <w:lang w:val="fr-CH"/>
        </w:rPr>
        <w:t>2.4</w:t>
      </w:r>
      <w:r w:rsidRPr="008653E6">
        <w:rPr>
          <w:lang w:val="fr-CH"/>
        </w:rPr>
        <w:t>). Dans le cadre de la Résolution UIT</w:t>
      </w:r>
      <w:r w:rsidR="008B6DCF">
        <w:rPr>
          <w:lang w:val="fr-CH"/>
        </w:rPr>
        <w:noBreakHyphen/>
      </w:r>
      <w:r w:rsidRPr="008653E6">
        <w:rPr>
          <w:lang w:val="fr-CH"/>
        </w:rPr>
        <w:t>R</w:t>
      </w:r>
      <w:r w:rsidR="00BC0CAD">
        <w:rPr>
          <w:lang w:val="fr-CH"/>
        </w:rPr>
        <w:t> </w:t>
      </w:r>
      <w:r w:rsidRPr="008653E6">
        <w:rPr>
          <w:lang w:val="fr-CH"/>
        </w:rPr>
        <w:t>11</w:t>
      </w:r>
      <w:r w:rsidR="00BC0CAD">
        <w:rPr>
          <w:lang w:val="fr-CH"/>
        </w:rPr>
        <w:noBreakHyphen/>
      </w:r>
      <w:r w:rsidRPr="008653E6">
        <w:rPr>
          <w:lang w:val="fr-CH"/>
        </w:rPr>
        <w:t>4 (Perfectionnement du système de gestion du spectre pour les pays en développement), le BR a participé à la conception et au test du logiciel SMS4DC (Système de gestion du spectre pour les pays en développement) ainsi qu</w:t>
      </w:r>
      <w:r w:rsidR="00D3135C">
        <w:rPr>
          <w:lang w:val="fr-CH"/>
        </w:rPr>
        <w:t>'</w:t>
      </w:r>
      <w:r w:rsidRPr="008653E6">
        <w:rPr>
          <w:lang w:val="fr-CH"/>
        </w:rPr>
        <w:t>à la formation à l</w:t>
      </w:r>
      <w:r w:rsidR="00D3135C">
        <w:rPr>
          <w:lang w:val="fr-CH"/>
        </w:rPr>
        <w:t>'</w:t>
      </w:r>
      <w:r w:rsidRPr="008653E6">
        <w:rPr>
          <w:lang w:val="fr-CH"/>
        </w:rPr>
        <w:t>utilisation de ce logiciel et a donné des avis sur l</w:t>
      </w:r>
      <w:r w:rsidR="00D3135C">
        <w:rPr>
          <w:lang w:val="fr-CH"/>
        </w:rPr>
        <w:t>'</w:t>
      </w:r>
      <w:r w:rsidRPr="008653E6">
        <w:rPr>
          <w:lang w:val="fr-CH"/>
        </w:rPr>
        <w:t>utilisation des Recommandations pertinentes de l</w:t>
      </w:r>
      <w:r w:rsidR="00D3135C">
        <w:rPr>
          <w:lang w:val="fr-CH"/>
        </w:rPr>
        <w:t>'</w:t>
      </w:r>
      <w:r w:rsidRPr="008653E6">
        <w:rPr>
          <w:lang w:val="fr-CH"/>
        </w:rPr>
        <w:t>UIT-R. En outre, la Commission d</w:t>
      </w:r>
      <w:r w:rsidR="00D3135C">
        <w:rPr>
          <w:lang w:val="fr-CH"/>
        </w:rPr>
        <w:t>'</w:t>
      </w:r>
      <w:r w:rsidRPr="008653E6">
        <w:rPr>
          <w:lang w:val="fr-CH"/>
        </w:rPr>
        <w:t>études 1 de l</w:t>
      </w:r>
      <w:r w:rsidR="00D3135C">
        <w:rPr>
          <w:lang w:val="fr-CH"/>
        </w:rPr>
        <w:t>'</w:t>
      </w:r>
      <w:r w:rsidRPr="008653E6">
        <w:rPr>
          <w:lang w:val="fr-CH"/>
        </w:rPr>
        <w:t>UIT-R a continué de collaborer étroitement avec les commissions d</w:t>
      </w:r>
      <w:r w:rsidR="00D3135C">
        <w:rPr>
          <w:lang w:val="fr-CH"/>
        </w:rPr>
        <w:t>'</w:t>
      </w:r>
      <w:r w:rsidRPr="008653E6">
        <w:rPr>
          <w:lang w:val="fr-CH"/>
        </w:rPr>
        <w:t>études de l</w:t>
      </w:r>
      <w:r w:rsidR="00D3135C">
        <w:rPr>
          <w:lang w:val="fr-CH"/>
        </w:rPr>
        <w:t>'</w:t>
      </w:r>
      <w:r w:rsidRPr="008653E6">
        <w:rPr>
          <w:lang w:val="fr-CH"/>
        </w:rPr>
        <w:t>UIT</w:t>
      </w:r>
      <w:r w:rsidR="008B6DCF">
        <w:rPr>
          <w:lang w:val="fr-CH"/>
        </w:rPr>
        <w:noBreakHyphen/>
      </w:r>
      <w:r w:rsidRPr="008653E6">
        <w:rPr>
          <w:lang w:val="fr-CH"/>
        </w:rPr>
        <w:t>D dans le cadre des études sur l</w:t>
      </w:r>
      <w:r w:rsidR="00D3135C">
        <w:rPr>
          <w:lang w:val="fr-CH"/>
        </w:rPr>
        <w:t>'</w:t>
      </w:r>
      <w:r w:rsidRPr="008653E6">
        <w:rPr>
          <w:lang w:val="fr-CH"/>
        </w:rPr>
        <w:t>utilisation du spectre conformément à la Résolution 9 de l</w:t>
      </w:r>
      <w:r w:rsidR="00D3135C">
        <w:rPr>
          <w:lang w:val="fr-CH"/>
        </w:rPr>
        <w:t>'</w:t>
      </w:r>
      <w:r w:rsidRPr="008653E6">
        <w:rPr>
          <w:lang w:val="fr-CH"/>
        </w:rPr>
        <w:t>UIT-D.</w:t>
      </w:r>
    </w:p>
    <w:p w:rsidR="00C244D7" w:rsidRPr="008653E6" w:rsidRDefault="00C244D7" w:rsidP="00C244D7">
      <w:r w:rsidRPr="008653E6">
        <w:t xml:space="preserve">En 2013, le BR a élaboré, conjointement avec le BDT, un </w:t>
      </w:r>
      <w:r w:rsidRPr="008653E6">
        <w:rPr>
          <w:color w:val="000000"/>
        </w:rPr>
        <w:t>Rapport de l</w:t>
      </w:r>
      <w:r w:rsidR="00D3135C">
        <w:rPr>
          <w:color w:val="000000"/>
        </w:rPr>
        <w:t>'</w:t>
      </w:r>
      <w:r w:rsidRPr="008653E6">
        <w:rPr>
          <w:color w:val="000000"/>
        </w:rPr>
        <w:t xml:space="preserve">UIT sur le dividende numérique. </w:t>
      </w:r>
      <w:r w:rsidRPr="008653E6">
        <w:t>A ce titre, la</w:t>
      </w:r>
      <w:r w:rsidRPr="008653E6">
        <w:rPr>
          <w:lang w:val="fr-CH"/>
        </w:rPr>
        <w:t xml:space="preserve"> Commission d</w:t>
      </w:r>
      <w:r w:rsidR="00D3135C">
        <w:rPr>
          <w:lang w:val="fr-CH"/>
        </w:rPr>
        <w:t>'</w:t>
      </w:r>
      <w:r w:rsidRPr="008653E6">
        <w:rPr>
          <w:lang w:val="fr-CH"/>
        </w:rPr>
        <w:t>études 1 de l</w:t>
      </w:r>
      <w:r w:rsidR="00D3135C">
        <w:rPr>
          <w:lang w:val="fr-CH"/>
        </w:rPr>
        <w:t>'</w:t>
      </w:r>
      <w:r w:rsidRPr="008653E6">
        <w:rPr>
          <w:lang w:val="fr-CH"/>
        </w:rPr>
        <w:t>UIT-R a élaboré et adopté depuis, dernièrement, un rapport de l</w:t>
      </w:r>
      <w:r w:rsidR="00D3135C">
        <w:rPr>
          <w:lang w:val="fr-CH"/>
        </w:rPr>
        <w:t>'</w:t>
      </w:r>
      <w:r w:rsidRPr="008653E6">
        <w:rPr>
          <w:lang w:val="fr-CH"/>
        </w:rPr>
        <w:t>UIT-R sur cette question.</w:t>
      </w:r>
    </w:p>
    <w:p w:rsidR="00C244D7" w:rsidRPr="008653E6" w:rsidRDefault="00C244D7" w:rsidP="00C244D7">
      <w:pPr>
        <w:rPr>
          <w:lang w:val="fr-CH"/>
        </w:rPr>
      </w:pPr>
      <w:r w:rsidRPr="008653E6">
        <w:rPr>
          <w:lang w:val="fr-CH"/>
        </w:rPr>
        <w:t>L</w:t>
      </w:r>
      <w:r w:rsidR="00D3135C">
        <w:rPr>
          <w:lang w:val="fr-CH"/>
        </w:rPr>
        <w:t>'</w:t>
      </w:r>
      <w:r w:rsidRPr="008653E6">
        <w:rPr>
          <w:lang w:val="fr-CH"/>
        </w:rPr>
        <w:t>élaboration de Manuels est toujours considérée comme un aspect essentiel du travail des commissions d</w:t>
      </w:r>
      <w:r w:rsidR="00D3135C">
        <w:rPr>
          <w:lang w:val="fr-CH"/>
        </w:rPr>
        <w:t>'</w:t>
      </w:r>
      <w:r w:rsidRPr="008653E6">
        <w:rPr>
          <w:lang w:val="fr-CH"/>
        </w:rPr>
        <w:t>études, compte tenu de la nécessité de répondre aux besoins des pays en développement. A cet égard, des Manuels, nouveaux ou révisés, ont été élaborés sur les questions suivantes: contrôle du spectre, informations sur la propagation des ondes radioélectriques pour la conception des liaisons de Terre point à point, services d</w:t>
      </w:r>
      <w:r w:rsidR="00D3135C">
        <w:rPr>
          <w:lang w:val="fr-CH"/>
        </w:rPr>
        <w:t>'</w:t>
      </w:r>
      <w:r w:rsidRPr="008653E6">
        <w:rPr>
          <w:lang w:val="fr-CH"/>
        </w:rPr>
        <w:t>amateur et d</w:t>
      </w:r>
      <w:r w:rsidR="00D3135C">
        <w:rPr>
          <w:lang w:val="fr-CH"/>
        </w:rPr>
        <w:t>'</w:t>
      </w:r>
      <w:r w:rsidRPr="008653E6">
        <w:rPr>
          <w:lang w:val="fr-CH"/>
        </w:rPr>
        <w:t>amateur par satellite, passage aux systèmes IMT-2000 et utilisation du spectre radioélectrique pour la météorologie: surveillance et prévisions concernant le climat, le temps et l</w:t>
      </w:r>
      <w:r w:rsidR="00D3135C">
        <w:rPr>
          <w:lang w:val="fr-CH"/>
        </w:rPr>
        <w:t>'</w:t>
      </w:r>
      <w:r w:rsidRPr="008653E6">
        <w:rPr>
          <w:lang w:val="fr-CH"/>
        </w:rPr>
        <w:t>eau.</w:t>
      </w:r>
    </w:p>
    <w:p w:rsidR="00C244D7" w:rsidRPr="008653E6" w:rsidRDefault="00E3472E" w:rsidP="00930C85">
      <w:pPr>
        <w:rPr>
          <w:lang w:val="fr-CH"/>
        </w:rPr>
      </w:pPr>
      <w:r>
        <w:t>Depuis 2013, l</w:t>
      </w:r>
      <w:r w:rsidR="00C244D7" w:rsidRPr="008653E6">
        <w:t>e BR participe active</w:t>
      </w:r>
      <w:r>
        <w:t>ment</w:t>
      </w:r>
      <w:r w:rsidR="00C244D7" w:rsidRPr="008653E6">
        <w:t xml:space="preserve"> à un projet commun avec le BDT visant à créer un </w:t>
      </w:r>
      <w:r w:rsidR="00C244D7" w:rsidRPr="002A55C1">
        <w:rPr>
          <w:i/>
          <w:iCs/>
        </w:rPr>
        <w:t>programme de formation à la gestion du spectre</w:t>
      </w:r>
      <w:r w:rsidR="00C244D7" w:rsidRPr="008653E6">
        <w:t xml:space="preserve"> (SMPT). Les différentes phases de ce projet</w:t>
      </w:r>
      <w:r w:rsidR="00930C85">
        <w:t xml:space="preserve"> sont les suivantes: </w:t>
      </w:r>
      <w:r w:rsidR="00C244D7" w:rsidRPr="008653E6">
        <w:t>conception, élaboration de ressources didactiques</w:t>
      </w:r>
      <w:r w:rsidR="00930C85">
        <w:t>,</w:t>
      </w:r>
      <w:r w:rsidR="00C244D7" w:rsidRPr="008653E6">
        <w:t xml:space="preserve"> examen par les pairs, essai pilote mis en oeuvre</w:t>
      </w:r>
      <w:r w:rsidR="00930C85">
        <w:t xml:space="preserve"> en 2015</w:t>
      </w:r>
      <w:r w:rsidR="00C244D7" w:rsidRPr="008653E6">
        <w:t xml:space="preserve"> et</w:t>
      </w:r>
      <w:r w:rsidR="00930C85">
        <w:t xml:space="preserve"> en cours d</w:t>
      </w:r>
      <w:r w:rsidR="00D3135C">
        <w:t>'</w:t>
      </w:r>
      <w:r w:rsidR="00930C85">
        <w:t>évaluation.</w:t>
      </w:r>
      <w:r w:rsidR="00C244D7" w:rsidRPr="008653E6">
        <w:t xml:space="preserve"> En 2013, il est prévu de mettre en place l</w:t>
      </w:r>
      <w:r w:rsidR="00D3135C">
        <w:t>'</w:t>
      </w:r>
      <w:r w:rsidR="00C244D7" w:rsidRPr="008653E6">
        <w:t>intégralité du programme SMPT pour assurer la formation du personn</w:t>
      </w:r>
      <w:r w:rsidR="00930C85">
        <w:t>el d</w:t>
      </w:r>
      <w:r w:rsidR="00D3135C">
        <w:t>'</w:t>
      </w:r>
      <w:r w:rsidR="00930C85">
        <w:t>une A</w:t>
      </w:r>
      <w:r w:rsidR="00C244D7" w:rsidRPr="008653E6">
        <w:t>utorité de régulation du spectre d</w:t>
      </w:r>
      <w:r w:rsidR="00D3135C">
        <w:t>'</w:t>
      </w:r>
      <w:r w:rsidR="00C244D7" w:rsidRPr="008653E6">
        <w:t>un pays en développement.</w:t>
      </w:r>
    </w:p>
    <w:p w:rsidR="00C244D7" w:rsidRPr="008653E6" w:rsidRDefault="00C244D7" w:rsidP="00930C85">
      <w:pPr>
        <w:pStyle w:val="Heading3"/>
        <w:rPr>
          <w:lang w:val="fr-CH"/>
        </w:rPr>
      </w:pPr>
      <w:bookmarkStart w:id="144" w:name="_Toc426463282"/>
      <w:r w:rsidRPr="008653E6">
        <w:rPr>
          <w:lang w:val="fr-CH"/>
        </w:rPr>
        <w:t>8.4.2</w:t>
      </w:r>
      <w:r w:rsidRPr="008653E6">
        <w:rPr>
          <w:lang w:val="fr-CH"/>
        </w:rPr>
        <w:tab/>
        <w:t>Coopération avec l</w:t>
      </w:r>
      <w:r w:rsidR="00D3135C">
        <w:rPr>
          <w:lang w:val="fr-CH"/>
        </w:rPr>
        <w:t>'</w:t>
      </w:r>
      <w:r w:rsidRPr="008653E6">
        <w:rPr>
          <w:lang w:val="fr-CH"/>
        </w:rPr>
        <w:t>UIT-T</w:t>
      </w:r>
      <w:bookmarkEnd w:id="144"/>
    </w:p>
    <w:p w:rsidR="00C244D7" w:rsidRPr="008653E6" w:rsidRDefault="00C244D7" w:rsidP="00C244D7">
      <w:r w:rsidRPr="008653E6">
        <w:t>Outre les changements climatiques et les communications d</w:t>
      </w:r>
      <w:r w:rsidR="00D3135C">
        <w:t>'</w:t>
      </w:r>
      <w:r w:rsidRPr="008653E6">
        <w:t>urgence, diverses questions présentent un intérêt mutuel pour l</w:t>
      </w:r>
      <w:r w:rsidR="00D3135C">
        <w:t>'</w:t>
      </w:r>
      <w:r w:rsidRPr="008653E6">
        <w:t>UIT-R et l</w:t>
      </w:r>
      <w:r w:rsidR="00D3135C">
        <w:t>'</w:t>
      </w:r>
      <w:r w:rsidRPr="008653E6">
        <w:t>UIT-T, notamment les IMT à l</w:t>
      </w:r>
      <w:r w:rsidR="00D3135C">
        <w:t>'</w:t>
      </w:r>
      <w:r w:rsidRPr="008653E6">
        <w:t>horizon 2020, les effets de l</w:t>
      </w:r>
      <w:r w:rsidR="00D3135C">
        <w:t>'</w:t>
      </w:r>
      <w:r w:rsidRPr="008653E6">
        <w:t>exposition des personnes aux fréquences radioélectriques, les systèmes de télécommunication à courants porteurs en ligne, les systèmes de transport intelligents, la politique commune en matière de brevets et les droits de propriété intellectuelle et l</w:t>
      </w:r>
      <w:r w:rsidR="00D3135C">
        <w:t>'</w:t>
      </w:r>
      <w:r w:rsidRPr="008653E6">
        <w:t>accessibilité des supports audiovisuels.</w:t>
      </w:r>
    </w:p>
    <w:p w:rsidR="00C244D7" w:rsidRPr="008653E6" w:rsidRDefault="00C244D7" w:rsidP="00C244D7">
      <w:pPr>
        <w:rPr>
          <w:color w:val="000000"/>
        </w:rPr>
      </w:pPr>
      <w:r w:rsidRPr="008653E6">
        <w:rPr>
          <w:color w:val="000000"/>
        </w:rPr>
        <w:t>La CE 6 a constitué un nouveau Groupe du Rapporteur intersectoriel (GRI) sur les systèmes de radiodiffusion large bande intégrés (IBB), en plus des deux GRI actuels sur l</w:t>
      </w:r>
      <w:r w:rsidR="00D3135C">
        <w:rPr>
          <w:color w:val="000000"/>
        </w:rPr>
        <w:t>'</w:t>
      </w:r>
      <w:r w:rsidRPr="008653E6">
        <w:rPr>
          <w:color w:val="000000"/>
        </w:rPr>
        <w:t>accessibilité des supports audiovisuels (GRI-AVA) et les évaluations de la qualité audiovisuelle (GRI-AVQA).</w:t>
      </w:r>
    </w:p>
    <w:p w:rsidR="00C244D7" w:rsidRPr="008653E6" w:rsidRDefault="00C244D7" w:rsidP="00C244D7">
      <w:pPr>
        <w:rPr>
          <w:lang w:val="fr-CH"/>
        </w:rPr>
      </w:pPr>
      <w:r w:rsidRPr="008653E6">
        <w:t>Il reste nécessaire d</w:t>
      </w:r>
      <w:r w:rsidR="00D3135C">
        <w:t>'</w:t>
      </w:r>
      <w:r w:rsidRPr="008653E6">
        <w:t>établir une coordination étroite sur les diverses questions actuellement examinées par l</w:t>
      </w:r>
      <w:r w:rsidR="00D3135C">
        <w:t>'</w:t>
      </w:r>
      <w:r w:rsidRPr="008653E6">
        <w:t>UIT-T qui empiètent sur des questions de radiocommunication, afin de réduire les risques de double emploi et de chevauchement des travaux menés par les deux Secteurs.</w:t>
      </w:r>
    </w:p>
    <w:p w:rsidR="00C244D7" w:rsidRPr="008653E6" w:rsidRDefault="00C244D7" w:rsidP="00930C85">
      <w:pPr>
        <w:pStyle w:val="Heading2"/>
        <w:rPr>
          <w:lang w:val="fr-CH"/>
        </w:rPr>
      </w:pPr>
      <w:bookmarkStart w:id="145" w:name="_Toc426463283"/>
      <w:r w:rsidRPr="008653E6">
        <w:rPr>
          <w:lang w:val="fr-CH"/>
        </w:rPr>
        <w:t>8.4.3</w:t>
      </w:r>
      <w:r w:rsidRPr="008653E6">
        <w:rPr>
          <w:lang w:val="fr-CH"/>
        </w:rPr>
        <w:tab/>
        <w:t xml:space="preserve">Coopération avec </w:t>
      </w:r>
      <w:r w:rsidR="00930C85">
        <w:rPr>
          <w:lang w:val="fr-CH"/>
        </w:rPr>
        <w:t>d</w:t>
      </w:r>
      <w:r w:rsidRPr="008653E6">
        <w:rPr>
          <w:lang w:val="fr-CH"/>
        </w:rPr>
        <w:t>es organisations internationales et régionales</w:t>
      </w:r>
      <w:bookmarkEnd w:id="145"/>
    </w:p>
    <w:p w:rsidR="00C244D7" w:rsidRPr="008653E6" w:rsidRDefault="00930C85" w:rsidP="00C244D7">
      <w:pPr>
        <w:rPr>
          <w:lang w:val="fr-CH"/>
        </w:rPr>
      </w:pPr>
      <w:r>
        <w:rPr>
          <w:lang w:val="fr-CH"/>
        </w:rPr>
        <w:t>L</w:t>
      </w:r>
      <w:r w:rsidR="00C244D7" w:rsidRPr="008653E6">
        <w:rPr>
          <w:lang w:val="fr-CH"/>
        </w:rPr>
        <w:t>e Bureau a maintenu une coopération étroite avec de nombreuses organisations internationales ou régionales, avec les objectifs suivants: 1) encourager le dialogue entre organismes ayant des intérêts communs; 2) faciliter la coordination afin de mieux préparer des manifestations comme les CMR; et 3) tenir l</w:t>
      </w:r>
      <w:r w:rsidR="00D3135C">
        <w:rPr>
          <w:lang w:val="fr-CH"/>
        </w:rPr>
        <w:t>'</w:t>
      </w:r>
      <w:r w:rsidR="00C244D7" w:rsidRPr="008653E6">
        <w:rPr>
          <w:lang w:val="fr-CH"/>
        </w:rPr>
        <w:t>UIT-R informé des activités pertinentes menées par d</w:t>
      </w:r>
      <w:r w:rsidR="00D3135C">
        <w:rPr>
          <w:lang w:val="fr-CH"/>
        </w:rPr>
        <w:t>'</w:t>
      </w:r>
      <w:r w:rsidR="00C244D7" w:rsidRPr="008653E6">
        <w:rPr>
          <w:lang w:val="fr-CH"/>
        </w:rPr>
        <w:t>autres organisations</w:t>
      </w:r>
      <w:r>
        <w:rPr>
          <w:lang w:val="fr-CH"/>
        </w:rPr>
        <w:t>,</w:t>
      </w:r>
      <w:r w:rsidR="00C244D7" w:rsidRPr="008653E6">
        <w:rPr>
          <w:lang w:val="fr-CH"/>
        </w:rPr>
        <w:t xml:space="preserve"> afin de faciliter la planification des programmes de travail.</w:t>
      </w:r>
    </w:p>
    <w:p w:rsidR="00C244D7" w:rsidRPr="008653E6" w:rsidRDefault="00C244D7" w:rsidP="00C244D7">
      <w:r w:rsidRPr="008653E6">
        <w:t>Le BR continue de travailler en coopération étroite avec les organisations internationales ou régionales s</w:t>
      </w:r>
      <w:r w:rsidR="00D3135C">
        <w:t>'</w:t>
      </w:r>
      <w:r w:rsidRPr="008653E6">
        <w:t>occupant de l</w:t>
      </w:r>
      <w:r w:rsidR="00D3135C">
        <w:t>'</w:t>
      </w:r>
      <w:r w:rsidRPr="008653E6">
        <w:t>utilisation du spectre (APT, ASMG, UAT, CEPT, CITEL et RCC) ou, plus généralement, de l</w:t>
      </w:r>
      <w:r w:rsidR="00D3135C">
        <w:t>'</w:t>
      </w:r>
      <w:r w:rsidRPr="008653E6">
        <w:t>utilisation des services de radiocommunication (ICTO, ITSO, ESOA, GVF, GSMA, UER, par exemple), en organisant et en faisant mieux connaître des manifestations destinées à renforcer les capacités concernant l</w:t>
      </w:r>
      <w:r w:rsidR="00D3135C">
        <w:t>'</w:t>
      </w:r>
      <w:r w:rsidRPr="008653E6">
        <w:t>utilisation du RR, y compris les séminaires WRS et RRS, comme indiqué au § 7, et en y participant.</w:t>
      </w:r>
    </w:p>
    <w:p w:rsidR="00C244D7" w:rsidRPr="008653E6" w:rsidRDefault="00C244D7" w:rsidP="00930C85">
      <w:pPr>
        <w:rPr>
          <w:lang w:val="fr-CH"/>
        </w:rPr>
      </w:pPr>
      <w:r w:rsidRPr="008653E6">
        <w:rPr>
          <w:lang w:val="fr-CH"/>
        </w:rPr>
        <w:t>Conformément à la Résolution UIT-R 9-4, la liaison a été renforcée avec plusieurs autres organisations de normalisation. A titre d</w:t>
      </w:r>
      <w:r w:rsidR="00D3135C">
        <w:rPr>
          <w:lang w:val="fr-CH"/>
        </w:rPr>
        <w:t>'</w:t>
      </w:r>
      <w:r w:rsidRPr="008653E6">
        <w:rPr>
          <w:lang w:val="fr-CH"/>
        </w:rPr>
        <w:t>exemple, un mémorandum d</w:t>
      </w:r>
      <w:r w:rsidR="00D3135C">
        <w:rPr>
          <w:lang w:val="fr-CH"/>
        </w:rPr>
        <w:t>'</w:t>
      </w:r>
      <w:r w:rsidRPr="008653E6">
        <w:rPr>
          <w:lang w:val="fr-CH"/>
        </w:rPr>
        <w:t>accord a été élaboré entre l</w:t>
      </w:r>
      <w:r w:rsidR="00D3135C">
        <w:rPr>
          <w:lang w:val="fr-CH"/>
        </w:rPr>
        <w:t>'</w:t>
      </w:r>
      <w:r w:rsidRPr="008653E6">
        <w:rPr>
          <w:lang w:val="fr-CH"/>
        </w:rPr>
        <w:t>UIT et l</w:t>
      </w:r>
      <w:r w:rsidR="00D3135C">
        <w:rPr>
          <w:lang w:val="fr-CH"/>
        </w:rPr>
        <w:t>'</w:t>
      </w:r>
      <w:r w:rsidRPr="008653E6">
        <w:rPr>
          <w:lang w:val="fr-CH"/>
        </w:rPr>
        <w:t>ARIB, la CCSA, la TTA et le TTC, afin d</w:t>
      </w:r>
      <w:r w:rsidR="00D3135C">
        <w:rPr>
          <w:lang w:val="fr-CH"/>
        </w:rPr>
        <w:t>'</w:t>
      </w:r>
      <w:r w:rsidRPr="008653E6">
        <w:rPr>
          <w:lang w:val="fr-CH"/>
        </w:rPr>
        <w:t>harmoniser les activités de normalisation, et les mémorandums d</w:t>
      </w:r>
      <w:r w:rsidR="00D3135C">
        <w:rPr>
          <w:lang w:val="fr-CH"/>
        </w:rPr>
        <w:t>'</w:t>
      </w:r>
      <w:r w:rsidRPr="008653E6">
        <w:rPr>
          <w:lang w:val="fr-CH"/>
        </w:rPr>
        <w:t>accord existants entre l</w:t>
      </w:r>
      <w:r w:rsidR="00D3135C">
        <w:rPr>
          <w:lang w:val="fr-CH"/>
        </w:rPr>
        <w:t>'</w:t>
      </w:r>
      <w:r w:rsidRPr="008653E6">
        <w:rPr>
          <w:lang w:val="fr-CH"/>
        </w:rPr>
        <w:t>UIT-R et l</w:t>
      </w:r>
      <w:r w:rsidR="00D3135C">
        <w:rPr>
          <w:lang w:val="fr-CH"/>
        </w:rPr>
        <w:t>'</w:t>
      </w:r>
      <w:r w:rsidRPr="008653E6">
        <w:rPr>
          <w:lang w:val="fr-CH"/>
        </w:rPr>
        <w:t>UIT-T</w:t>
      </w:r>
      <w:r w:rsidR="008B6DCF">
        <w:rPr>
          <w:lang w:val="fr-CH"/>
        </w:rPr>
        <w:t>,</w:t>
      </w:r>
      <w:r w:rsidR="00930C85" w:rsidRPr="00930C85">
        <w:rPr>
          <w:lang w:val="fr-CH"/>
        </w:rPr>
        <w:t xml:space="preserve"> </w:t>
      </w:r>
      <w:r w:rsidR="00930C85" w:rsidRPr="008653E6">
        <w:rPr>
          <w:lang w:val="fr-CH"/>
        </w:rPr>
        <w:t>d</w:t>
      </w:r>
      <w:r w:rsidR="00D3135C">
        <w:rPr>
          <w:lang w:val="fr-CH"/>
        </w:rPr>
        <w:t>'</w:t>
      </w:r>
      <w:r w:rsidR="00930C85" w:rsidRPr="008653E6">
        <w:rPr>
          <w:lang w:val="fr-CH"/>
        </w:rPr>
        <w:t>une part,</w:t>
      </w:r>
      <w:r w:rsidR="00930C85">
        <w:rPr>
          <w:lang w:val="fr-CH"/>
        </w:rPr>
        <w:t xml:space="preserve"> et</w:t>
      </w:r>
      <w:r w:rsidRPr="008653E6">
        <w:rPr>
          <w:lang w:val="fr-CH"/>
        </w:rPr>
        <w:t xml:space="preserve"> l</w:t>
      </w:r>
      <w:r w:rsidR="00D3135C">
        <w:rPr>
          <w:lang w:val="fr-CH"/>
        </w:rPr>
        <w:t>'</w:t>
      </w:r>
      <w:r w:rsidRPr="008653E6">
        <w:rPr>
          <w:lang w:val="fr-CH"/>
        </w:rPr>
        <w:t>ETSI</w:t>
      </w:r>
      <w:r w:rsidR="008B6DCF">
        <w:rPr>
          <w:lang w:val="fr-CH"/>
        </w:rPr>
        <w:t>,</w:t>
      </w:r>
      <w:r w:rsidR="00930C85" w:rsidRPr="00930C85">
        <w:rPr>
          <w:lang w:val="fr-CH"/>
        </w:rPr>
        <w:t xml:space="preserve"> </w:t>
      </w:r>
      <w:r w:rsidR="00930C85">
        <w:rPr>
          <w:lang w:val="fr-CH"/>
        </w:rPr>
        <w:t>d</w:t>
      </w:r>
      <w:r w:rsidR="00D3135C">
        <w:rPr>
          <w:lang w:val="fr-CH"/>
        </w:rPr>
        <w:t>'</w:t>
      </w:r>
      <w:r w:rsidR="00930C85">
        <w:rPr>
          <w:lang w:val="fr-CH"/>
        </w:rPr>
        <w:t>autre part</w:t>
      </w:r>
      <w:r w:rsidRPr="008653E6">
        <w:rPr>
          <w:lang w:val="fr-CH"/>
        </w:rPr>
        <w:t>, ont été réexaminés en vue d</w:t>
      </w:r>
      <w:r w:rsidR="00D3135C">
        <w:rPr>
          <w:lang w:val="fr-CH"/>
        </w:rPr>
        <w:t>'</w:t>
      </w:r>
      <w:r w:rsidRPr="008653E6">
        <w:rPr>
          <w:lang w:val="fr-CH"/>
        </w:rPr>
        <w:t>être regroupés dans un seul et même mémorandum d</w:t>
      </w:r>
      <w:r w:rsidR="00D3135C">
        <w:rPr>
          <w:lang w:val="fr-CH"/>
        </w:rPr>
        <w:t>'</w:t>
      </w:r>
      <w:r w:rsidRPr="008653E6">
        <w:rPr>
          <w:lang w:val="fr-CH"/>
        </w:rPr>
        <w:t>accord UIT/ETSI.</w:t>
      </w:r>
    </w:p>
    <w:p w:rsidR="00C244D7" w:rsidRPr="008653E6" w:rsidRDefault="00C244D7" w:rsidP="002A55C1">
      <w:pPr>
        <w:rPr>
          <w:lang w:val="fr-CH"/>
        </w:rPr>
      </w:pPr>
      <w:r w:rsidRPr="008653E6">
        <w:rPr>
          <w:lang w:val="fr-CH"/>
        </w:rPr>
        <w:t>Une attention particulière continue d</w:t>
      </w:r>
      <w:r w:rsidR="00D3135C">
        <w:rPr>
          <w:lang w:val="fr-CH"/>
        </w:rPr>
        <w:t>'</w:t>
      </w:r>
      <w:r w:rsidRPr="008653E6">
        <w:rPr>
          <w:lang w:val="fr-CH"/>
        </w:rPr>
        <w:t>être accordée aux activités du Groupe de collaboration pour la normalisation mondiale (GSC), auxquelles l</w:t>
      </w:r>
      <w:r w:rsidR="00D3135C">
        <w:rPr>
          <w:lang w:val="fr-CH"/>
        </w:rPr>
        <w:t>'</w:t>
      </w:r>
      <w:r w:rsidRPr="008653E6">
        <w:rPr>
          <w:lang w:val="fr-CH"/>
        </w:rPr>
        <w:t>UIT-R/BR et l</w:t>
      </w:r>
      <w:r w:rsidR="00D3135C">
        <w:rPr>
          <w:lang w:val="fr-CH"/>
        </w:rPr>
        <w:t>'</w:t>
      </w:r>
      <w:r w:rsidRPr="008653E6">
        <w:rPr>
          <w:lang w:val="fr-CH"/>
        </w:rPr>
        <w:t>UIT-T/TSB ont contribué chaque année, et l</w:t>
      </w:r>
      <w:r w:rsidR="00D3135C">
        <w:rPr>
          <w:lang w:val="fr-CH"/>
        </w:rPr>
        <w:t>'</w:t>
      </w:r>
      <w:r w:rsidRPr="008653E6">
        <w:rPr>
          <w:lang w:val="fr-CH"/>
        </w:rPr>
        <w:t xml:space="preserve">UIT a organisé la réunion du </w:t>
      </w:r>
      <w:r w:rsidRPr="008653E6">
        <w:t xml:space="preserve">GSC </w:t>
      </w:r>
      <w:r w:rsidRPr="008653E6">
        <w:rPr>
          <w:lang w:val="fr-CH"/>
        </w:rPr>
        <w:t>en juillet 2015. La participation aux projets de partenariat 3G et aux travaux de l</w:t>
      </w:r>
      <w:r w:rsidR="00D3135C">
        <w:rPr>
          <w:lang w:val="fr-CH"/>
        </w:rPr>
        <w:t>'</w:t>
      </w:r>
      <w:r w:rsidRPr="008653E6">
        <w:rPr>
          <w:lang w:val="fr-CH"/>
        </w:rPr>
        <w:t>IEEE s</w:t>
      </w:r>
      <w:r w:rsidR="00D3135C">
        <w:rPr>
          <w:lang w:val="fr-CH"/>
        </w:rPr>
        <w:t>'</w:t>
      </w:r>
      <w:r w:rsidRPr="008653E6">
        <w:rPr>
          <w:lang w:val="fr-CH"/>
        </w:rPr>
        <w:t>est poursuivie, compte tenu de l</w:t>
      </w:r>
      <w:r w:rsidR="00D3135C">
        <w:rPr>
          <w:lang w:val="fr-CH"/>
        </w:rPr>
        <w:t>'</w:t>
      </w:r>
      <w:r w:rsidRPr="008653E6">
        <w:rPr>
          <w:lang w:val="fr-CH"/>
        </w:rPr>
        <w:t>importance et de l</w:t>
      </w:r>
      <w:r w:rsidR="00D3135C">
        <w:rPr>
          <w:lang w:val="fr-CH"/>
        </w:rPr>
        <w:t>'</w:t>
      </w:r>
      <w:r w:rsidRPr="008653E6">
        <w:rPr>
          <w:lang w:val="fr-CH"/>
        </w:rPr>
        <w:t>intérêt de ces projets pour les travaux de la Commission d</w:t>
      </w:r>
      <w:r w:rsidR="00D3135C">
        <w:rPr>
          <w:lang w:val="fr-CH"/>
        </w:rPr>
        <w:t>'</w:t>
      </w:r>
      <w:r w:rsidRPr="008653E6">
        <w:rPr>
          <w:lang w:val="fr-CH"/>
        </w:rPr>
        <w:t>études 5. Parmi les autres domaines importants de liaison avec les activités des commissions d</w:t>
      </w:r>
      <w:r w:rsidR="00D3135C">
        <w:rPr>
          <w:lang w:val="fr-CH"/>
        </w:rPr>
        <w:t>'</w:t>
      </w:r>
      <w:r w:rsidRPr="008653E6">
        <w:rPr>
          <w:lang w:val="fr-CH"/>
        </w:rPr>
        <w:t>études figurent la liaison avec l</w:t>
      </w:r>
      <w:r w:rsidR="00D3135C">
        <w:rPr>
          <w:lang w:val="fr-CH"/>
        </w:rPr>
        <w:t>'</w:t>
      </w:r>
      <w:r w:rsidRPr="008653E6">
        <w:rPr>
          <w:lang w:val="fr-CH"/>
        </w:rPr>
        <w:t>Organisation météorologique mondiale (par le biais de la CE 7), avec le CISPR (par le biais de la CE 1), avec l</w:t>
      </w:r>
      <w:r w:rsidR="00D3135C">
        <w:rPr>
          <w:lang w:val="fr-CH"/>
        </w:rPr>
        <w:t>'</w:t>
      </w:r>
      <w:r w:rsidRPr="008653E6">
        <w:rPr>
          <w:lang w:val="fr-CH"/>
        </w:rPr>
        <w:t>Organisation mondiale de la santé (par le biais des CE 3 et 6), avec le Groupe de coordination des fréquences spatiales (par le biais de la CE 7) et avec l</w:t>
      </w:r>
      <w:r w:rsidR="00D3135C">
        <w:rPr>
          <w:lang w:val="fr-CH"/>
        </w:rPr>
        <w:t>'</w:t>
      </w:r>
      <w:r w:rsidRPr="008653E6">
        <w:rPr>
          <w:lang w:val="fr-CH"/>
        </w:rPr>
        <w:t>Union européenne de radio-télévision (par le biais des CE 3 et 6).</w:t>
      </w:r>
    </w:p>
    <w:p w:rsidR="00C244D7" w:rsidRPr="008653E6" w:rsidRDefault="00C244D7" w:rsidP="00C244D7">
      <w:pPr>
        <w:rPr>
          <w:lang w:val="fr-CH"/>
        </w:rPr>
      </w:pPr>
      <w:r w:rsidRPr="008653E6">
        <w:rPr>
          <w:lang w:val="fr-CH"/>
        </w:rPr>
        <w:t>Le BR a assuré une liaison et coopéré avec le Comité des utilisations pacifiques de l</w:t>
      </w:r>
      <w:r w:rsidR="00D3135C">
        <w:rPr>
          <w:lang w:val="fr-CH"/>
        </w:rPr>
        <w:t>'</w:t>
      </w:r>
      <w:r w:rsidRPr="008653E6">
        <w:rPr>
          <w:lang w:val="fr-CH"/>
        </w:rPr>
        <w:t>espace extra</w:t>
      </w:r>
      <w:r w:rsidRPr="008653E6">
        <w:rPr>
          <w:lang w:val="fr-CH"/>
        </w:rPr>
        <w:noBreakHyphen/>
        <w:t>atmosphérique des Nations Unies (UN-COPUOS), l</w:t>
      </w:r>
      <w:r w:rsidR="00D3135C">
        <w:rPr>
          <w:lang w:val="fr-CH"/>
        </w:rPr>
        <w:t>'</w:t>
      </w:r>
      <w:r w:rsidRPr="008653E6">
        <w:rPr>
          <w:lang w:val="fr-CH"/>
        </w:rPr>
        <w:t>Organisation maritime internationale (OMI), l</w:t>
      </w:r>
      <w:r w:rsidR="00D3135C">
        <w:rPr>
          <w:lang w:val="fr-CH"/>
        </w:rPr>
        <w:t>'</w:t>
      </w:r>
      <w:r w:rsidRPr="008653E6">
        <w:rPr>
          <w:lang w:val="fr-CH"/>
        </w:rPr>
        <w:t>Organisation internationale des télécommunications mobiles par satellite (IMSO), l</w:t>
      </w:r>
      <w:r w:rsidR="00D3135C">
        <w:rPr>
          <w:lang w:val="fr-CH"/>
        </w:rPr>
        <w:t>'</w:t>
      </w:r>
      <w:r w:rsidRPr="008653E6">
        <w:rPr>
          <w:lang w:val="fr-CH"/>
        </w:rPr>
        <w:t>Organisation internationale des télécommunications par satellite (ITSO), COSPAS-SARSAT, le CICR et l</w:t>
      </w:r>
      <w:r w:rsidR="00D3135C">
        <w:rPr>
          <w:lang w:val="fr-CH"/>
        </w:rPr>
        <w:t>'</w:t>
      </w:r>
      <w:r w:rsidRPr="008653E6">
        <w:rPr>
          <w:lang w:val="fr-CH"/>
        </w:rPr>
        <w:t>OACI en ce qui concerne l</w:t>
      </w:r>
      <w:r w:rsidR="00D3135C">
        <w:rPr>
          <w:lang w:val="fr-CH"/>
        </w:rPr>
        <w:t>'</w:t>
      </w:r>
      <w:r w:rsidRPr="008653E6">
        <w:rPr>
          <w:lang w:val="fr-CH"/>
        </w:rPr>
        <w:t>application des textes de l</w:t>
      </w:r>
      <w:r w:rsidR="00D3135C">
        <w:rPr>
          <w:lang w:val="fr-CH"/>
        </w:rPr>
        <w:t>'</w:t>
      </w:r>
      <w:r w:rsidRPr="008653E6">
        <w:rPr>
          <w:lang w:val="fr-CH"/>
        </w:rPr>
        <w:t>UIT ayant valeur de traité. Des experts du BR ont également participé à diverses réunions de ces organisations.</w:t>
      </w:r>
    </w:p>
    <w:p w:rsidR="00C244D7" w:rsidRPr="008653E6" w:rsidRDefault="00C244D7" w:rsidP="00C244D7">
      <w:pPr>
        <w:rPr>
          <w:lang w:val="fr-CH"/>
        </w:rPr>
      </w:pPr>
      <w:r w:rsidRPr="008653E6">
        <w:rPr>
          <w:lang w:val="fr-CH"/>
        </w:rPr>
        <w:t>Le BR a également assuré une liaison et coopéré avec l</w:t>
      </w:r>
      <w:r w:rsidR="00D3135C">
        <w:rPr>
          <w:lang w:val="fr-CH"/>
        </w:rPr>
        <w:t>'</w:t>
      </w:r>
      <w:r w:rsidRPr="008653E6">
        <w:rPr>
          <w:lang w:val="fr-CH"/>
        </w:rPr>
        <w:t>OMI, l</w:t>
      </w:r>
      <w:r w:rsidR="00D3135C">
        <w:rPr>
          <w:lang w:val="fr-CH"/>
        </w:rPr>
        <w:t>'</w:t>
      </w:r>
      <w:r w:rsidRPr="008653E6">
        <w:rPr>
          <w:lang w:val="fr-CH"/>
        </w:rPr>
        <w:t>OMM, la CEPT, la CITEL, l</w:t>
      </w:r>
      <w:r w:rsidR="00D3135C">
        <w:rPr>
          <w:lang w:val="fr-CH"/>
        </w:rPr>
        <w:t>'</w:t>
      </w:r>
      <w:r w:rsidRPr="008653E6">
        <w:rPr>
          <w:lang w:val="fr-CH"/>
        </w:rPr>
        <w:t>APT, l</w:t>
      </w:r>
      <w:r w:rsidR="00D3135C">
        <w:rPr>
          <w:lang w:val="fr-CH"/>
        </w:rPr>
        <w:t>'</w:t>
      </w:r>
      <w:r w:rsidRPr="008653E6">
        <w:rPr>
          <w:lang w:val="fr-CH"/>
        </w:rPr>
        <w:t>ASMG, l</w:t>
      </w:r>
      <w:r w:rsidR="00D3135C">
        <w:rPr>
          <w:lang w:val="fr-CH"/>
        </w:rPr>
        <w:t>'</w:t>
      </w:r>
      <w:r w:rsidRPr="008653E6">
        <w:rPr>
          <w:lang w:val="fr-CH"/>
        </w:rPr>
        <w:t>UAT, la RCC, l</w:t>
      </w:r>
      <w:r w:rsidR="00D3135C">
        <w:rPr>
          <w:lang w:val="fr-CH"/>
        </w:rPr>
        <w:t>'</w:t>
      </w:r>
      <w:r w:rsidRPr="008653E6">
        <w:rPr>
          <w:lang w:val="fr-CH"/>
        </w:rPr>
        <w:t>UER, l</w:t>
      </w:r>
      <w:r w:rsidR="00D3135C">
        <w:rPr>
          <w:lang w:val="fr-CH"/>
        </w:rPr>
        <w:t>'</w:t>
      </w:r>
      <w:r w:rsidRPr="008653E6">
        <w:rPr>
          <w:lang w:val="fr-CH"/>
        </w:rPr>
        <w:t>ABU, l</w:t>
      </w:r>
      <w:r w:rsidR="00D3135C">
        <w:rPr>
          <w:lang w:val="fr-CH"/>
        </w:rPr>
        <w:t>'</w:t>
      </w:r>
      <w:r w:rsidRPr="008653E6">
        <w:rPr>
          <w:lang w:val="fr-CH"/>
        </w:rPr>
        <w:t>ASBU et les Unions de radiodiffusion mondiales pour préparer efficacement la CMR-15. La liaison et la coopération ont été également maintenues avec la CEI, l</w:t>
      </w:r>
      <w:r w:rsidR="00D3135C">
        <w:rPr>
          <w:lang w:val="fr-CH"/>
        </w:rPr>
        <w:t>'</w:t>
      </w:r>
      <w:r w:rsidRPr="008653E6">
        <w:rPr>
          <w:lang w:val="fr-CH"/>
        </w:rPr>
        <w:t>ISO, l</w:t>
      </w:r>
      <w:r w:rsidR="00D3135C">
        <w:rPr>
          <w:lang w:val="fr-CH"/>
        </w:rPr>
        <w:t>'</w:t>
      </w:r>
      <w:r w:rsidRPr="008653E6">
        <w:rPr>
          <w:lang w:val="fr-CH"/>
        </w:rPr>
        <w:t>ETSI et l</w:t>
      </w:r>
      <w:r w:rsidR="00D3135C">
        <w:rPr>
          <w:lang w:val="fr-CH"/>
        </w:rPr>
        <w:t>'</w:t>
      </w:r>
      <w:r w:rsidRPr="008653E6">
        <w:rPr>
          <w:lang w:val="fr-CH"/>
        </w:rPr>
        <w:t>IEEE.</w:t>
      </w:r>
    </w:p>
    <w:p w:rsidR="00C244D7" w:rsidRPr="008653E6" w:rsidRDefault="00C244D7" w:rsidP="00930C85">
      <w:pPr>
        <w:pStyle w:val="Heading2"/>
        <w:rPr>
          <w:lang w:val="fr-CH"/>
        </w:rPr>
      </w:pPr>
      <w:bookmarkStart w:id="146" w:name="_Toc424047605"/>
      <w:bookmarkStart w:id="147" w:name="_Toc426463263"/>
      <w:r w:rsidRPr="008653E6">
        <w:rPr>
          <w:lang w:val="fr-CH"/>
        </w:rPr>
        <w:t>8.5</w:t>
      </w:r>
      <w:r w:rsidRPr="008653E6">
        <w:rPr>
          <w:lang w:val="fr-CH"/>
        </w:rPr>
        <w:tab/>
      </w:r>
      <w:bookmarkEnd w:id="146"/>
      <w:bookmarkEnd w:id="147"/>
      <w:r w:rsidR="00930C85">
        <w:rPr>
          <w:lang w:val="fr-CH"/>
        </w:rPr>
        <w:t>Sensibilisation des Membres</w:t>
      </w:r>
    </w:p>
    <w:p w:rsidR="00C244D7" w:rsidRPr="008653E6" w:rsidRDefault="00C244D7" w:rsidP="00930C85">
      <w:r w:rsidRPr="008653E6">
        <w:rPr>
          <w:szCs w:val="24"/>
        </w:rPr>
        <w:t>Le Tableau 8.5</w:t>
      </w:r>
      <w:r w:rsidR="00930C85">
        <w:rPr>
          <w:szCs w:val="24"/>
        </w:rPr>
        <w:t xml:space="preserve">.1 </w:t>
      </w:r>
      <w:r w:rsidRPr="008653E6">
        <w:rPr>
          <w:szCs w:val="24"/>
        </w:rPr>
        <w:t>indique l</w:t>
      </w:r>
      <w:r w:rsidR="00D3135C">
        <w:rPr>
          <w:szCs w:val="24"/>
        </w:rPr>
        <w:t>'</w:t>
      </w:r>
      <w:r w:rsidRPr="008653E6">
        <w:rPr>
          <w:szCs w:val="24"/>
        </w:rPr>
        <w:t>évolution</w:t>
      </w:r>
      <w:r w:rsidRPr="008653E6">
        <w:t xml:space="preserve"> du nombre de Membres du Secteur de l</w:t>
      </w:r>
      <w:r w:rsidR="00D3135C">
        <w:t>'</w:t>
      </w:r>
      <w:r w:rsidRPr="008653E6">
        <w:t>UIT-R, d</w:t>
      </w:r>
      <w:r w:rsidR="00D3135C">
        <w:t>'</w:t>
      </w:r>
      <w:r w:rsidRPr="008653E6">
        <w:t>Associés et d</w:t>
      </w:r>
      <w:r w:rsidR="00D3135C">
        <w:t>'</w:t>
      </w:r>
      <w:r w:rsidRPr="008653E6">
        <w:t>établissements universitaires</w:t>
      </w:r>
      <w:r w:rsidR="00930C85">
        <w:t xml:space="preserve"> ayant</w:t>
      </w:r>
      <w:r w:rsidRPr="008653E6">
        <w:t xml:space="preserve"> particip</w:t>
      </w:r>
      <w:r w:rsidR="00930C85">
        <w:t>é</w:t>
      </w:r>
      <w:r w:rsidRPr="008653E6">
        <w:t xml:space="preserve"> aux travaux de ce Secteur</w:t>
      </w:r>
      <w:r w:rsidR="00930C85">
        <w:t xml:space="preserve"> au cours de la période 2012</w:t>
      </w:r>
      <w:r w:rsidR="00930C85">
        <w:noBreakHyphen/>
      </w:r>
      <w:r w:rsidRPr="008653E6">
        <w:t>2015.</w:t>
      </w:r>
    </w:p>
    <w:p w:rsidR="00C244D7" w:rsidRPr="008653E6" w:rsidRDefault="00C244D7" w:rsidP="002A55C1">
      <w:pPr>
        <w:pStyle w:val="TableNoBR"/>
      </w:pPr>
      <w:r w:rsidRPr="008653E6">
        <w:t>TABLEAU 8.5.1</w:t>
      </w:r>
    </w:p>
    <w:p w:rsidR="00C244D7" w:rsidRPr="008653E6" w:rsidRDefault="00C244D7" w:rsidP="002A55C1">
      <w:pPr>
        <w:pStyle w:val="TabletitleBR"/>
      </w:pPr>
      <w:r w:rsidRPr="008653E6">
        <w:t>Evolution du nombre de Membres du Secteur de l</w:t>
      </w:r>
      <w:r w:rsidR="00D3135C">
        <w:t>'</w:t>
      </w:r>
      <w:r w:rsidRPr="008653E6">
        <w:t>UIT-R depuis 2012</w:t>
      </w:r>
    </w:p>
    <w:tbl>
      <w:tblPr>
        <w:tblW w:w="8292" w:type="dxa"/>
        <w:jc w:val="center"/>
        <w:tblLook w:val="04A0" w:firstRow="1" w:lastRow="0" w:firstColumn="1" w:lastColumn="0" w:noHBand="0" w:noVBand="1"/>
      </w:tblPr>
      <w:tblGrid>
        <w:gridCol w:w="1640"/>
        <w:gridCol w:w="960"/>
        <w:gridCol w:w="960"/>
        <w:gridCol w:w="960"/>
        <w:gridCol w:w="960"/>
        <w:gridCol w:w="1373"/>
        <w:gridCol w:w="1439"/>
      </w:tblGrid>
      <w:tr w:rsidR="00930C85" w:rsidRPr="00930C85" w:rsidTr="002A55C1">
        <w:trPr>
          <w:trHeight w:val="315"/>
          <w:jc w:val="center"/>
        </w:trPr>
        <w:tc>
          <w:tcPr>
            <w:tcW w:w="1640" w:type="dxa"/>
            <w:tcBorders>
              <w:bottom w:val="single" w:sz="8" w:space="0" w:color="auto"/>
              <w:right w:val="single" w:sz="8"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fr-CH" w:eastAsia="zh-CN"/>
              </w:rPr>
            </w:pP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2012</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2013</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2015</w:t>
            </w:r>
          </w:p>
        </w:tc>
        <w:tc>
          <w:tcPr>
            <w:tcW w:w="1373" w:type="dxa"/>
            <w:tcBorders>
              <w:top w:val="single" w:sz="8" w:space="0" w:color="auto"/>
              <w:left w:val="nil"/>
              <w:bottom w:val="single" w:sz="8" w:space="0" w:color="auto"/>
              <w:right w:val="single" w:sz="4"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2015/2013</w:t>
            </w:r>
          </w:p>
        </w:tc>
        <w:tc>
          <w:tcPr>
            <w:tcW w:w="1439" w:type="dxa"/>
            <w:tcBorders>
              <w:top w:val="single" w:sz="8" w:space="0" w:color="auto"/>
              <w:left w:val="nil"/>
              <w:bottom w:val="single" w:sz="8" w:space="0" w:color="auto"/>
              <w:right w:val="single" w:sz="8" w:space="0" w:color="auto"/>
            </w:tcBorders>
            <w:shd w:val="clear" w:color="auto" w:fill="auto"/>
            <w:noWrap/>
            <w:vAlign w:val="center"/>
            <w:hideMark/>
          </w:tcPr>
          <w:p w:rsidR="00930C85" w:rsidRPr="00930C85" w:rsidRDefault="00930C85" w:rsidP="00E3472E">
            <w:pPr>
              <w:overflowPunct/>
              <w:autoSpaceDE/>
              <w:autoSpaceDN/>
              <w:adjustRightInd/>
              <w:spacing w:before="0"/>
              <w:jc w:val="center"/>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Augmentation (en %)</w:t>
            </w:r>
          </w:p>
        </w:tc>
      </w:tr>
      <w:tr w:rsidR="00930C85" w:rsidRPr="00930C85" w:rsidTr="002A55C1">
        <w:trPr>
          <w:trHeight w:val="300"/>
          <w:jc w:val="center"/>
        </w:trPr>
        <w:tc>
          <w:tcPr>
            <w:tcW w:w="1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930C85" w:rsidRPr="00930C85" w:rsidRDefault="00930C85" w:rsidP="00930C85">
            <w:pPr>
              <w:overflowPunct/>
              <w:autoSpaceDE/>
              <w:autoSpaceDN/>
              <w:adjustRightInd/>
              <w:spacing w:before="0"/>
              <w:textAlignment w:val="auto"/>
              <w:rPr>
                <w:rFonts w:asciiTheme="majorBidi" w:hAnsiTheme="majorBidi" w:cstheme="majorBidi"/>
                <w:b/>
                <w:bCs/>
                <w:color w:val="000000"/>
                <w:sz w:val="20"/>
                <w:lang w:val="en-US" w:eastAsia="zh-CN"/>
              </w:rPr>
            </w:pPr>
            <w:r w:rsidRPr="00930C85">
              <w:rPr>
                <w:b/>
                <w:bCs/>
                <w:sz w:val="20"/>
              </w:rPr>
              <w:t>Membres du Secteur</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255</w:t>
            </w:r>
          </w:p>
        </w:tc>
        <w:tc>
          <w:tcPr>
            <w:tcW w:w="960" w:type="dxa"/>
            <w:tcBorders>
              <w:top w:val="nil"/>
              <w:left w:val="nil"/>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259</w:t>
            </w:r>
          </w:p>
        </w:tc>
        <w:tc>
          <w:tcPr>
            <w:tcW w:w="960" w:type="dxa"/>
            <w:tcBorders>
              <w:top w:val="nil"/>
              <w:left w:val="nil"/>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262</w:t>
            </w:r>
          </w:p>
        </w:tc>
        <w:tc>
          <w:tcPr>
            <w:tcW w:w="960" w:type="dxa"/>
            <w:tcBorders>
              <w:top w:val="nil"/>
              <w:left w:val="nil"/>
              <w:bottom w:val="single" w:sz="4" w:space="0" w:color="auto"/>
              <w:right w:val="single" w:sz="8"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276</w:t>
            </w:r>
          </w:p>
        </w:tc>
        <w:tc>
          <w:tcPr>
            <w:tcW w:w="1373" w:type="dxa"/>
            <w:tcBorders>
              <w:top w:val="single" w:sz="8" w:space="0" w:color="auto"/>
              <w:left w:val="nil"/>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21</w:t>
            </w:r>
          </w:p>
        </w:tc>
        <w:tc>
          <w:tcPr>
            <w:tcW w:w="1439" w:type="dxa"/>
            <w:tcBorders>
              <w:top w:val="single" w:sz="8" w:space="0" w:color="auto"/>
              <w:left w:val="nil"/>
              <w:bottom w:val="single" w:sz="4" w:space="0" w:color="auto"/>
              <w:right w:val="single" w:sz="8" w:space="0" w:color="auto"/>
            </w:tcBorders>
            <w:shd w:val="clear" w:color="auto" w:fill="auto"/>
            <w:noWrap/>
            <w:vAlign w:val="bottom"/>
            <w:hideMark/>
          </w:tcPr>
          <w:p w:rsidR="00930C85" w:rsidRPr="00930C85" w:rsidRDefault="00930C85" w:rsidP="008B6DCF">
            <w:pPr>
              <w:tabs>
                <w:tab w:val="decimal" w:pos="175"/>
              </w:tabs>
              <w:jc w:val="center"/>
              <w:rPr>
                <w:rFonts w:asciiTheme="majorBidi" w:hAnsiTheme="majorBidi" w:cstheme="majorBidi"/>
                <w:color w:val="000000"/>
                <w:sz w:val="20"/>
              </w:rPr>
            </w:pPr>
            <w:r w:rsidRPr="00930C85">
              <w:rPr>
                <w:rFonts w:asciiTheme="majorBidi" w:hAnsiTheme="majorBidi" w:cstheme="majorBidi"/>
                <w:color w:val="000000"/>
                <w:sz w:val="20"/>
              </w:rPr>
              <w:t>8</w:t>
            </w:r>
            <w:r w:rsidR="008B6DCF">
              <w:rPr>
                <w:rFonts w:asciiTheme="majorBidi" w:hAnsiTheme="majorBidi" w:cstheme="majorBidi"/>
                <w:color w:val="000000"/>
                <w:sz w:val="20"/>
              </w:rPr>
              <w:t>,</w:t>
            </w:r>
            <w:r w:rsidRPr="00930C85">
              <w:rPr>
                <w:rFonts w:asciiTheme="majorBidi" w:hAnsiTheme="majorBidi" w:cstheme="majorBidi"/>
                <w:color w:val="000000"/>
                <w:sz w:val="20"/>
              </w:rPr>
              <w:t>2%</w:t>
            </w:r>
          </w:p>
        </w:tc>
      </w:tr>
      <w:tr w:rsidR="00930C85" w:rsidRPr="00930C85" w:rsidTr="002A55C1">
        <w:trPr>
          <w:trHeight w:val="300"/>
          <w:jc w:val="center"/>
        </w:trPr>
        <w:tc>
          <w:tcPr>
            <w:tcW w:w="16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30C85" w:rsidRPr="00930C85" w:rsidRDefault="00930C85" w:rsidP="00930C85">
            <w:pPr>
              <w:overflowPunct/>
              <w:autoSpaceDE/>
              <w:autoSpaceDN/>
              <w:adjustRightInd/>
              <w:spacing w:before="0"/>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Associés</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21</w:t>
            </w:r>
          </w:p>
        </w:tc>
        <w:tc>
          <w:tcPr>
            <w:tcW w:w="960" w:type="dxa"/>
            <w:tcBorders>
              <w:top w:val="nil"/>
              <w:left w:val="nil"/>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19</w:t>
            </w:r>
          </w:p>
        </w:tc>
        <w:tc>
          <w:tcPr>
            <w:tcW w:w="960" w:type="dxa"/>
            <w:tcBorders>
              <w:top w:val="nil"/>
              <w:left w:val="nil"/>
              <w:bottom w:val="single" w:sz="4" w:space="0" w:color="auto"/>
              <w:right w:val="single" w:sz="8"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22</w:t>
            </w:r>
          </w:p>
        </w:tc>
        <w:tc>
          <w:tcPr>
            <w:tcW w:w="1373" w:type="dxa"/>
            <w:tcBorders>
              <w:top w:val="nil"/>
              <w:left w:val="nil"/>
              <w:bottom w:val="single" w:sz="4" w:space="0" w:color="auto"/>
              <w:right w:val="single" w:sz="4" w:space="0" w:color="auto"/>
            </w:tcBorders>
            <w:shd w:val="clear" w:color="auto" w:fill="auto"/>
            <w:noWrap/>
            <w:vAlign w:val="bottom"/>
            <w:hideMark/>
          </w:tcPr>
          <w:p w:rsidR="00930C85" w:rsidRPr="00930C85" w:rsidRDefault="00930C85" w:rsidP="00930C85">
            <w:pPr>
              <w:jc w:val="center"/>
              <w:rPr>
                <w:rFonts w:asciiTheme="majorBidi" w:hAnsiTheme="majorBidi" w:cstheme="majorBidi"/>
                <w:color w:val="000000"/>
                <w:sz w:val="20"/>
              </w:rPr>
            </w:pPr>
            <w:r w:rsidRPr="00930C85">
              <w:rPr>
                <w:rFonts w:asciiTheme="majorBidi" w:hAnsiTheme="majorBidi" w:cstheme="majorBidi"/>
                <w:color w:val="000000"/>
                <w:sz w:val="20"/>
              </w:rPr>
              <w:t>1</w:t>
            </w:r>
          </w:p>
        </w:tc>
        <w:tc>
          <w:tcPr>
            <w:tcW w:w="1439" w:type="dxa"/>
            <w:tcBorders>
              <w:top w:val="nil"/>
              <w:left w:val="nil"/>
              <w:bottom w:val="single" w:sz="4" w:space="0" w:color="auto"/>
              <w:right w:val="single" w:sz="8" w:space="0" w:color="auto"/>
            </w:tcBorders>
            <w:shd w:val="clear" w:color="auto" w:fill="auto"/>
            <w:noWrap/>
            <w:vAlign w:val="bottom"/>
            <w:hideMark/>
          </w:tcPr>
          <w:p w:rsidR="00930C85" w:rsidRPr="00930C85" w:rsidRDefault="00930C85" w:rsidP="008B6DCF">
            <w:pPr>
              <w:tabs>
                <w:tab w:val="decimal" w:pos="175"/>
              </w:tabs>
              <w:jc w:val="center"/>
              <w:rPr>
                <w:rFonts w:asciiTheme="majorBidi" w:hAnsiTheme="majorBidi" w:cstheme="majorBidi"/>
                <w:color w:val="000000"/>
                <w:sz w:val="20"/>
              </w:rPr>
            </w:pPr>
            <w:r w:rsidRPr="00930C85">
              <w:rPr>
                <w:rFonts w:asciiTheme="majorBidi" w:hAnsiTheme="majorBidi" w:cstheme="majorBidi"/>
                <w:color w:val="000000"/>
                <w:sz w:val="20"/>
              </w:rPr>
              <w:t>4</w:t>
            </w:r>
            <w:r w:rsidR="008B6DCF">
              <w:rPr>
                <w:rFonts w:asciiTheme="majorBidi" w:hAnsiTheme="majorBidi" w:cstheme="majorBidi"/>
                <w:color w:val="000000"/>
                <w:sz w:val="20"/>
              </w:rPr>
              <w:t>,</w:t>
            </w:r>
            <w:r w:rsidRPr="00930C85">
              <w:rPr>
                <w:rFonts w:asciiTheme="majorBidi" w:hAnsiTheme="majorBidi" w:cstheme="majorBidi"/>
                <w:color w:val="000000"/>
                <w:sz w:val="20"/>
              </w:rPr>
              <w:t>8%</w:t>
            </w:r>
          </w:p>
        </w:tc>
      </w:tr>
      <w:tr w:rsidR="00930C85" w:rsidRPr="00930C85" w:rsidTr="002A55C1">
        <w:trPr>
          <w:trHeight w:val="315"/>
          <w:jc w:val="center"/>
        </w:trPr>
        <w:tc>
          <w:tcPr>
            <w:tcW w:w="16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30C85" w:rsidRPr="00930C85" w:rsidRDefault="00930C85" w:rsidP="00930C85">
            <w:pPr>
              <w:overflowPunct/>
              <w:autoSpaceDE/>
              <w:autoSpaceDN/>
              <w:adjustRightInd/>
              <w:spacing w:before="0" w:after="40"/>
              <w:textAlignment w:val="auto"/>
              <w:rPr>
                <w:rFonts w:asciiTheme="majorBidi" w:hAnsiTheme="majorBidi" w:cstheme="majorBidi"/>
                <w:b/>
                <w:bCs/>
                <w:color w:val="000000"/>
                <w:sz w:val="20"/>
                <w:lang w:val="en-US" w:eastAsia="zh-CN"/>
              </w:rPr>
            </w:pPr>
            <w:r w:rsidRPr="00930C85">
              <w:rPr>
                <w:rFonts w:asciiTheme="majorBidi" w:hAnsiTheme="majorBidi" w:cstheme="majorBidi"/>
                <w:b/>
                <w:bCs/>
                <w:color w:val="000000"/>
                <w:sz w:val="20"/>
                <w:lang w:val="en-US" w:eastAsia="zh-CN"/>
              </w:rPr>
              <w:t>Etablissements universitaires</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30C85" w:rsidRPr="00930C85" w:rsidRDefault="00930C85" w:rsidP="00930C85">
            <w:pPr>
              <w:spacing w:after="40"/>
              <w:jc w:val="center"/>
              <w:rPr>
                <w:rFonts w:asciiTheme="majorBidi" w:hAnsiTheme="majorBidi" w:cstheme="majorBidi"/>
                <w:color w:val="000000"/>
                <w:sz w:val="20"/>
              </w:rPr>
            </w:pPr>
            <w:r w:rsidRPr="00930C85">
              <w:rPr>
                <w:rFonts w:asciiTheme="majorBidi" w:hAnsiTheme="majorBidi" w:cstheme="majorBidi"/>
                <w:color w:val="000000"/>
                <w:sz w:val="20"/>
              </w:rPr>
              <w:t>14</w:t>
            </w:r>
          </w:p>
        </w:tc>
        <w:tc>
          <w:tcPr>
            <w:tcW w:w="960" w:type="dxa"/>
            <w:tcBorders>
              <w:top w:val="nil"/>
              <w:left w:val="nil"/>
              <w:bottom w:val="single" w:sz="8" w:space="0" w:color="auto"/>
              <w:right w:val="single" w:sz="4" w:space="0" w:color="auto"/>
            </w:tcBorders>
            <w:shd w:val="clear" w:color="auto" w:fill="auto"/>
            <w:noWrap/>
            <w:vAlign w:val="bottom"/>
            <w:hideMark/>
          </w:tcPr>
          <w:p w:rsidR="00930C85" w:rsidRPr="00930C85" w:rsidRDefault="00930C85" w:rsidP="00930C85">
            <w:pPr>
              <w:spacing w:after="40"/>
              <w:jc w:val="center"/>
              <w:rPr>
                <w:rFonts w:asciiTheme="majorBidi" w:hAnsiTheme="majorBidi" w:cstheme="majorBidi"/>
                <w:color w:val="000000"/>
                <w:sz w:val="20"/>
              </w:rPr>
            </w:pPr>
            <w:r w:rsidRPr="00930C85">
              <w:rPr>
                <w:rFonts w:asciiTheme="majorBidi" w:hAnsiTheme="majorBidi" w:cstheme="majorBidi"/>
                <w:color w:val="000000"/>
                <w:sz w:val="20"/>
              </w:rPr>
              <w:t>15</w:t>
            </w:r>
          </w:p>
        </w:tc>
        <w:tc>
          <w:tcPr>
            <w:tcW w:w="960" w:type="dxa"/>
            <w:tcBorders>
              <w:top w:val="nil"/>
              <w:left w:val="nil"/>
              <w:bottom w:val="single" w:sz="8" w:space="0" w:color="auto"/>
              <w:right w:val="single" w:sz="4" w:space="0" w:color="auto"/>
            </w:tcBorders>
            <w:shd w:val="clear" w:color="auto" w:fill="auto"/>
            <w:noWrap/>
            <w:vAlign w:val="bottom"/>
            <w:hideMark/>
          </w:tcPr>
          <w:p w:rsidR="00930C85" w:rsidRPr="00930C85" w:rsidRDefault="00930C85" w:rsidP="00930C85">
            <w:pPr>
              <w:spacing w:after="40"/>
              <w:jc w:val="center"/>
              <w:rPr>
                <w:rFonts w:asciiTheme="majorBidi" w:hAnsiTheme="majorBidi" w:cstheme="majorBidi"/>
                <w:color w:val="000000"/>
                <w:sz w:val="20"/>
              </w:rPr>
            </w:pPr>
            <w:r w:rsidRPr="00930C85">
              <w:rPr>
                <w:rFonts w:asciiTheme="majorBidi" w:hAnsiTheme="majorBidi" w:cstheme="majorBidi"/>
                <w:color w:val="000000"/>
                <w:sz w:val="20"/>
              </w:rPr>
              <w:t>30</w:t>
            </w:r>
          </w:p>
        </w:tc>
        <w:tc>
          <w:tcPr>
            <w:tcW w:w="960" w:type="dxa"/>
            <w:tcBorders>
              <w:top w:val="nil"/>
              <w:left w:val="nil"/>
              <w:bottom w:val="single" w:sz="8" w:space="0" w:color="auto"/>
              <w:right w:val="single" w:sz="8" w:space="0" w:color="auto"/>
            </w:tcBorders>
            <w:shd w:val="clear" w:color="auto" w:fill="auto"/>
            <w:noWrap/>
            <w:vAlign w:val="bottom"/>
            <w:hideMark/>
          </w:tcPr>
          <w:p w:rsidR="00930C85" w:rsidRPr="00930C85" w:rsidRDefault="00930C85" w:rsidP="00930C85">
            <w:pPr>
              <w:spacing w:after="40"/>
              <w:jc w:val="center"/>
              <w:rPr>
                <w:rFonts w:asciiTheme="majorBidi" w:hAnsiTheme="majorBidi" w:cstheme="majorBidi"/>
                <w:color w:val="000000"/>
                <w:sz w:val="20"/>
              </w:rPr>
            </w:pPr>
            <w:r w:rsidRPr="00930C85">
              <w:rPr>
                <w:rFonts w:asciiTheme="majorBidi" w:hAnsiTheme="majorBidi" w:cstheme="majorBidi"/>
                <w:color w:val="000000"/>
                <w:sz w:val="20"/>
              </w:rPr>
              <w:t>109</w:t>
            </w:r>
          </w:p>
        </w:tc>
        <w:tc>
          <w:tcPr>
            <w:tcW w:w="1373" w:type="dxa"/>
            <w:tcBorders>
              <w:top w:val="nil"/>
              <w:left w:val="nil"/>
              <w:bottom w:val="single" w:sz="8" w:space="0" w:color="auto"/>
              <w:right w:val="single" w:sz="4" w:space="0" w:color="auto"/>
            </w:tcBorders>
            <w:shd w:val="clear" w:color="auto" w:fill="auto"/>
            <w:noWrap/>
            <w:vAlign w:val="bottom"/>
            <w:hideMark/>
          </w:tcPr>
          <w:p w:rsidR="00930C85" w:rsidRPr="00930C85" w:rsidRDefault="00930C85" w:rsidP="00930C85">
            <w:pPr>
              <w:spacing w:after="40"/>
              <w:jc w:val="center"/>
              <w:rPr>
                <w:rFonts w:asciiTheme="majorBidi" w:hAnsiTheme="majorBidi" w:cstheme="majorBidi"/>
                <w:color w:val="000000"/>
                <w:sz w:val="20"/>
              </w:rPr>
            </w:pPr>
            <w:r w:rsidRPr="00930C85">
              <w:rPr>
                <w:rFonts w:asciiTheme="majorBidi" w:hAnsiTheme="majorBidi" w:cstheme="majorBidi"/>
                <w:color w:val="000000"/>
                <w:sz w:val="20"/>
              </w:rPr>
              <w:t>95</w:t>
            </w:r>
          </w:p>
        </w:tc>
        <w:tc>
          <w:tcPr>
            <w:tcW w:w="1439" w:type="dxa"/>
            <w:tcBorders>
              <w:top w:val="nil"/>
              <w:left w:val="nil"/>
              <w:bottom w:val="single" w:sz="8" w:space="0" w:color="auto"/>
              <w:right w:val="single" w:sz="8" w:space="0" w:color="auto"/>
            </w:tcBorders>
            <w:shd w:val="clear" w:color="auto" w:fill="auto"/>
            <w:noWrap/>
            <w:vAlign w:val="bottom"/>
            <w:hideMark/>
          </w:tcPr>
          <w:p w:rsidR="00930C85" w:rsidRPr="00930C85" w:rsidRDefault="00930C85" w:rsidP="008B6DCF">
            <w:pPr>
              <w:tabs>
                <w:tab w:val="decimal" w:pos="175"/>
              </w:tabs>
              <w:spacing w:after="40"/>
              <w:jc w:val="center"/>
              <w:rPr>
                <w:rFonts w:asciiTheme="majorBidi" w:hAnsiTheme="majorBidi" w:cstheme="majorBidi"/>
                <w:color w:val="000000"/>
                <w:sz w:val="20"/>
              </w:rPr>
            </w:pPr>
            <w:r w:rsidRPr="00930C85">
              <w:rPr>
                <w:rFonts w:asciiTheme="majorBidi" w:hAnsiTheme="majorBidi" w:cstheme="majorBidi"/>
                <w:color w:val="000000"/>
                <w:sz w:val="20"/>
              </w:rPr>
              <w:t>678</w:t>
            </w:r>
            <w:r w:rsidR="008B6DCF">
              <w:rPr>
                <w:rFonts w:asciiTheme="majorBidi" w:hAnsiTheme="majorBidi" w:cstheme="majorBidi"/>
                <w:color w:val="000000"/>
                <w:sz w:val="20"/>
              </w:rPr>
              <w:t>,</w:t>
            </w:r>
            <w:r w:rsidRPr="00930C85">
              <w:rPr>
                <w:rFonts w:asciiTheme="majorBidi" w:hAnsiTheme="majorBidi" w:cstheme="majorBidi"/>
                <w:color w:val="000000"/>
                <w:sz w:val="20"/>
              </w:rPr>
              <w:t>6%</w:t>
            </w:r>
          </w:p>
        </w:tc>
      </w:tr>
    </w:tbl>
    <w:p w:rsidR="00C244D7" w:rsidRPr="008653E6" w:rsidRDefault="00C244D7" w:rsidP="00BC0CAD">
      <w:r w:rsidRPr="008653E6">
        <w:rPr>
          <w:szCs w:val="24"/>
        </w:rPr>
        <w:t xml:space="preserve">Ces chiffres font apparaître une nette tendance à la hausse, qui contraste avec </w:t>
      </w:r>
      <w:r w:rsidRPr="008653E6">
        <w:t>la tendance à la baisse des adhésions observée durant la période précédente. Il convient de noter ce qui suit:</w:t>
      </w:r>
    </w:p>
    <w:p w:rsidR="00C244D7" w:rsidRPr="008653E6" w:rsidRDefault="00C244D7" w:rsidP="00C244D7">
      <w:pPr>
        <w:pStyle w:val="enumlev1"/>
      </w:pPr>
      <w:r w:rsidRPr="008653E6">
        <w:t>–</w:t>
      </w:r>
      <w:r w:rsidRPr="008653E6">
        <w:tab/>
      </w:r>
      <w:r w:rsidR="008B6DCF" w:rsidRPr="008653E6">
        <w:t>P</w:t>
      </w:r>
      <w:r w:rsidRPr="008653E6">
        <w:t xml:space="preserve">armi les Associés ayant </w:t>
      </w:r>
      <w:r w:rsidRPr="008653E6">
        <w:rPr>
          <w:lang w:val="fr-CH"/>
        </w:rPr>
        <w:t>dénoncé leur participation aux travaux de l</w:t>
      </w:r>
      <w:r w:rsidR="00D3135C">
        <w:rPr>
          <w:lang w:val="fr-CH"/>
        </w:rPr>
        <w:t>'</w:t>
      </w:r>
      <w:r w:rsidRPr="008653E6">
        <w:rPr>
          <w:lang w:val="fr-CH"/>
        </w:rPr>
        <w:t>UIT-R pendant la période considérée, deux sont devenus Membres du Secteur</w:t>
      </w:r>
      <w:r w:rsidR="00930C85">
        <w:t>.</w:t>
      </w:r>
    </w:p>
    <w:p w:rsidR="00C244D7" w:rsidRPr="008653E6" w:rsidRDefault="00C244D7" w:rsidP="00C244D7">
      <w:pPr>
        <w:pStyle w:val="enumlev1"/>
      </w:pPr>
      <w:r w:rsidRPr="008653E6">
        <w:t>–</w:t>
      </w:r>
      <w:r w:rsidRPr="008653E6">
        <w:tab/>
      </w:r>
      <w:r w:rsidR="008B6DCF" w:rsidRPr="008653E6">
        <w:t>C</w:t>
      </w:r>
      <w:r w:rsidRPr="008653E6">
        <w:t xml:space="preserve">onformément à la Résolution 169 (Rév. Busan, 2014) de la Conférence de plénipotentiaires, il existe depuis le 1er janvier 2015 </w:t>
      </w:r>
      <w:r w:rsidRPr="008653E6">
        <w:rPr>
          <w:color w:val="000000"/>
        </w:rPr>
        <w:t>un statut de membre de l</w:t>
      </w:r>
      <w:r w:rsidR="00D3135C">
        <w:rPr>
          <w:color w:val="000000"/>
        </w:rPr>
        <w:t>'</w:t>
      </w:r>
      <w:r w:rsidRPr="008653E6">
        <w:rPr>
          <w:color w:val="000000"/>
        </w:rPr>
        <w:t>UIT unique.</w:t>
      </w:r>
      <w:r w:rsidRPr="008653E6">
        <w:t xml:space="preserve"> En conséquence, depuis cette date, les</w:t>
      </w:r>
      <w:r w:rsidRPr="008653E6">
        <w:rPr>
          <w:color w:val="000000"/>
        </w:rPr>
        <w:t xml:space="preserve"> établissements universitaires participant aux travaux d</w:t>
      </w:r>
      <w:r w:rsidR="00D3135C">
        <w:rPr>
          <w:color w:val="000000"/>
        </w:rPr>
        <w:t>'</w:t>
      </w:r>
      <w:r w:rsidRPr="008653E6">
        <w:rPr>
          <w:color w:val="000000"/>
        </w:rPr>
        <w:t>autres Secteurs sont également considérés comme des établissements universitaires participant aux travaux de l</w:t>
      </w:r>
      <w:r w:rsidR="00D3135C">
        <w:rPr>
          <w:color w:val="000000"/>
        </w:rPr>
        <w:t>'</w:t>
      </w:r>
      <w:r w:rsidRPr="008653E6">
        <w:rPr>
          <w:color w:val="000000"/>
        </w:rPr>
        <w:t>UIT-R</w:t>
      </w:r>
      <w:r w:rsidR="00930C85">
        <w:t>.</w:t>
      </w:r>
    </w:p>
    <w:p w:rsidR="00C244D7" w:rsidRPr="008653E6" w:rsidRDefault="00C244D7" w:rsidP="00C244D7">
      <w:pPr>
        <w:pStyle w:val="enumlev1"/>
      </w:pPr>
      <w:r w:rsidRPr="008653E6">
        <w:t>–</w:t>
      </w:r>
      <w:r w:rsidRPr="008653E6">
        <w:tab/>
      </w:r>
      <w:r w:rsidR="008B6DCF" w:rsidRPr="008653E6">
        <w:t>A</w:t>
      </w:r>
      <w:r w:rsidRPr="008653E6">
        <w:t xml:space="preserve">vant la PP-14, </w:t>
      </w:r>
      <w:r w:rsidRPr="008653E6">
        <w:rPr>
          <w:color w:val="000000"/>
        </w:rPr>
        <w:t>le nombre d</w:t>
      </w:r>
      <w:r w:rsidR="00D3135C">
        <w:rPr>
          <w:color w:val="000000"/>
        </w:rPr>
        <w:t>'</w:t>
      </w:r>
      <w:r w:rsidRPr="008653E6">
        <w:rPr>
          <w:color w:val="000000"/>
        </w:rPr>
        <w:t>établissements universitaires participant aux travaux de l</w:t>
      </w:r>
      <w:r w:rsidR="00D3135C">
        <w:rPr>
          <w:color w:val="000000"/>
        </w:rPr>
        <w:t>'</w:t>
      </w:r>
      <w:r w:rsidRPr="008653E6">
        <w:rPr>
          <w:color w:val="000000"/>
        </w:rPr>
        <w:t>UIT-R</w:t>
      </w:r>
      <w:r w:rsidRPr="008653E6">
        <w:t xml:space="preserve"> a néanmoins connu une augmentation importante, qui a été de 100% en 2014.</w:t>
      </w:r>
    </w:p>
    <w:p w:rsidR="00C244D7" w:rsidRPr="008653E6" w:rsidRDefault="00C244D7" w:rsidP="00930C85">
      <w:pPr>
        <w:pStyle w:val="Heading2"/>
      </w:pPr>
      <w:bookmarkStart w:id="148" w:name="_Toc424047607"/>
      <w:bookmarkStart w:id="149" w:name="_Toc426463265"/>
      <w:r w:rsidRPr="008653E6">
        <w:t>8.6</w:t>
      </w:r>
      <w:r w:rsidRPr="008653E6">
        <w:tab/>
        <w:t>Communication et promotion</w:t>
      </w:r>
      <w:bookmarkEnd w:id="148"/>
      <w:bookmarkEnd w:id="149"/>
    </w:p>
    <w:p w:rsidR="00C244D7" w:rsidRPr="008653E6" w:rsidRDefault="00C244D7" w:rsidP="00C244D7">
      <w:pPr>
        <w:rPr>
          <w:lang w:val="fr-CH"/>
        </w:rPr>
      </w:pPr>
      <w:r w:rsidRPr="008653E6">
        <w:rPr>
          <w:lang w:val="fr-CH"/>
        </w:rPr>
        <w:t>Afin que l</w:t>
      </w:r>
      <w:r w:rsidR="00D3135C">
        <w:rPr>
          <w:lang w:val="fr-CH"/>
        </w:rPr>
        <w:t>'</w:t>
      </w:r>
      <w:r w:rsidRPr="008653E6">
        <w:rPr>
          <w:lang w:val="fr-CH"/>
        </w:rPr>
        <w:t>UIT-R reste en phase avec ses objectifs stratégiques (renforcer l</w:t>
      </w:r>
      <w:r w:rsidR="00D3135C">
        <w:rPr>
          <w:lang w:val="fr-CH"/>
        </w:rPr>
        <w:t>'</w:t>
      </w:r>
      <w:r w:rsidRPr="008653E6">
        <w:rPr>
          <w:lang w:val="fr-CH"/>
        </w:rPr>
        <w:t>image de marque et valoriser la réputation du Secteur, mobiliser les parties prenantes, internes et externes, faire participer ceux qui soutiennent le Secteur et défendre les intérêts des membres), le Bureau travaille en étroite collaboration avec la Division de la communication institutionnelle (CCD) et le Bureau de presse de l</w:t>
      </w:r>
      <w:r w:rsidR="00D3135C">
        <w:rPr>
          <w:lang w:val="fr-CH"/>
        </w:rPr>
        <w:t>'</w:t>
      </w:r>
      <w:r w:rsidRPr="008653E6">
        <w:rPr>
          <w:lang w:val="fr-CH"/>
        </w:rPr>
        <w:t>UIT, le Département des relations avec les membres et le Service de composition des publications (C&amp;P/COMP) du Secrétariat général. Dans le cadre de cette collaboration, plusieurs réunions intersectorielles de l</w:t>
      </w:r>
      <w:r w:rsidR="00D3135C">
        <w:rPr>
          <w:lang w:val="fr-CH"/>
        </w:rPr>
        <w:t>'</w:t>
      </w:r>
      <w:r w:rsidRPr="008653E6">
        <w:rPr>
          <w:lang w:val="fr-CH"/>
        </w:rPr>
        <w:t>UIT ont été organisées:</w:t>
      </w:r>
      <w:r w:rsidR="00930C85">
        <w:rPr>
          <w:lang w:val="fr-CH"/>
        </w:rPr>
        <w:t xml:space="preserve"> Groupe spécial sur la mise en oe</w:t>
      </w:r>
      <w:r w:rsidRPr="008653E6">
        <w:rPr>
          <w:lang w:val="fr-CH"/>
        </w:rPr>
        <w:t>uvre des résultats du SMSI, groupes d</w:t>
      </w:r>
      <w:r w:rsidR="00D3135C">
        <w:rPr>
          <w:lang w:val="fr-CH"/>
        </w:rPr>
        <w:t>'</w:t>
      </w:r>
      <w:r w:rsidRPr="008653E6">
        <w:rPr>
          <w:lang w:val="fr-CH"/>
        </w:rPr>
        <w:t>intérêts, Comité de rédaction du site web de l</w:t>
      </w:r>
      <w:r w:rsidR="00D3135C">
        <w:rPr>
          <w:lang w:val="fr-CH"/>
        </w:rPr>
        <w:t>'</w:t>
      </w:r>
      <w:r w:rsidRPr="008653E6">
        <w:rPr>
          <w:lang w:val="fr-CH"/>
        </w:rPr>
        <w:t>UIT, 150</w:t>
      </w:r>
      <w:r w:rsidRPr="008653E6">
        <w:t>ème</w:t>
      </w:r>
      <w:r w:rsidRPr="008653E6">
        <w:rPr>
          <w:lang w:val="fr-CH"/>
        </w:rPr>
        <w:t> anniversaire de la création de l</w:t>
      </w:r>
      <w:r w:rsidR="00D3135C">
        <w:rPr>
          <w:lang w:val="fr-CH"/>
        </w:rPr>
        <w:t>'</w:t>
      </w:r>
      <w:r w:rsidRPr="008653E6">
        <w:rPr>
          <w:lang w:val="fr-CH"/>
        </w:rPr>
        <w:t>Union, Groupe sur les nouvelles tendances et Groupe spécial sur les questions de genre.</w:t>
      </w:r>
    </w:p>
    <w:p w:rsidR="00C244D7" w:rsidRPr="008653E6" w:rsidRDefault="00C244D7" w:rsidP="00930C85">
      <w:pPr>
        <w:pStyle w:val="Heading3"/>
        <w:rPr>
          <w:lang w:val="fr-CH"/>
        </w:rPr>
      </w:pPr>
      <w:r w:rsidRPr="008653E6">
        <w:rPr>
          <w:lang w:val="fr-CH"/>
        </w:rPr>
        <w:t>8.6.1</w:t>
      </w:r>
      <w:r w:rsidRPr="008653E6">
        <w:rPr>
          <w:lang w:val="fr-CH"/>
        </w:rPr>
        <w:tab/>
      </w:r>
      <w:r w:rsidR="00930C85">
        <w:rPr>
          <w:lang w:val="fr-CH"/>
        </w:rPr>
        <w:t>S</w:t>
      </w:r>
      <w:r w:rsidRPr="008653E6">
        <w:rPr>
          <w:lang w:val="fr-CH"/>
        </w:rPr>
        <w:t>ite web</w:t>
      </w:r>
    </w:p>
    <w:p w:rsidR="00C244D7" w:rsidRPr="008653E6" w:rsidRDefault="00C244D7" w:rsidP="00C244D7">
      <w:pPr>
        <w:rPr>
          <w:lang w:val="fr-CH"/>
        </w:rPr>
      </w:pPr>
      <w:r w:rsidRPr="008653E6">
        <w:rPr>
          <w:lang w:val="fr-CH"/>
        </w:rPr>
        <w:t>Comme indiqué lors de la 22</w:t>
      </w:r>
      <w:r w:rsidR="00930C85">
        <w:rPr>
          <w:lang w:val="fr-CH"/>
        </w:rPr>
        <w:t>ème réunion du GCR,</w:t>
      </w:r>
      <w:r w:rsidRPr="008653E6">
        <w:rPr>
          <w:lang w:val="fr-CH"/>
        </w:rPr>
        <w:t xml:space="preserve"> le </w:t>
      </w:r>
      <w:r w:rsidRPr="008653E6">
        <w:rPr>
          <w:color w:val="000000"/>
          <w:lang w:val="fr-CH"/>
        </w:rPr>
        <w:t xml:space="preserve">processus de migration vers la plate-forme SharePoint du </w:t>
      </w:r>
      <w:hyperlink r:id="rId42" w:history="1">
        <w:r w:rsidRPr="00930C85">
          <w:rPr>
            <w:rStyle w:val="Hyperlink"/>
            <w:lang w:val="fr-CH"/>
          </w:rPr>
          <w:t>site web de l</w:t>
        </w:r>
        <w:r w:rsidR="00D3135C">
          <w:rPr>
            <w:rStyle w:val="Hyperlink"/>
            <w:lang w:val="fr-CH"/>
          </w:rPr>
          <w:t>'</w:t>
        </w:r>
        <w:r w:rsidRPr="00930C85">
          <w:rPr>
            <w:rStyle w:val="Hyperlink"/>
            <w:lang w:val="fr-CH"/>
          </w:rPr>
          <w:t>UIT-R</w:t>
        </w:r>
      </w:hyperlink>
      <w:r w:rsidRPr="008653E6">
        <w:rPr>
          <w:lang w:val="fr-CH"/>
        </w:rPr>
        <w:t xml:space="preserve"> a été achevé. Plus de 300 pages ont été considérées comme des archives (aucune mise à jour n</w:t>
      </w:r>
      <w:r w:rsidR="00D3135C">
        <w:rPr>
          <w:lang w:val="fr-CH"/>
        </w:rPr>
        <w:t>'</w:t>
      </w:r>
      <w:r w:rsidRPr="008653E6">
        <w:rPr>
          <w:lang w:val="fr-CH"/>
        </w:rPr>
        <w:t>est nécessaire), de sorte que ces pages n</w:t>
      </w:r>
      <w:r w:rsidR="00D3135C">
        <w:rPr>
          <w:lang w:val="fr-CH"/>
        </w:rPr>
        <w:t>'</w:t>
      </w:r>
      <w:r w:rsidRPr="008653E6">
        <w:rPr>
          <w:lang w:val="fr-CH"/>
        </w:rPr>
        <w:t>ont pas été prises en compte dans ce processus de migration et sont toujours disponibles dans l</w:t>
      </w:r>
      <w:r w:rsidR="00D3135C">
        <w:rPr>
          <w:lang w:val="fr-CH"/>
        </w:rPr>
        <w:t>'</w:t>
      </w:r>
      <w:r w:rsidRPr="008653E6">
        <w:rPr>
          <w:lang w:val="fr-CH"/>
        </w:rPr>
        <w:t>ancienne présentation en mode lecture seulement, conformément à l</w:t>
      </w:r>
      <w:r w:rsidR="00D3135C">
        <w:rPr>
          <w:lang w:val="fr-CH"/>
        </w:rPr>
        <w:t>'</w:t>
      </w:r>
      <w:r w:rsidR="00930C85">
        <w:rPr>
          <w:lang w:val="fr-CH"/>
        </w:rPr>
        <w:t>ancien système CMS personnalisé (autre que SharePoint).</w:t>
      </w:r>
    </w:p>
    <w:p w:rsidR="00C244D7" w:rsidRPr="008653E6" w:rsidRDefault="00C244D7" w:rsidP="00C244D7">
      <w:pPr>
        <w:rPr>
          <w:lang w:val="fr-CH"/>
        </w:rPr>
      </w:pPr>
      <w:r w:rsidRPr="008653E6">
        <w:rPr>
          <w:lang w:val="fr-CH"/>
        </w:rPr>
        <w:t>En ce qui conce</w:t>
      </w:r>
      <w:r w:rsidR="00930C85">
        <w:rPr>
          <w:lang w:val="fr-CH"/>
        </w:rPr>
        <w:t>rne la traduction de toutes les</w:t>
      </w:r>
      <w:r w:rsidRPr="008653E6">
        <w:rPr>
          <w:lang w:val="fr-CH"/>
        </w:rPr>
        <w:t xml:space="preserve"> pages web du </w:t>
      </w:r>
      <w:hyperlink r:id="rId43" w:history="1">
        <w:r w:rsidRPr="00930C85">
          <w:rPr>
            <w:rStyle w:val="Hyperlink"/>
            <w:lang w:val="fr-CH"/>
          </w:rPr>
          <w:t>site web de l</w:t>
        </w:r>
        <w:r w:rsidR="00D3135C">
          <w:rPr>
            <w:rStyle w:val="Hyperlink"/>
            <w:lang w:val="fr-CH"/>
          </w:rPr>
          <w:t>'</w:t>
        </w:r>
        <w:r w:rsidRPr="00930C85">
          <w:rPr>
            <w:rStyle w:val="Hyperlink"/>
            <w:lang w:val="fr-CH"/>
          </w:rPr>
          <w:t>UIT-R</w:t>
        </w:r>
      </w:hyperlink>
      <w:r w:rsidRPr="008653E6">
        <w:rPr>
          <w:color w:val="000000"/>
        </w:rPr>
        <w:t xml:space="preserve"> aux niveaux 0 et 1,</w:t>
      </w:r>
      <w:r w:rsidR="00930C85">
        <w:rPr>
          <w:color w:val="000000"/>
        </w:rPr>
        <w:t xml:space="preserve"> le statut approximatif de leur</w:t>
      </w:r>
      <w:r w:rsidRPr="008653E6">
        <w:rPr>
          <w:color w:val="000000"/>
        </w:rPr>
        <w:t xml:space="preserve"> </w:t>
      </w:r>
      <w:r w:rsidR="00930C85">
        <w:rPr>
          <w:color w:val="000000"/>
          <w:lang w:val="fr-CH"/>
        </w:rPr>
        <w:t>mise</w:t>
      </w:r>
      <w:r w:rsidRPr="008653E6">
        <w:rPr>
          <w:color w:val="000000"/>
          <w:lang w:val="fr-CH"/>
        </w:rPr>
        <w:t xml:space="preserve"> à disposition dans l</w:t>
      </w:r>
      <w:r w:rsidR="00930C85">
        <w:rPr>
          <w:color w:val="000000"/>
          <w:lang w:val="fr-CH"/>
        </w:rPr>
        <w:t>es six langues</w:t>
      </w:r>
      <w:r w:rsidRPr="008653E6">
        <w:rPr>
          <w:color w:val="000000"/>
          <w:lang w:val="fr-CH"/>
        </w:rPr>
        <w:t xml:space="preserve"> de l</w:t>
      </w:r>
      <w:r w:rsidR="00D3135C">
        <w:rPr>
          <w:color w:val="000000"/>
          <w:lang w:val="fr-CH"/>
        </w:rPr>
        <w:t>'</w:t>
      </w:r>
      <w:r w:rsidRPr="008653E6">
        <w:rPr>
          <w:color w:val="000000"/>
          <w:lang w:val="fr-CH"/>
        </w:rPr>
        <w:t>UIT</w:t>
      </w:r>
      <w:r w:rsidRPr="008653E6">
        <w:rPr>
          <w:lang w:val="fr-CH"/>
        </w:rPr>
        <w:t xml:space="preserve"> est</w:t>
      </w:r>
      <w:r w:rsidR="00930C85">
        <w:rPr>
          <w:lang w:val="fr-CH"/>
        </w:rPr>
        <w:t xml:space="preserve"> indiqué dans le Tableau 8.6-1 ci-dessous</w:t>
      </w:r>
      <w:r w:rsidRPr="008653E6">
        <w:rPr>
          <w:lang w:val="fr-CH"/>
        </w:rPr>
        <w:t>. La mise au point des principales vues de données pour ces pa</w:t>
      </w:r>
      <w:r w:rsidR="00930C85">
        <w:rPr>
          <w:lang w:val="fr-CH"/>
        </w:rPr>
        <w:t>ges web est à présent achevée</w:t>
      </w:r>
      <w:r w:rsidRPr="008653E6">
        <w:rPr>
          <w:lang w:val="fr-CH"/>
        </w:rPr>
        <w:t>.</w:t>
      </w:r>
    </w:p>
    <w:p w:rsidR="00BC0CAD" w:rsidRDefault="00BC0CAD">
      <w:pPr>
        <w:tabs>
          <w:tab w:val="clear" w:pos="794"/>
          <w:tab w:val="clear" w:pos="1191"/>
          <w:tab w:val="clear" w:pos="1588"/>
          <w:tab w:val="clear" w:pos="1985"/>
        </w:tabs>
        <w:overflowPunct/>
        <w:autoSpaceDE/>
        <w:autoSpaceDN/>
        <w:adjustRightInd/>
        <w:spacing w:before="0"/>
        <w:textAlignment w:val="auto"/>
        <w:rPr>
          <w:caps/>
          <w:lang w:val="fr-CH"/>
        </w:rPr>
      </w:pPr>
      <w:r>
        <w:rPr>
          <w:lang w:val="fr-CH"/>
        </w:rPr>
        <w:br w:type="page"/>
      </w:r>
    </w:p>
    <w:p w:rsidR="00614562" w:rsidRDefault="00614562" w:rsidP="00614562">
      <w:pPr>
        <w:pStyle w:val="TableNoBR"/>
      </w:pPr>
      <w:r w:rsidRPr="008653E6">
        <w:rPr>
          <w:lang w:val="fr-CH"/>
        </w:rPr>
        <w:t>TABLEAU</w:t>
      </w:r>
      <w:r>
        <w:rPr>
          <w:lang w:val="fr-CH"/>
        </w:rPr>
        <w:t xml:space="preserve"> 8.6.1-1</w:t>
      </w:r>
    </w:p>
    <w:p w:rsidR="00614562" w:rsidRPr="00891910" w:rsidRDefault="00614562" w:rsidP="00614562">
      <w:pPr>
        <w:pStyle w:val="TabletitleBR"/>
      </w:pPr>
      <w:r w:rsidRPr="008653E6">
        <w:rPr>
          <w:lang w:val="fr-CH"/>
        </w:rPr>
        <w:t>Sta</w:t>
      </w:r>
      <w:r>
        <w:rPr>
          <w:lang w:val="fr-CH"/>
        </w:rPr>
        <w:t xml:space="preserve">tistiques concernant la mise à </w:t>
      </w:r>
      <w:r w:rsidRPr="008653E6">
        <w:rPr>
          <w:lang w:val="fr-CH"/>
        </w:rPr>
        <w:t>dispo</w:t>
      </w:r>
      <w:r>
        <w:rPr>
          <w:lang w:val="fr-CH"/>
        </w:rPr>
        <w:t>sition des pages web de l</w:t>
      </w:r>
      <w:r w:rsidR="00D3135C">
        <w:rPr>
          <w:lang w:val="fr-CH"/>
        </w:rPr>
        <w:t>'</w:t>
      </w:r>
      <w:r>
        <w:rPr>
          <w:lang w:val="fr-CH"/>
        </w:rPr>
        <w:t>UIT-R</w:t>
      </w:r>
      <w:r>
        <w:rPr>
          <w:lang w:val="fr-CH"/>
        </w:rPr>
        <w:br/>
      </w:r>
      <w:r w:rsidRPr="008653E6">
        <w:rPr>
          <w:lang w:val="fr-CH"/>
        </w:rPr>
        <w:t>dans les différentes langues</w:t>
      </w:r>
    </w:p>
    <w:tbl>
      <w:tblPr>
        <w:tblStyle w:val="TableGrid2"/>
        <w:tblW w:w="9634" w:type="dxa"/>
        <w:tblLayout w:type="fixed"/>
        <w:tblLook w:val="04A0" w:firstRow="1" w:lastRow="0" w:firstColumn="1" w:lastColumn="0" w:noHBand="0" w:noVBand="1"/>
      </w:tblPr>
      <w:tblGrid>
        <w:gridCol w:w="892"/>
        <w:gridCol w:w="3356"/>
        <w:gridCol w:w="992"/>
        <w:gridCol w:w="851"/>
        <w:gridCol w:w="850"/>
        <w:gridCol w:w="851"/>
        <w:gridCol w:w="850"/>
        <w:gridCol w:w="992"/>
      </w:tblGrid>
      <w:tr w:rsidR="00614562" w:rsidRPr="00614562" w:rsidTr="00A152E3">
        <w:trPr>
          <w:trHeight w:val="300"/>
        </w:trPr>
        <w:tc>
          <w:tcPr>
            <w:tcW w:w="4248" w:type="dxa"/>
            <w:gridSpan w:val="2"/>
            <w:vMerge w:val="restart"/>
            <w:noWrap/>
            <w:hideMark/>
          </w:tcPr>
          <w:p w:rsidR="00614562" w:rsidRPr="00D05EDC" w:rsidRDefault="00614562" w:rsidP="00A152E3">
            <w:pPr>
              <w:rPr>
                <w:rFonts w:asciiTheme="minorHAnsi" w:hAnsiTheme="minorHAnsi"/>
                <w:sz w:val="22"/>
              </w:rPr>
            </w:pPr>
          </w:p>
        </w:tc>
        <w:tc>
          <w:tcPr>
            <w:tcW w:w="5386" w:type="dxa"/>
            <w:gridSpan w:val="6"/>
            <w:hideMark/>
          </w:tcPr>
          <w:p w:rsidR="00614562" w:rsidRPr="00614562" w:rsidRDefault="00614562" w:rsidP="00BC0CAD">
            <w:pPr>
              <w:pStyle w:val="Tablehead0"/>
            </w:pPr>
            <w:r w:rsidRPr="00614562">
              <w:t xml:space="preserve">Situation de la traduction des pages web de </w:t>
            </w:r>
            <w:r>
              <w:t>l</w:t>
            </w:r>
            <w:r w:rsidR="00D3135C">
              <w:t>'</w:t>
            </w:r>
            <w:r>
              <w:t>UIT</w:t>
            </w:r>
            <w:r w:rsidR="00BC0CAD">
              <w:noBreakHyphen/>
            </w:r>
            <w:r>
              <w:t>R pour les niveaux</w:t>
            </w:r>
            <w:r w:rsidRPr="00614562">
              <w:t xml:space="preserve"> 0+1 (quatrième trimestre /2015)</w:t>
            </w:r>
          </w:p>
        </w:tc>
      </w:tr>
      <w:tr w:rsidR="00614562" w:rsidRPr="00891910" w:rsidTr="00A152E3">
        <w:trPr>
          <w:trHeight w:val="315"/>
        </w:trPr>
        <w:tc>
          <w:tcPr>
            <w:tcW w:w="4248" w:type="dxa"/>
            <w:gridSpan w:val="2"/>
            <w:vMerge/>
            <w:noWrap/>
            <w:hideMark/>
          </w:tcPr>
          <w:p w:rsidR="00614562" w:rsidRPr="00614562" w:rsidRDefault="00614562" w:rsidP="00A152E3">
            <w:pPr>
              <w:rPr>
                <w:rFonts w:asciiTheme="minorHAnsi" w:hAnsiTheme="minorHAnsi"/>
                <w:sz w:val="22"/>
                <w:lang w:val="fr-CH"/>
              </w:rPr>
            </w:pPr>
          </w:p>
        </w:tc>
        <w:tc>
          <w:tcPr>
            <w:tcW w:w="992" w:type="dxa"/>
            <w:noWrap/>
            <w:hideMark/>
          </w:tcPr>
          <w:p w:rsidR="00614562" w:rsidRPr="00891910" w:rsidRDefault="00614562" w:rsidP="00BC0CAD">
            <w:pPr>
              <w:pStyle w:val="Tablehead0"/>
            </w:pPr>
            <w:r w:rsidRPr="00891910">
              <w:t>E</w:t>
            </w:r>
          </w:p>
        </w:tc>
        <w:tc>
          <w:tcPr>
            <w:tcW w:w="851" w:type="dxa"/>
            <w:noWrap/>
            <w:hideMark/>
          </w:tcPr>
          <w:p w:rsidR="00614562" w:rsidRPr="00891910" w:rsidRDefault="00614562" w:rsidP="00BC0CAD">
            <w:pPr>
              <w:pStyle w:val="Tablehead0"/>
            </w:pPr>
            <w:r w:rsidRPr="00891910">
              <w:t>F</w:t>
            </w:r>
          </w:p>
        </w:tc>
        <w:tc>
          <w:tcPr>
            <w:tcW w:w="850" w:type="dxa"/>
            <w:noWrap/>
            <w:hideMark/>
          </w:tcPr>
          <w:p w:rsidR="00614562" w:rsidRPr="00891910" w:rsidRDefault="00614562" w:rsidP="00BC0CAD">
            <w:pPr>
              <w:pStyle w:val="Tablehead0"/>
            </w:pPr>
            <w:r w:rsidRPr="00891910">
              <w:t>S</w:t>
            </w:r>
          </w:p>
        </w:tc>
        <w:tc>
          <w:tcPr>
            <w:tcW w:w="851" w:type="dxa"/>
            <w:noWrap/>
            <w:hideMark/>
          </w:tcPr>
          <w:p w:rsidR="00614562" w:rsidRPr="00891910" w:rsidRDefault="00614562" w:rsidP="00BC0CAD">
            <w:pPr>
              <w:pStyle w:val="Tablehead0"/>
            </w:pPr>
            <w:r w:rsidRPr="00891910">
              <w:t>A</w:t>
            </w:r>
          </w:p>
        </w:tc>
        <w:tc>
          <w:tcPr>
            <w:tcW w:w="850" w:type="dxa"/>
            <w:noWrap/>
            <w:hideMark/>
          </w:tcPr>
          <w:p w:rsidR="00614562" w:rsidRPr="00891910" w:rsidRDefault="00614562" w:rsidP="00BC0CAD">
            <w:pPr>
              <w:pStyle w:val="Tablehead0"/>
            </w:pPr>
            <w:r w:rsidRPr="00891910">
              <w:t>C</w:t>
            </w:r>
          </w:p>
        </w:tc>
        <w:tc>
          <w:tcPr>
            <w:tcW w:w="992" w:type="dxa"/>
            <w:noWrap/>
            <w:hideMark/>
          </w:tcPr>
          <w:p w:rsidR="00614562" w:rsidRPr="00891910" w:rsidRDefault="00614562" w:rsidP="00BC0CAD">
            <w:pPr>
              <w:pStyle w:val="Tablehead0"/>
            </w:pPr>
            <w:r w:rsidRPr="00891910">
              <w:t>R</w:t>
            </w:r>
          </w:p>
        </w:tc>
      </w:tr>
      <w:tr w:rsidR="00614562" w:rsidRPr="00891910" w:rsidTr="00A152E3">
        <w:trPr>
          <w:trHeight w:val="300"/>
        </w:trPr>
        <w:tc>
          <w:tcPr>
            <w:tcW w:w="892" w:type="dxa"/>
            <w:noWrap/>
            <w:hideMark/>
          </w:tcPr>
          <w:p w:rsidR="00614562" w:rsidRPr="00BC0CAD" w:rsidRDefault="00614562" w:rsidP="00BC0CAD">
            <w:pPr>
              <w:pStyle w:val="Tabletext"/>
              <w:rPr>
                <w:b/>
                <w:bCs/>
              </w:rPr>
            </w:pPr>
            <w:r w:rsidRPr="00BC0CAD">
              <w:rPr>
                <w:b/>
                <w:bCs/>
              </w:rPr>
              <w:t>SSD</w:t>
            </w:r>
          </w:p>
        </w:tc>
        <w:tc>
          <w:tcPr>
            <w:tcW w:w="3356" w:type="dxa"/>
            <w:noWrap/>
            <w:hideMark/>
          </w:tcPr>
          <w:p w:rsidR="00614562" w:rsidRPr="00891910" w:rsidRDefault="00614562" w:rsidP="00BC0CAD">
            <w:pPr>
              <w:pStyle w:val="Tabletext"/>
            </w:pPr>
            <w:r w:rsidRPr="00614562">
              <w:t>Services spatiaux</w:t>
            </w:r>
          </w:p>
        </w:tc>
        <w:tc>
          <w:tcPr>
            <w:tcW w:w="992"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95%</w:t>
            </w:r>
          </w:p>
        </w:tc>
        <w:tc>
          <w:tcPr>
            <w:tcW w:w="850" w:type="dxa"/>
            <w:noWrap/>
            <w:hideMark/>
          </w:tcPr>
          <w:p w:rsidR="00614562" w:rsidRPr="00891910" w:rsidRDefault="00614562" w:rsidP="00BC0CAD">
            <w:pPr>
              <w:pStyle w:val="Tabletext"/>
              <w:jc w:val="center"/>
            </w:pPr>
            <w:r w:rsidRPr="00891910">
              <w:t>95%</w:t>
            </w:r>
          </w:p>
        </w:tc>
        <w:tc>
          <w:tcPr>
            <w:tcW w:w="851" w:type="dxa"/>
            <w:noWrap/>
            <w:hideMark/>
          </w:tcPr>
          <w:p w:rsidR="00614562" w:rsidRPr="00891910" w:rsidRDefault="00614562" w:rsidP="00BC0CAD">
            <w:pPr>
              <w:pStyle w:val="Tabletext"/>
              <w:jc w:val="center"/>
            </w:pPr>
            <w:r w:rsidRPr="00891910">
              <w:t>0%</w:t>
            </w:r>
          </w:p>
        </w:tc>
        <w:tc>
          <w:tcPr>
            <w:tcW w:w="850" w:type="dxa"/>
            <w:noWrap/>
            <w:hideMark/>
          </w:tcPr>
          <w:p w:rsidR="00614562" w:rsidRPr="00891910" w:rsidRDefault="00614562" w:rsidP="00BC0CAD">
            <w:pPr>
              <w:pStyle w:val="Tabletext"/>
              <w:jc w:val="center"/>
            </w:pPr>
            <w:r w:rsidRPr="00891910">
              <w:t>0%</w:t>
            </w:r>
          </w:p>
        </w:tc>
        <w:tc>
          <w:tcPr>
            <w:tcW w:w="992" w:type="dxa"/>
            <w:noWrap/>
            <w:hideMark/>
          </w:tcPr>
          <w:p w:rsidR="00614562" w:rsidRPr="00891910" w:rsidRDefault="00614562" w:rsidP="00BC0CAD">
            <w:pPr>
              <w:pStyle w:val="Tabletext"/>
              <w:jc w:val="center"/>
            </w:pPr>
            <w:r w:rsidRPr="00891910">
              <w:t>0%</w:t>
            </w:r>
          </w:p>
        </w:tc>
      </w:tr>
      <w:tr w:rsidR="00614562" w:rsidRPr="00891910" w:rsidTr="00A152E3">
        <w:trPr>
          <w:trHeight w:val="300"/>
        </w:trPr>
        <w:tc>
          <w:tcPr>
            <w:tcW w:w="892" w:type="dxa"/>
            <w:noWrap/>
            <w:hideMark/>
          </w:tcPr>
          <w:p w:rsidR="00614562" w:rsidRPr="00BC0CAD" w:rsidRDefault="00614562" w:rsidP="00BC0CAD">
            <w:pPr>
              <w:pStyle w:val="Tabletext"/>
              <w:rPr>
                <w:b/>
                <w:bCs/>
              </w:rPr>
            </w:pPr>
            <w:r w:rsidRPr="00BC0CAD">
              <w:rPr>
                <w:b/>
                <w:bCs/>
              </w:rPr>
              <w:t>TSD</w:t>
            </w:r>
          </w:p>
        </w:tc>
        <w:tc>
          <w:tcPr>
            <w:tcW w:w="3356" w:type="dxa"/>
            <w:noWrap/>
            <w:hideMark/>
          </w:tcPr>
          <w:p w:rsidR="00614562" w:rsidRPr="00891910" w:rsidRDefault="00614562" w:rsidP="00BC0CAD">
            <w:pPr>
              <w:pStyle w:val="Tabletext"/>
            </w:pPr>
            <w:r w:rsidRPr="00614562">
              <w:t>Services de Terre</w:t>
            </w:r>
          </w:p>
        </w:tc>
        <w:tc>
          <w:tcPr>
            <w:tcW w:w="992"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30%</w:t>
            </w:r>
          </w:p>
        </w:tc>
        <w:tc>
          <w:tcPr>
            <w:tcW w:w="850" w:type="dxa"/>
            <w:noWrap/>
            <w:hideMark/>
          </w:tcPr>
          <w:p w:rsidR="00614562" w:rsidRPr="00891910" w:rsidRDefault="00614562" w:rsidP="00BC0CAD">
            <w:pPr>
              <w:pStyle w:val="Tabletext"/>
              <w:jc w:val="center"/>
            </w:pPr>
            <w:r w:rsidRPr="00891910">
              <w:t>30%</w:t>
            </w:r>
          </w:p>
        </w:tc>
        <w:tc>
          <w:tcPr>
            <w:tcW w:w="851" w:type="dxa"/>
            <w:noWrap/>
            <w:hideMark/>
          </w:tcPr>
          <w:p w:rsidR="00614562" w:rsidRPr="00891910" w:rsidRDefault="00614562" w:rsidP="00BC0CAD">
            <w:pPr>
              <w:pStyle w:val="Tabletext"/>
              <w:jc w:val="center"/>
            </w:pPr>
            <w:r w:rsidRPr="00891910">
              <w:t>30%</w:t>
            </w:r>
          </w:p>
        </w:tc>
        <w:tc>
          <w:tcPr>
            <w:tcW w:w="850" w:type="dxa"/>
            <w:noWrap/>
            <w:hideMark/>
          </w:tcPr>
          <w:p w:rsidR="00614562" w:rsidRPr="00891910" w:rsidRDefault="00614562" w:rsidP="00BC0CAD">
            <w:pPr>
              <w:pStyle w:val="Tabletext"/>
              <w:jc w:val="center"/>
            </w:pPr>
            <w:r w:rsidRPr="00891910">
              <w:t>30%</w:t>
            </w:r>
          </w:p>
        </w:tc>
        <w:tc>
          <w:tcPr>
            <w:tcW w:w="992" w:type="dxa"/>
            <w:noWrap/>
            <w:hideMark/>
          </w:tcPr>
          <w:p w:rsidR="00614562" w:rsidRPr="00891910" w:rsidRDefault="00614562" w:rsidP="00BC0CAD">
            <w:pPr>
              <w:pStyle w:val="Tabletext"/>
              <w:jc w:val="center"/>
            </w:pPr>
            <w:r w:rsidRPr="00891910">
              <w:t>30%</w:t>
            </w:r>
          </w:p>
        </w:tc>
      </w:tr>
      <w:tr w:rsidR="00614562" w:rsidRPr="00891910" w:rsidTr="00A152E3">
        <w:trPr>
          <w:trHeight w:val="300"/>
        </w:trPr>
        <w:tc>
          <w:tcPr>
            <w:tcW w:w="892" w:type="dxa"/>
            <w:noWrap/>
            <w:hideMark/>
          </w:tcPr>
          <w:p w:rsidR="00614562" w:rsidRPr="00BC0CAD" w:rsidRDefault="00614562" w:rsidP="00BC0CAD">
            <w:pPr>
              <w:pStyle w:val="Tabletext"/>
              <w:rPr>
                <w:b/>
                <w:bCs/>
              </w:rPr>
            </w:pPr>
            <w:r w:rsidRPr="00BC0CAD">
              <w:rPr>
                <w:b/>
                <w:bCs/>
              </w:rPr>
              <w:t>SGD</w:t>
            </w:r>
          </w:p>
        </w:tc>
        <w:tc>
          <w:tcPr>
            <w:tcW w:w="3356" w:type="dxa"/>
            <w:noWrap/>
            <w:hideMark/>
          </w:tcPr>
          <w:p w:rsidR="00614562" w:rsidRPr="00891910" w:rsidRDefault="008B6DCF" w:rsidP="00BC0CAD">
            <w:pPr>
              <w:pStyle w:val="Tabletext"/>
            </w:pPr>
            <w:r w:rsidRPr="00614562">
              <w:t>C</w:t>
            </w:r>
            <w:r w:rsidR="00614562" w:rsidRPr="00614562">
              <w:t>ommissions d</w:t>
            </w:r>
            <w:r w:rsidR="00D3135C">
              <w:t>'</w:t>
            </w:r>
            <w:r w:rsidR="00614562" w:rsidRPr="00614562">
              <w:t>études</w:t>
            </w:r>
          </w:p>
        </w:tc>
        <w:tc>
          <w:tcPr>
            <w:tcW w:w="992"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50%</w:t>
            </w:r>
          </w:p>
        </w:tc>
        <w:tc>
          <w:tcPr>
            <w:tcW w:w="850" w:type="dxa"/>
            <w:noWrap/>
            <w:hideMark/>
          </w:tcPr>
          <w:p w:rsidR="00614562" w:rsidRPr="00891910" w:rsidRDefault="00614562" w:rsidP="00BC0CAD">
            <w:pPr>
              <w:pStyle w:val="Tabletext"/>
              <w:jc w:val="center"/>
            </w:pPr>
            <w:r w:rsidRPr="00891910">
              <w:t>50%</w:t>
            </w:r>
          </w:p>
        </w:tc>
        <w:tc>
          <w:tcPr>
            <w:tcW w:w="851" w:type="dxa"/>
            <w:noWrap/>
            <w:hideMark/>
          </w:tcPr>
          <w:p w:rsidR="00614562" w:rsidRPr="00891910" w:rsidRDefault="00614562" w:rsidP="00BC0CAD">
            <w:pPr>
              <w:pStyle w:val="Tabletext"/>
              <w:jc w:val="center"/>
            </w:pPr>
            <w:r w:rsidRPr="00891910">
              <w:t>50%</w:t>
            </w:r>
          </w:p>
        </w:tc>
        <w:tc>
          <w:tcPr>
            <w:tcW w:w="850" w:type="dxa"/>
            <w:noWrap/>
            <w:hideMark/>
          </w:tcPr>
          <w:p w:rsidR="00614562" w:rsidRPr="00891910" w:rsidRDefault="00614562" w:rsidP="00BC0CAD">
            <w:pPr>
              <w:pStyle w:val="Tabletext"/>
              <w:jc w:val="center"/>
            </w:pPr>
            <w:r w:rsidRPr="00891910">
              <w:t>50%</w:t>
            </w:r>
          </w:p>
        </w:tc>
        <w:tc>
          <w:tcPr>
            <w:tcW w:w="992" w:type="dxa"/>
            <w:noWrap/>
            <w:hideMark/>
          </w:tcPr>
          <w:p w:rsidR="00614562" w:rsidRPr="00891910" w:rsidRDefault="00614562" w:rsidP="00BC0CAD">
            <w:pPr>
              <w:pStyle w:val="Tabletext"/>
              <w:jc w:val="center"/>
            </w:pPr>
            <w:r w:rsidRPr="00891910">
              <w:t>50%</w:t>
            </w:r>
          </w:p>
        </w:tc>
      </w:tr>
      <w:tr w:rsidR="00614562" w:rsidRPr="00891910" w:rsidTr="00A152E3">
        <w:trPr>
          <w:trHeight w:val="600"/>
        </w:trPr>
        <w:tc>
          <w:tcPr>
            <w:tcW w:w="892" w:type="dxa"/>
            <w:noWrap/>
            <w:hideMark/>
          </w:tcPr>
          <w:p w:rsidR="00614562" w:rsidRPr="00BC0CAD" w:rsidRDefault="00614562" w:rsidP="00BC0CAD">
            <w:pPr>
              <w:pStyle w:val="Tabletext"/>
              <w:rPr>
                <w:b/>
                <w:bCs/>
              </w:rPr>
            </w:pPr>
            <w:r w:rsidRPr="00BC0CAD">
              <w:rPr>
                <w:b/>
                <w:bCs/>
              </w:rPr>
              <w:t>Conf.</w:t>
            </w:r>
          </w:p>
        </w:tc>
        <w:tc>
          <w:tcPr>
            <w:tcW w:w="3356" w:type="dxa"/>
            <w:hideMark/>
          </w:tcPr>
          <w:p w:rsidR="00614562" w:rsidRPr="00891910" w:rsidRDefault="00412522" w:rsidP="00BC0CAD">
            <w:pPr>
              <w:pStyle w:val="Tabletext"/>
            </w:pPr>
            <w:r>
              <w:t>Confé</w:t>
            </w:r>
            <w:r w:rsidR="00614562" w:rsidRPr="00614562">
              <w:t>rences/réunions/</w:t>
            </w:r>
            <w:r w:rsidR="00614562" w:rsidRPr="00614562">
              <w:br/>
              <w:t>séminaires/ateliers</w:t>
            </w:r>
          </w:p>
        </w:tc>
        <w:tc>
          <w:tcPr>
            <w:tcW w:w="992"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100%</w:t>
            </w:r>
          </w:p>
        </w:tc>
        <w:tc>
          <w:tcPr>
            <w:tcW w:w="850"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100%</w:t>
            </w:r>
          </w:p>
        </w:tc>
        <w:tc>
          <w:tcPr>
            <w:tcW w:w="850" w:type="dxa"/>
            <w:noWrap/>
            <w:hideMark/>
          </w:tcPr>
          <w:p w:rsidR="00614562" w:rsidRPr="00891910" w:rsidRDefault="00614562" w:rsidP="00BC0CAD">
            <w:pPr>
              <w:pStyle w:val="Tabletext"/>
              <w:jc w:val="center"/>
            </w:pPr>
            <w:r w:rsidRPr="00891910">
              <w:t>100%</w:t>
            </w:r>
          </w:p>
        </w:tc>
        <w:tc>
          <w:tcPr>
            <w:tcW w:w="992" w:type="dxa"/>
            <w:noWrap/>
            <w:hideMark/>
          </w:tcPr>
          <w:p w:rsidR="00614562" w:rsidRPr="00891910" w:rsidRDefault="00614562" w:rsidP="00BC0CAD">
            <w:pPr>
              <w:pStyle w:val="Tabletext"/>
              <w:jc w:val="center"/>
            </w:pPr>
            <w:r w:rsidRPr="00891910">
              <w:t>100%</w:t>
            </w:r>
          </w:p>
        </w:tc>
      </w:tr>
      <w:tr w:rsidR="00614562" w:rsidRPr="00891910" w:rsidTr="00A152E3">
        <w:trPr>
          <w:trHeight w:val="315"/>
        </w:trPr>
        <w:tc>
          <w:tcPr>
            <w:tcW w:w="892" w:type="dxa"/>
            <w:noWrap/>
            <w:hideMark/>
          </w:tcPr>
          <w:p w:rsidR="00614562" w:rsidRPr="00BC0CAD" w:rsidRDefault="00614562" w:rsidP="00BC0CAD">
            <w:pPr>
              <w:pStyle w:val="Tabletext"/>
              <w:rPr>
                <w:b/>
                <w:bCs/>
              </w:rPr>
            </w:pPr>
            <w:r w:rsidRPr="00BC0CAD">
              <w:rPr>
                <w:b/>
                <w:bCs/>
              </w:rPr>
              <w:t>Autres</w:t>
            </w:r>
          </w:p>
        </w:tc>
        <w:tc>
          <w:tcPr>
            <w:tcW w:w="3356" w:type="dxa"/>
            <w:noWrap/>
            <w:hideMark/>
          </w:tcPr>
          <w:p w:rsidR="00614562" w:rsidRPr="00891910" w:rsidRDefault="00614562" w:rsidP="00BC0CAD">
            <w:pPr>
              <w:pStyle w:val="Tabletext"/>
            </w:pPr>
            <w:r w:rsidRPr="00614562">
              <w:t>Information/Promotion/</w:t>
            </w:r>
            <w:r>
              <w:br/>
              <w:t>M</w:t>
            </w:r>
            <w:r w:rsidRPr="00614562">
              <w:t>anifestations</w:t>
            </w:r>
          </w:p>
        </w:tc>
        <w:tc>
          <w:tcPr>
            <w:tcW w:w="992"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70%</w:t>
            </w:r>
          </w:p>
        </w:tc>
        <w:tc>
          <w:tcPr>
            <w:tcW w:w="850" w:type="dxa"/>
            <w:noWrap/>
            <w:hideMark/>
          </w:tcPr>
          <w:p w:rsidR="00614562" w:rsidRPr="00891910" w:rsidRDefault="00614562" w:rsidP="00BC0CAD">
            <w:pPr>
              <w:pStyle w:val="Tabletext"/>
              <w:jc w:val="center"/>
            </w:pPr>
            <w:r w:rsidRPr="00891910">
              <w:t>70%</w:t>
            </w:r>
          </w:p>
        </w:tc>
        <w:tc>
          <w:tcPr>
            <w:tcW w:w="851" w:type="dxa"/>
            <w:noWrap/>
            <w:hideMark/>
          </w:tcPr>
          <w:p w:rsidR="00614562" w:rsidRPr="00891910" w:rsidRDefault="00614562" w:rsidP="00BC0CAD">
            <w:pPr>
              <w:pStyle w:val="Tabletext"/>
              <w:jc w:val="center"/>
            </w:pPr>
            <w:r w:rsidRPr="00891910">
              <w:t>70%</w:t>
            </w:r>
          </w:p>
        </w:tc>
        <w:tc>
          <w:tcPr>
            <w:tcW w:w="850" w:type="dxa"/>
            <w:noWrap/>
            <w:hideMark/>
          </w:tcPr>
          <w:p w:rsidR="00614562" w:rsidRPr="00891910" w:rsidRDefault="00614562" w:rsidP="00BC0CAD">
            <w:pPr>
              <w:pStyle w:val="Tabletext"/>
              <w:jc w:val="center"/>
            </w:pPr>
            <w:r w:rsidRPr="00891910">
              <w:t>70%</w:t>
            </w:r>
          </w:p>
        </w:tc>
        <w:tc>
          <w:tcPr>
            <w:tcW w:w="992" w:type="dxa"/>
            <w:noWrap/>
            <w:hideMark/>
          </w:tcPr>
          <w:p w:rsidR="00614562" w:rsidRPr="00891910" w:rsidRDefault="00614562" w:rsidP="00BC0CAD">
            <w:pPr>
              <w:pStyle w:val="Tabletext"/>
              <w:jc w:val="center"/>
            </w:pPr>
            <w:r w:rsidRPr="00891910">
              <w:t>70%</w:t>
            </w:r>
          </w:p>
        </w:tc>
      </w:tr>
      <w:tr w:rsidR="00614562" w:rsidRPr="004B165A" w:rsidTr="00A152E3">
        <w:trPr>
          <w:trHeight w:val="315"/>
        </w:trPr>
        <w:tc>
          <w:tcPr>
            <w:tcW w:w="4248" w:type="dxa"/>
            <w:gridSpan w:val="2"/>
            <w:noWrap/>
            <w:hideMark/>
          </w:tcPr>
          <w:p w:rsidR="00614562" w:rsidRPr="00BC0CAD" w:rsidRDefault="00614562" w:rsidP="00BC0CAD">
            <w:pPr>
              <w:pStyle w:val="Tabletext"/>
              <w:rPr>
                <w:b/>
                <w:bCs/>
              </w:rPr>
            </w:pPr>
            <w:r w:rsidRPr="00BC0CAD">
              <w:rPr>
                <w:b/>
                <w:bCs/>
              </w:rPr>
              <w:t>Site web de l</w:t>
            </w:r>
            <w:r w:rsidR="00D3135C" w:rsidRPr="00BC0CAD">
              <w:rPr>
                <w:b/>
                <w:bCs/>
              </w:rPr>
              <w:t>'</w:t>
            </w:r>
            <w:r w:rsidRPr="00BC0CAD">
              <w:rPr>
                <w:b/>
                <w:bCs/>
              </w:rPr>
              <w:t>UIT-R</w:t>
            </w:r>
          </w:p>
        </w:tc>
        <w:tc>
          <w:tcPr>
            <w:tcW w:w="992" w:type="dxa"/>
            <w:noWrap/>
            <w:hideMark/>
          </w:tcPr>
          <w:p w:rsidR="00614562" w:rsidRPr="00891910" w:rsidRDefault="00614562" w:rsidP="00BC0CAD">
            <w:pPr>
              <w:pStyle w:val="Tabletext"/>
              <w:jc w:val="center"/>
            </w:pPr>
            <w:r w:rsidRPr="00891910">
              <w:t>100%</w:t>
            </w:r>
          </w:p>
        </w:tc>
        <w:tc>
          <w:tcPr>
            <w:tcW w:w="851" w:type="dxa"/>
            <w:noWrap/>
            <w:hideMark/>
          </w:tcPr>
          <w:p w:rsidR="00614562" w:rsidRPr="00891910" w:rsidRDefault="00614562" w:rsidP="00BC0CAD">
            <w:pPr>
              <w:pStyle w:val="Tabletext"/>
              <w:jc w:val="center"/>
            </w:pPr>
            <w:r w:rsidRPr="00891910">
              <w:t>69%</w:t>
            </w:r>
          </w:p>
        </w:tc>
        <w:tc>
          <w:tcPr>
            <w:tcW w:w="850" w:type="dxa"/>
            <w:noWrap/>
            <w:hideMark/>
          </w:tcPr>
          <w:p w:rsidR="00614562" w:rsidRPr="00891910" w:rsidRDefault="00614562" w:rsidP="00BC0CAD">
            <w:pPr>
              <w:pStyle w:val="Tabletext"/>
              <w:jc w:val="center"/>
            </w:pPr>
            <w:r w:rsidRPr="00891910">
              <w:t>69%</w:t>
            </w:r>
          </w:p>
        </w:tc>
        <w:tc>
          <w:tcPr>
            <w:tcW w:w="851" w:type="dxa"/>
            <w:noWrap/>
            <w:hideMark/>
          </w:tcPr>
          <w:p w:rsidR="00614562" w:rsidRPr="00891910" w:rsidRDefault="00614562" w:rsidP="00BC0CAD">
            <w:pPr>
              <w:pStyle w:val="Tabletext"/>
              <w:jc w:val="center"/>
            </w:pPr>
            <w:r w:rsidRPr="00891910">
              <w:t>50%</w:t>
            </w:r>
          </w:p>
        </w:tc>
        <w:tc>
          <w:tcPr>
            <w:tcW w:w="850" w:type="dxa"/>
            <w:noWrap/>
            <w:hideMark/>
          </w:tcPr>
          <w:p w:rsidR="00614562" w:rsidRPr="00891910" w:rsidRDefault="00614562" w:rsidP="00BC0CAD">
            <w:pPr>
              <w:pStyle w:val="Tabletext"/>
              <w:jc w:val="center"/>
            </w:pPr>
            <w:r w:rsidRPr="00891910">
              <w:t>50%</w:t>
            </w:r>
          </w:p>
        </w:tc>
        <w:tc>
          <w:tcPr>
            <w:tcW w:w="992" w:type="dxa"/>
            <w:noWrap/>
            <w:hideMark/>
          </w:tcPr>
          <w:p w:rsidR="00614562" w:rsidRPr="004B165A" w:rsidRDefault="00614562" w:rsidP="00BC0CAD">
            <w:pPr>
              <w:pStyle w:val="Tabletext"/>
              <w:jc w:val="center"/>
            </w:pPr>
            <w:r w:rsidRPr="00891910">
              <w:t>50%</w:t>
            </w:r>
          </w:p>
        </w:tc>
      </w:tr>
    </w:tbl>
    <w:p w:rsidR="00614562" w:rsidRPr="008653E6" w:rsidRDefault="00614562" w:rsidP="00614562">
      <w:pPr>
        <w:pStyle w:val="Heading3"/>
        <w:rPr>
          <w:lang w:val="fr-CH"/>
        </w:rPr>
      </w:pPr>
      <w:r w:rsidRPr="008653E6">
        <w:rPr>
          <w:lang w:val="fr-CH"/>
        </w:rPr>
        <w:t>8.6.2</w:t>
      </w:r>
      <w:r w:rsidRPr="008653E6">
        <w:rPr>
          <w:lang w:val="fr-CH"/>
        </w:rPr>
        <w:tab/>
        <w:t xml:space="preserve">Promotion </w:t>
      </w:r>
      <w:r w:rsidRPr="008653E6">
        <w:t>et relations avec les médias</w:t>
      </w:r>
    </w:p>
    <w:p w:rsidR="00614562" w:rsidRPr="008653E6" w:rsidRDefault="00614562" w:rsidP="00614562">
      <w:pPr>
        <w:pStyle w:val="Heading4"/>
        <w:rPr>
          <w:lang w:val="fr-CH"/>
        </w:rPr>
      </w:pPr>
      <w:r w:rsidRPr="008653E6">
        <w:rPr>
          <w:lang w:val="fr-CH"/>
        </w:rPr>
        <w:t>8.6.2.1</w:t>
      </w:r>
      <w:r w:rsidRPr="008653E6">
        <w:rPr>
          <w:lang w:val="fr-CH"/>
        </w:rPr>
        <w:tab/>
        <w:t xml:space="preserve">Communication </w:t>
      </w:r>
      <w:r w:rsidRPr="008653E6">
        <w:rPr>
          <w:color w:val="000000"/>
          <w:lang w:val="fr-CH"/>
        </w:rPr>
        <w:t>avec les médias</w:t>
      </w:r>
    </w:p>
    <w:p w:rsidR="00614562" w:rsidRPr="008653E6" w:rsidRDefault="00614562" w:rsidP="008B6DCF">
      <w:pPr>
        <w:rPr>
          <w:lang w:val="fr-CH"/>
        </w:rPr>
      </w:pPr>
      <w:r w:rsidRPr="008653E6">
        <w:rPr>
          <w:lang w:val="fr-CH"/>
        </w:rPr>
        <w:t>Le BR a continué d</w:t>
      </w:r>
      <w:r w:rsidR="00D3135C">
        <w:rPr>
          <w:lang w:val="fr-CH"/>
        </w:rPr>
        <w:t>'</w:t>
      </w:r>
      <w:r w:rsidRPr="008653E6">
        <w:rPr>
          <w:lang w:val="fr-CH"/>
        </w:rPr>
        <w:t>appuyer les objectifs stratégiques de l</w:t>
      </w:r>
      <w:r w:rsidR="00D3135C">
        <w:rPr>
          <w:lang w:val="fr-CH"/>
        </w:rPr>
        <w:t>'</w:t>
      </w:r>
      <w:r w:rsidRPr="008653E6">
        <w:rPr>
          <w:lang w:val="fr-CH"/>
        </w:rPr>
        <w:t>UIT-R en publiant les communicat</w:t>
      </w:r>
      <w:r>
        <w:rPr>
          <w:lang w:val="fr-CH"/>
        </w:rPr>
        <w:t>ions ci</w:t>
      </w:r>
      <w:r w:rsidR="008B6DCF">
        <w:rPr>
          <w:lang w:val="fr-CH"/>
        </w:rPr>
        <w:noBreakHyphen/>
      </w:r>
      <w:r>
        <w:rPr>
          <w:lang w:val="fr-CH"/>
        </w:rPr>
        <w:t xml:space="preserve">après dans le cadre du </w:t>
      </w:r>
      <w:r w:rsidRPr="008653E6">
        <w:rPr>
          <w:color w:val="000000"/>
          <w:lang w:val="fr-CH"/>
        </w:rPr>
        <w:t>Bureau de presse de l</w:t>
      </w:r>
      <w:r w:rsidR="00D3135C">
        <w:rPr>
          <w:color w:val="000000"/>
          <w:lang w:val="fr-CH"/>
        </w:rPr>
        <w:t>'</w:t>
      </w:r>
      <w:r w:rsidRPr="008653E6">
        <w:rPr>
          <w:color w:val="000000"/>
          <w:lang w:val="fr-CH"/>
        </w:rPr>
        <w:t xml:space="preserve">UIT, </w:t>
      </w:r>
      <w:r w:rsidRPr="008653E6">
        <w:rPr>
          <w:color w:val="000000"/>
        </w:rPr>
        <w:t>du mot-dièse</w:t>
      </w:r>
      <w:r w:rsidRPr="008653E6">
        <w:rPr>
          <w:color w:val="000000"/>
          <w:lang w:val="fr-CH"/>
        </w:rPr>
        <w:t xml:space="preserve"> </w:t>
      </w:r>
      <w:r w:rsidRPr="008653E6">
        <w:rPr>
          <w:lang w:val="fr-CH"/>
        </w:rPr>
        <w:t xml:space="preserve">#WRC15 sur les </w:t>
      </w:r>
      <w:hyperlink r:id="rId44" w:history="1">
        <w:r w:rsidRPr="00614562">
          <w:rPr>
            <w:rStyle w:val="Hyperlink"/>
            <w:lang w:val="fr-CH"/>
          </w:rPr>
          <w:t>réseaux sociaux</w:t>
        </w:r>
      </w:hyperlink>
      <w:r w:rsidRPr="008653E6">
        <w:rPr>
          <w:lang w:val="fr-CH"/>
        </w:rPr>
        <w:t>, de</w:t>
      </w:r>
      <w:r>
        <w:rPr>
          <w:color w:val="000000"/>
        </w:rPr>
        <w:t xml:space="preserve"> la S</w:t>
      </w:r>
      <w:r w:rsidRPr="008653E6">
        <w:rPr>
          <w:color w:val="000000"/>
        </w:rPr>
        <w:t>alle de presse</w:t>
      </w:r>
      <w:r w:rsidRPr="008653E6">
        <w:rPr>
          <w:lang w:val="fr-CH"/>
        </w:rPr>
        <w:t xml:space="preserve"> de l</w:t>
      </w:r>
      <w:r w:rsidR="00D3135C">
        <w:rPr>
          <w:lang w:val="fr-CH"/>
        </w:rPr>
        <w:t>'</w:t>
      </w:r>
      <w:r w:rsidRPr="008653E6">
        <w:rPr>
          <w:lang w:val="fr-CH"/>
        </w:rPr>
        <w:t>UIT-R à l</w:t>
      </w:r>
      <w:r w:rsidR="00D3135C">
        <w:rPr>
          <w:lang w:val="fr-CH"/>
        </w:rPr>
        <w:t>'</w:t>
      </w:r>
      <w:r w:rsidRPr="008653E6">
        <w:rPr>
          <w:lang w:val="fr-CH"/>
        </w:rPr>
        <w:t xml:space="preserve">adresse </w:t>
      </w:r>
      <w:hyperlink r:id="rId45" w:history="1">
        <w:r w:rsidRPr="00614562">
          <w:rPr>
            <w:rStyle w:val="Hyperlink"/>
            <w:lang w:val="fr-CH"/>
          </w:rPr>
          <w:t>https://twitter.com/ITU_R</w:t>
        </w:r>
      </w:hyperlink>
      <w:r w:rsidRPr="008653E6">
        <w:rPr>
          <w:lang w:val="fr-CH"/>
        </w:rPr>
        <w:t xml:space="preserve"> et via le site web du BR. Les </w:t>
      </w:r>
      <w:r w:rsidRPr="008653E6">
        <w:rPr>
          <w:color w:val="000000"/>
        </w:rPr>
        <w:t>principaux aspects de ces communications sont les suivants</w:t>
      </w:r>
      <w:r>
        <w:rPr>
          <w:color w:val="000000"/>
        </w:rPr>
        <w:t>:</w:t>
      </w:r>
    </w:p>
    <w:p w:rsidR="00614562" w:rsidRPr="008653E6" w:rsidRDefault="00614562" w:rsidP="00BC0CAD">
      <w:pPr>
        <w:pStyle w:val="enumlev1"/>
        <w:rPr>
          <w:lang w:val="fr-CH"/>
        </w:rPr>
      </w:pPr>
      <w:r w:rsidRPr="008653E6">
        <w:rPr>
          <w:lang w:val="fr-CH"/>
        </w:rPr>
        <w:t>•</w:t>
      </w:r>
      <w:r w:rsidRPr="008653E6">
        <w:rPr>
          <w:lang w:val="fr-CH"/>
        </w:rPr>
        <w:tab/>
      </w:r>
      <w:hyperlink r:id="rId46" w:history="1">
        <w:r w:rsidRPr="00614562">
          <w:rPr>
            <w:rStyle w:val="Hyperlink"/>
          </w:rPr>
          <w:t>Journée mondiale de la radio 2015</w:t>
        </w:r>
      </w:hyperlink>
      <w:r>
        <w:t>, le 13 février 2015</w:t>
      </w:r>
      <w:r w:rsidR="008B6DCF">
        <w:rPr>
          <w:lang w:val="fr-CH"/>
        </w:rPr>
        <w:t>.</w:t>
      </w:r>
    </w:p>
    <w:p w:rsidR="00614562" w:rsidRPr="008653E6" w:rsidRDefault="00614562" w:rsidP="00BC0CAD">
      <w:pPr>
        <w:pStyle w:val="enumlev1"/>
        <w:rPr>
          <w:lang w:val="fr-CH"/>
        </w:rPr>
      </w:pPr>
      <w:r w:rsidRPr="008653E6">
        <w:rPr>
          <w:lang w:val="fr-CH"/>
        </w:rPr>
        <w:t>•</w:t>
      </w:r>
      <w:r w:rsidRPr="008653E6">
        <w:rPr>
          <w:lang w:val="fr-CH"/>
        </w:rPr>
        <w:tab/>
      </w:r>
      <w:hyperlink r:id="rId47" w:history="1">
        <w:r w:rsidRPr="008C6F81">
          <w:rPr>
            <w:rStyle w:val="Hyperlink"/>
            <w:lang w:val="fr-CH"/>
          </w:rPr>
          <w:t>C</w:t>
        </w:r>
        <w:r w:rsidRPr="008C6F81">
          <w:rPr>
            <w:rStyle w:val="Hyperlink"/>
          </w:rPr>
          <w:t>olloque de l</w:t>
        </w:r>
        <w:r w:rsidR="00D3135C">
          <w:rPr>
            <w:rStyle w:val="Hyperlink"/>
          </w:rPr>
          <w:t>'</w:t>
        </w:r>
        <w:r w:rsidRPr="008C6F81">
          <w:rPr>
            <w:rStyle w:val="Hyperlink"/>
          </w:rPr>
          <w:t>UIT consacré aux besoins de réglementation pour les systèmes de communication utilisant de petits satellites</w:t>
        </w:r>
      </w:hyperlink>
      <w:r w:rsidRPr="008653E6">
        <w:rPr>
          <w:lang w:val="fr-CH"/>
        </w:rPr>
        <w:t xml:space="preserve"> </w:t>
      </w:r>
      <w:r>
        <w:rPr>
          <w:lang w:val="fr-CH"/>
        </w:rPr>
        <w:t>(Prague, 2-4 m</w:t>
      </w:r>
      <w:r w:rsidR="008B6DCF">
        <w:rPr>
          <w:lang w:val="fr-CH"/>
        </w:rPr>
        <w:t>ars 2015).</w:t>
      </w:r>
    </w:p>
    <w:p w:rsidR="00614562" w:rsidRPr="008653E6" w:rsidRDefault="00614562" w:rsidP="008B6DCF">
      <w:pPr>
        <w:pStyle w:val="enumlev1"/>
        <w:rPr>
          <w:lang w:val="fr-CH"/>
        </w:rPr>
      </w:pPr>
      <w:r w:rsidRPr="008653E6">
        <w:rPr>
          <w:lang w:val="fr-CH"/>
        </w:rPr>
        <w:t>•</w:t>
      </w:r>
      <w:r w:rsidRPr="008653E6">
        <w:rPr>
          <w:lang w:val="fr-CH"/>
        </w:rPr>
        <w:tab/>
      </w:r>
      <w:hyperlink r:id="rId48" w:history="1">
        <w:r w:rsidR="008B6DCF" w:rsidRPr="008C6F81">
          <w:rPr>
            <w:rStyle w:val="Hyperlink"/>
            <w:lang w:val="fr-CH"/>
          </w:rPr>
          <w:t>D</w:t>
        </w:r>
        <w:r w:rsidRPr="008C6F81">
          <w:rPr>
            <w:rStyle w:val="Hyperlink"/>
            <w:lang w:val="fr-CH"/>
          </w:rPr>
          <w:t>euxième session de la RPC-15 en vue de la CMR-15</w:t>
        </w:r>
      </w:hyperlink>
      <w:r w:rsidRPr="008653E6">
        <w:rPr>
          <w:lang w:val="fr-CH"/>
        </w:rPr>
        <w:t xml:space="preserve"> </w:t>
      </w:r>
      <w:r w:rsidR="008C6F81">
        <w:rPr>
          <w:lang w:val="fr-CH"/>
        </w:rPr>
        <w:t>(Genève, 23 mars</w:t>
      </w:r>
      <w:r w:rsidR="008B6DCF">
        <w:rPr>
          <w:lang w:val="fr-CH"/>
        </w:rPr>
        <w:noBreakHyphen/>
      </w:r>
      <w:r w:rsidR="008C6F81">
        <w:rPr>
          <w:lang w:val="fr-CH"/>
        </w:rPr>
        <w:t>2 avril 2015)</w:t>
      </w:r>
      <w:r w:rsidR="008B6DCF">
        <w:rPr>
          <w:lang w:val="fr-CH"/>
        </w:rPr>
        <w:t>.</w:t>
      </w:r>
    </w:p>
    <w:p w:rsidR="00614562" w:rsidRPr="008653E6" w:rsidRDefault="00614562" w:rsidP="00BC0CAD">
      <w:pPr>
        <w:pStyle w:val="enumlev1"/>
        <w:rPr>
          <w:lang w:val="fr-CH"/>
        </w:rPr>
      </w:pPr>
      <w:r w:rsidRPr="008653E6">
        <w:rPr>
          <w:lang w:val="fr-CH"/>
        </w:rPr>
        <w:t>•</w:t>
      </w:r>
      <w:r w:rsidRPr="008653E6">
        <w:rPr>
          <w:lang w:val="fr-CH"/>
        </w:rPr>
        <w:tab/>
      </w:r>
      <w:hyperlink r:id="rId49" w:history="1">
        <w:r w:rsidR="008B6DCF" w:rsidRPr="008C6F81">
          <w:rPr>
            <w:rStyle w:val="Hyperlink"/>
            <w:lang w:val="fr-CH"/>
          </w:rPr>
          <w:t>P</w:t>
        </w:r>
        <w:r w:rsidRPr="008C6F81">
          <w:rPr>
            <w:rStyle w:val="Hyperlink"/>
            <w:lang w:val="fr-CH"/>
          </w:rPr>
          <w:t>assage de la radiodiffusion télévisuelle analogique à la radiodiffusion télévisuelle numérique</w:t>
        </w:r>
      </w:hyperlink>
      <w:r w:rsidRPr="008653E6">
        <w:rPr>
          <w:lang w:val="fr-CH"/>
        </w:rPr>
        <w:t xml:space="preserve"> pour 119 pays </w:t>
      </w:r>
      <w:r w:rsidRPr="008653E6">
        <w:t>d</w:t>
      </w:r>
      <w:r w:rsidR="00D3135C">
        <w:t>'</w:t>
      </w:r>
      <w:r w:rsidRPr="008653E6">
        <w:t>Europe, d</w:t>
      </w:r>
      <w:r w:rsidR="00D3135C">
        <w:t>'</w:t>
      </w:r>
      <w:r w:rsidRPr="008653E6">
        <w:t>Afrique, du Moyen-Orient</w:t>
      </w:r>
      <w:r w:rsidRPr="008653E6">
        <w:rPr>
          <w:lang w:val="fr-CH"/>
        </w:rPr>
        <w:t xml:space="preserve"> et d</w:t>
      </w:r>
      <w:r w:rsidR="00D3135C">
        <w:rPr>
          <w:lang w:val="fr-CH"/>
        </w:rPr>
        <w:t>'</w:t>
      </w:r>
      <w:r w:rsidRPr="008653E6">
        <w:t>Asie centrale</w:t>
      </w:r>
      <w:r w:rsidRPr="008653E6">
        <w:rPr>
          <w:lang w:val="fr-CH"/>
        </w:rPr>
        <w:t xml:space="preserve">, y compris le </w:t>
      </w:r>
      <w:hyperlink r:id="rId50" w:history="1">
        <w:r w:rsidRPr="008C6F81">
          <w:rPr>
            <w:rStyle w:val="Hyperlink"/>
            <w:lang w:val="fr-CH"/>
          </w:rPr>
          <w:t xml:space="preserve">Colloque </w:t>
        </w:r>
        <w:r w:rsidRPr="008C6F81">
          <w:rPr>
            <w:rStyle w:val="Hyperlink"/>
          </w:rPr>
          <w:t>de l</w:t>
        </w:r>
        <w:r w:rsidR="00D3135C">
          <w:rPr>
            <w:rStyle w:val="Hyperlink"/>
          </w:rPr>
          <w:t>'</w:t>
        </w:r>
        <w:r w:rsidRPr="008C6F81">
          <w:rPr>
            <w:rStyle w:val="Hyperlink"/>
          </w:rPr>
          <w:t>UIT pour marquer le passage de la télévision analogique à la télévision numérique</w:t>
        </w:r>
      </w:hyperlink>
      <w:r w:rsidRPr="008653E6">
        <w:rPr>
          <w:lang w:val="fr-CH"/>
        </w:rPr>
        <w:t xml:space="preserve"> </w:t>
      </w:r>
      <w:r>
        <w:rPr>
          <w:lang w:val="fr-CH"/>
        </w:rPr>
        <w:t>(17 j</w:t>
      </w:r>
      <w:r w:rsidR="008B6DCF">
        <w:rPr>
          <w:lang w:val="fr-CH"/>
        </w:rPr>
        <w:t>uin 2015).</w:t>
      </w:r>
    </w:p>
    <w:p w:rsidR="00614562" w:rsidRPr="008653E6" w:rsidRDefault="00614562" w:rsidP="008B6DCF">
      <w:pPr>
        <w:pStyle w:val="enumlev1"/>
        <w:rPr>
          <w:lang w:val="fr-CH"/>
        </w:rPr>
      </w:pPr>
      <w:r w:rsidRPr="008653E6">
        <w:rPr>
          <w:lang w:val="fr-CH"/>
        </w:rPr>
        <w:t>•</w:t>
      </w:r>
      <w:r w:rsidRPr="008653E6">
        <w:rPr>
          <w:lang w:val="fr-CH"/>
        </w:rPr>
        <w:tab/>
      </w:r>
      <w:hyperlink r:id="rId51" w:history="1">
        <w:r w:rsidRPr="008C6F81">
          <w:rPr>
            <w:rStyle w:val="Hyperlink"/>
            <w:lang w:val="fr-CH"/>
          </w:rPr>
          <w:t>Séminaires régionaux des radiocommunications de l</w:t>
        </w:r>
        <w:r w:rsidR="00D3135C">
          <w:rPr>
            <w:rStyle w:val="Hyperlink"/>
            <w:lang w:val="fr-CH"/>
          </w:rPr>
          <w:t>'</w:t>
        </w:r>
        <w:r w:rsidRPr="008C6F81">
          <w:rPr>
            <w:rStyle w:val="Hyperlink"/>
            <w:lang w:val="fr-CH"/>
          </w:rPr>
          <w:t>UIT</w:t>
        </w:r>
      </w:hyperlink>
      <w:r w:rsidRPr="008653E6">
        <w:rPr>
          <w:lang w:val="fr-CH"/>
        </w:rPr>
        <w:t xml:space="preserve"> (mar</w:t>
      </w:r>
      <w:r w:rsidR="008C6F81">
        <w:rPr>
          <w:lang w:val="fr-CH"/>
        </w:rPr>
        <w:t>s, avril, mai et juillet 2015)</w:t>
      </w:r>
      <w:r w:rsidR="008B6DCF">
        <w:rPr>
          <w:lang w:val="fr-CH"/>
        </w:rPr>
        <w:t>.</w:t>
      </w:r>
    </w:p>
    <w:p w:rsidR="00614562" w:rsidRPr="008653E6" w:rsidRDefault="00614562" w:rsidP="00BC0CAD">
      <w:pPr>
        <w:pStyle w:val="enumlev1"/>
        <w:rPr>
          <w:lang w:val="fr-CH"/>
        </w:rPr>
      </w:pPr>
      <w:r w:rsidRPr="008653E6">
        <w:rPr>
          <w:lang w:val="fr-CH"/>
        </w:rPr>
        <w:t>•</w:t>
      </w:r>
      <w:r w:rsidRPr="008653E6">
        <w:rPr>
          <w:lang w:val="fr-CH"/>
        </w:rPr>
        <w:tab/>
      </w:r>
      <w:r w:rsidR="008B6DCF" w:rsidRPr="008653E6">
        <w:rPr>
          <w:lang w:val="fr-CH"/>
        </w:rPr>
        <w:t>A</w:t>
      </w:r>
      <w:r w:rsidRPr="008653E6">
        <w:rPr>
          <w:lang w:val="fr-CH"/>
        </w:rPr>
        <w:t>doption d</w:t>
      </w:r>
      <w:r w:rsidR="00D3135C">
        <w:rPr>
          <w:lang w:val="fr-CH"/>
        </w:rPr>
        <w:t>'</w:t>
      </w:r>
      <w:r w:rsidRPr="008653E6">
        <w:rPr>
          <w:lang w:val="fr-CH"/>
        </w:rPr>
        <w:t xml:space="preserve">une </w:t>
      </w:r>
      <w:hyperlink r:id="rId52" w:history="1">
        <w:r w:rsidRPr="008C6F81">
          <w:rPr>
            <w:rStyle w:val="Hyperlink"/>
          </w:rPr>
          <w:t>feuille de route de l</w:t>
        </w:r>
        <w:r w:rsidR="00D3135C">
          <w:rPr>
            <w:rStyle w:val="Hyperlink"/>
          </w:rPr>
          <w:t>'</w:t>
        </w:r>
        <w:r w:rsidRPr="008C6F81">
          <w:rPr>
            <w:rStyle w:val="Hyperlink"/>
          </w:rPr>
          <w:t>UIT pour la technologie mobile 5G</w:t>
        </w:r>
        <w:r w:rsidR="008C6F81" w:rsidRPr="008C6F81">
          <w:rPr>
            <w:rStyle w:val="Hyperlink"/>
            <w:lang w:val="fr-CH"/>
          </w:rPr>
          <w:t xml:space="preserve"> et</w:t>
        </w:r>
        <w:r w:rsidRPr="008C6F81">
          <w:rPr>
            <w:rStyle w:val="Hyperlink"/>
          </w:rPr>
          <w:t xml:space="preserve"> le développement des systèmes mobiles 5G ou </w:t>
        </w:r>
        <w:r w:rsidRPr="008C6F81">
          <w:rPr>
            <w:rStyle w:val="Hyperlink"/>
            <w:lang w:val="fr-CH"/>
          </w:rPr>
          <w:t>IMT-2020</w:t>
        </w:r>
      </w:hyperlink>
      <w:r>
        <w:rPr>
          <w:lang w:val="fr-CH"/>
        </w:rPr>
        <w:t xml:space="preserve"> (19 j</w:t>
      </w:r>
      <w:r w:rsidRPr="008653E6">
        <w:rPr>
          <w:lang w:val="fr-CH"/>
        </w:rPr>
        <w:t>uin 2015)</w:t>
      </w:r>
      <w:r w:rsidR="008B6DCF">
        <w:rPr>
          <w:lang w:val="fr-CH"/>
        </w:rPr>
        <w:t>.</w:t>
      </w:r>
    </w:p>
    <w:p w:rsidR="00614562" w:rsidRPr="008653E6" w:rsidRDefault="00614562" w:rsidP="008B6DCF">
      <w:pPr>
        <w:pStyle w:val="enumlev1"/>
        <w:rPr>
          <w:lang w:val="fr-CH"/>
        </w:rPr>
      </w:pPr>
      <w:r w:rsidRPr="008653E6">
        <w:rPr>
          <w:lang w:val="fr-CH"/>
        </w:rPr>
        <w:t>•</w:t>
      </w:r>
      <w:r w:rsidRPr="008653E6">
        <w:rPr>
          <w:lang w:val="fr-CH"/>
        </w:rPr>
        <w:tab/>
      </w:r>
      <w:r w:rsidR="008B6DCF" w:rsidRPr="008653E6">
        <w:rPr>
          <w:lang w:val="fr-CH"/>
        </w:rPr>
        <w:t>A</w:t>
      </w:r>
      <w:r w:rsidRPr="008653E6">
        <w:rPr>
          <w:lang w:val="fr-CH"/>
        </w:rPr>
        <w:t>dopt</w:t>
      </w:r>
      <w:r>
        <w:rPr>
          <w:lang w:val="fr-CH"/>
        </w:rPr>
        <w:t xml:space="preserve">ion de la </w:t>
      </w:r>
      <w:hyperlink r:id="rId53" w:history="1">
        <w:r w:rsidRPr="008C6F81">
          <w:rPr>
            <w:rStyle w:val="Hyperlink"/>
            <w:lang w:val="fr-CH"/>
          </w:rPr>
          <w:t>Recommandation UIT-</w:t>
        </w:r>
        <w:r w:rsidR="008C6F81" w:rsidRPr="008C6F81">
          <w:rPr>
            <w:rStyle w:val="Hyperlink"/>
            <w:lang w:val="fr-CH"/>
          </w:rPr>
          <w:t xml:space="preserve">R </w:t>
        </w:r>
        <w:r w:rsidRPr="008C6F81">
          <w:rPr>
            <w:rStyle w:val="Hyperlink"/>
            <w:lang w:val="fr-CH"/>
          </w:rPr>
          <w:t>BS</w:t>
        </w:r>
        <w:r w:rsidR="008B6DCF">
          <w:rPr>
            <w:rStyle w:val="Hyperlink"/>
            <w:lang w:val="fr-CH"/>
          </w:rPr>
          <w:t>.</w:t>
        </w:r>
        <w:r w:rsidRPr="008C6F81">
          <w:rPr>
            <w:rStyle w:val="Hyperlink"/>
            <w:lang w:val="fr-CH"/>
          </w:rPr>
          <w:t xml:space="preserve">2008-0 relative </w:t>
        </w:r>
        <w:r w:rsidRPr="008C6F81">
          <w:rPr>
            <w:rStyle w:val="Hyperlink"/>
          </w:rPr>
          <w:t>à la technologie d</w:t>
        </w:r>
        <w:r w:rsidR="008C6F81" w:rsidRPr="008C6F81">
          <w:rPr>
            <w:rStyle w:val="Hyperlink"/>
          </w:rPr>
          <w:t>e radiodiffusion sonore évoluée</w:t>
        </w:r>
      </w:hyperlink>
      <w:r w:rsidRPr="008653E6">
        <w:rPr>
          <w:lang w:val="fr-CH"/>
        </w:rPr>
        <w:t xml:space="preserve"> (19 octobre 2015)</w:t>
      </w:r>
      <w:r w:rsidR="008B6DCF">
        <w:rPr>
          <w:lang w:val="fr-CH"/>
        </w:rPr>
        <w:t>.</w:t>
      </w:r>
    </w:p>
    <w:p w:rsidR="00614562" w:rsidRPr="008653E6" w:rsidRDefault="00614562" w:rsidP="00BC0CAD">
      <w:pPr>
        <w:pStyle w:val="enumlev1"/>
        <w:rPr>
          <w:lang w:val="fr-CH"/>
        </w:rPr>
      </w:pPr>
      <w:r w:rsidRPr="008653E6">
        <w:rPr>
          <w:lang w:val="fr-CH"/>
        </w:rPr>
        <w:t>•</w:t>
      </w:r>
      <w:r w:rsidRPr="008653E6">
        <w:rPr>
          <w:lang w:val="fr-CH"/>
        </w:rPr>
        <w:tab/>
      </w:r>
      <w:hyperlink r:id="rId54" w:history="1">
        <w:r w:rsidRPr="008C6F81">
          <w:rPr>
            <w:rStyle w:val="Hyperlink"/>
            <w:lang w:val="fr-CH"/>
          </w:rPr>
          <w:t>AR-15 et CMR-15</w:t>
        </w:r>
      </w:hyperlink>
      <w:r w:rsidRPr="008653E6">
        <w:rPr>
          <w:lang w:val="fr-CH"/>
        </w:rPr>
        <w:t xml:space="preserve"> (</w:t>
      </w:r>
      <w:r w:rsidR="008C6F81">
        <w:rPr>
          <w:lang w:val="fr-CH"/>
        </w:rPr>
        <w:t>octobre</w:t>
      </w:r>
      <w:r w:rsidR="00BC0CAD">
        <w:rPr>
          <w:lang w:val="fr-CH"/>
        </w:rPr>
        <w:noBreakHyphen/>
      </w:r>
      <w:r w:rsidR="008C6F81">
        <w:rPr>
          <w:lang w:val="fr-CH"/>
        </w:rPr>
        <w:t>novembre 2015).</w:t>
      </w:r>
    </w:p>
    <w:p w:rsidR="00614562" w:rsidRPr="008653E6" w:rsidRDefault="00614562" w:rsidP="008B6DCF">
      <w:pPr>
        <w:rPr>
          <w:lang w:val="fr-CH"/>
        </w:rPr>
      </w:pPr>
      <w:r w:rsidRPr="008653E6">
        <w:rPr>
          <w:lang w:val="fr-CH"/>
        </w:rPr>
        <w:t>Un certain nombre de</w:t>
      </w:r>
      <w:r w:rsidR="00116866">
        <w:rPr>
          <w:lang w:val="fr-CH"/>
        </w:rPr>
        <w:t xml:space="preserve"> communications relatives à la C</w:t>
      </w:r>
      <w:r w:rsidRPr="008653E6">
        <w:rPr>
          <w:lang w:val="fr-CH"/>
        </w:rPr>
        <w:t>onférence mondiale des radiocommunica</w:t>
      </w:r>
      <w:r w:rsidR="00116866">
        <w:rPr>
          <w:lang w:val="fr-CH"/>
        </w:rPr>
        <w:t>tions (CMR-</w:t>
      </w:r>
      <w:r w:rsidRPr="008653E6">
        <w:rPr>
          <w:lang w:val="fr-CH"/>
        </w:rPr>
        <w:t>15</w:t>
      </w:r>
      <w:r w:rsidR="00116866">
        <w:rPr>
          <w:lang w:val="fr-CH"/>
        </w:rPr>
        <w:t>)</w:t>
      </w:r>
      <w:r w:rsidR="003F4104">
        <w:rPr>
          <w:lang w:val="fr-CH"/>
        </w:rPr>
        <w:t xml:space="preserve"> et à</w:t>
      </w:r>
      <w:r w:rsidRPr="008653E6">
        <w:rPr>
          <w:lang w:val="fr-CH"/>
        </w:rPr>
        <w:t xml:space="preserve"> l</w:t>
      </w:r>
      <w:r w:rsidR="00D3135C">
        <w:rPr>
          <w:lang w:val="fr-CH"/>
        </w:rPr>
        <w:t>'</w:t>
      </w:r>
      <w:r w:rsidR="00116866">
        <w:rPr>
          <w:lang w:val="fr-CH"/>
        </w:rPr>
        <w:t>A</w:t>
      </w:r>
      <w:r w:rsidRPr="008653E6">
        <w:rPr>
          <w:lang w:val="fr-CH"/>
        </w:rPr>
        <w:t xml:space="preserve">ssemblée </w:t>
      </w:r>
      <w:r w:rsidR="003F4104">
        <w:rPr>
          <w:lang w:val="fr-CH"/>
        </w:rPr>
        <w:t>des radiocommunications</w:t>
      </w:r>
      <w:r w:rsidR="00116866">
        <w:rPr>
          <w:lang w:val="fr-CH"/>
        </w:rPr>
        <w:t xml:space="preserve"> (AR-</w:t>
      </w:r>
      <w:r w:rsidRPr="008653E6">
        <w:rPr>
          <w:lang w:val="fr-CH"/>
        </w:rPr>
        <w:t xml:space="preserve">15), donnant des renseignements utiles aux délégués </w:t>
      </w:r>
      <w:r w:rsidR="003F4104">
        <w:rPr>
          <w:lang w:val="fr-CH"/>
        </w:rPr>
        <w:t>et aux médias, ont été publiées</w:t>
      </w:r>
      <w:r w:rsidRPr="008653E6">
        <w:rPr>
          <w:lang w:val="fr-CH"/>
        </w:rPr>
        <w:t xml:space="preserve"> </w:t>
      </w:r>
      <w:r w:rsidRPr="008653E6">
        <w:rPr>
          <w:color w:val="000000"/>
        </w:rPr>
        <w:t xml:space="preserve">sur le site de la </w:t>
      </w:r>
      <w:hyperlink r:id="rId55" w:history="1">
        <w:r w:rsidRPr="003F4104">
          <w:rPr>
            <w:rStyle w:val="Hyperlink"/>
          </w:rPr>
          <w:t>Salle de presse de la CMR-15</w:t>
        </w:r>
      </w:hyperlink>
      <w:r w:rsidRPr="008653E6">
        <w:rPr>
          <w:color w:val="000000"/>
        </w:rPr>
        <w:t>.</w:t>
      </w:r>
      <w:r w:rsidRPr="008653E6">
        <w:rPr>
          <w:lang w:val="fr-CH"/>
        </w:rPr>
        <w:t xml:space="preserve"> Il s</w:t>
      </w:r>
      <w:r w:rsidR="00D3135C">
        <w:rPr>
          <w:lang w:val="fr-CH"/>
        </w:rPr>
        <w:t>'</w:t>
      </w:r>
      <w:r w:rsidRPr="008653E6">
        <w:rPr>
          <w:lang w:val="fr-CH"/>
        </w:rPr>
        <w:t xml:space="preserve">agissait notamment du </w:t>
      </w:r>
      <w:hyperlink r:id="rId56" w:history="1">
        <w:r w:rsidRPr="003F4104">
          <w:rPr>
            <w:rStyle w:val="Hyperlink"/>
            <w:lang w:val="fr-CH"/>
          </w:rPr>
          <w:t xml:space="preserve">numéro spécial de la revue </w:t>
        </w:r>
        <w:r w:rsidR="003F4104" w:rsidRPr="003F4104">
          <w:rPr>
            <w:rStyle w:val="Hyperlink"/>
            <w:lang w:val="fr-CH"/>
          </w:rPr>
          <w:t>«</w:t>
        </w:r>
        <w:r w:rsidRPr="003F4104">
          <w:rPr>
            <w:rStyle w:val="Hyperlink"/>
            <w:lang w:val="fr-CH"/>
          </w:rPr>
          <w:t>Nouvelles de l</w:t>
        </w:r>
        <w:r w:rsidR="00D3135C">
          <w:rPr>
            <w:rStyle w:val="Hyperlink"/>
            <w:lang w:val="fr-CH"/>
          </w:rPr>
          <w:t>'</w:t>
        </w:r>
        <w:r w:rsidRPr="003F4104">
          <w:rPr>
            <w:rStyle w:val="Hyperlink"/>
            <w:lang w:val="fr-CH"/>
          </w:rPr>
          <w:t>UIT</w:t>
        </w:r>
        <w:r w:rsidR="003F4104" w:rsidRPr="003F4104">
          <w:rPr>
            <w:rStyle w:val="Hyperlink"/>
            <w:lang w:val="fr-CH"/>
          </w:rPr>
          <w:t>»</w:t>
        </w:r>
      </w:hyperlink>
      <w:r w:rsidRPr="008653E6">
        <w:rPr>
          <w:color w:val="000000"/>
          <w:lang w:val="fr-CH"/>
        </w:rPr>
        <w:t xml:space="preserve"> consacré à la CMR-15</w:t>
      </w:r>
      <w:r w:rsidR="003F4104">
        <w:rPr>
          <w:color w:val="000000"/>
          <w:lang w:val="fr-CH"/>
        </w:rPr>
        <w:t>,</w:t>
      </w:r>
      <w:r w:rsidRPr="008653E6">
        <w:rPr>
          <w:color w:val="000000"/>
          <w:lang w:val="fr-CH"/>
        </w:rPr>
        <w:t xml:space="preserve"> </w:t>
      </w:r>
      <w:r w:rsidR="003F4104">
        <w:rPr>
          <w:color w:val="000000"/>
          <w:lang w:val="fr-CH"/>
        </w:rPr>
        <w:t>d</w:t>
      </w:r>
      <w:r w:rsidR="00D3135C">
        <w:rPr>
          <w:color w:val="000000"/>
          <w:lang w:val="fr-CH"/>
        </w:rPr>
        <w:t>'</w:t>
      </w:r>
      <w:r w:rsidR="003F4104">
        <w:rPr>
          <w:color w:val="000000"/>
          <w:lang w:val="fr-CH"/>
        </w:rPr>
        <w:t>un communiqué de presse sur les</w:t>
      </w:r>
      <w:r w:rsidRPr="008653E6">
        <w:rPr>
          <w:lang w:val="fr-CH"/>
        </w:rPr>
        <w:t xml:space="preserve"> orientations</w:t>
      </w:r>
      <w:r w:rsidR="003F4104">
        <w:rPr>
          <w:lang w:val="fr-CH"/>
        </w:rPr>
        <w:t xml:space="preserve"> fixées par l</w:t>
      </w:r>
      <w:r w:rsidR="00D3135C">
        <w:rPr>
          <w:lang w:val="fr-CH"/>
        </w:rPr>
        <w:t>'</w:t>
      </w:r>
      <w:hyperlink r:id="rId57" w:history="1">
        <w:r w:rsidR="003F4104" w:rsidRPr="003F4104">
          <w:rPr>
            <w:rStyle w:val="Hyperlink"/>
            <w:lang w:val="fr-CH"/>
          </w:rPr>
          <w:t>AR-15</w:t>
        </w:r>
      </w:hyperlink>
      <w:r w:rsidRPr="008653E6">
        <w:rPr>
          <w:lang w:val="fr-CH"/>
        </w:rPr>
        <w:t xml:space="preserve"> concernant les nouvelles technologies de communication</w:t>
      </w:r>
      <w:r w:rsidR="003F4104">
        <w:rPr>
          <w:lang w:val="fr-CH"/>
        </w:rPr>
        <w:t xml:space="preserve"> sans fil</w:t>
      </w:r>
      <w:r w:rsidRPr="008653E6">
        <w:rPr>
          <w:lang w:val="fr-CH"/>
        </w:rPr>
        <w:t xml:space="preserve"> pour améliorer la connectivité et l</w:t>
      </w:r>
      <w:r w:rsidR="00D3135C">
        <w:rPr>
          <w:lang w:val="fr-CH"/>
        </w:rPr>
        <w:t>'</w:t>
      </w:r>
      <w:r w:rsidRPr="008653E6">
        <w:rPr>
          <w:lang w:val="fr-CH"/>
        </w:rPr>
        <w:t>accessibilité dans le monde</w:t>
      </w:r>
      <w:r w:rsidRPr="008653E6">
        <w:rPr>
          <w:color w:val="000000"/>
          <w:lang w:val="fr-CH"/>
        </w:rPr>
        <w:t xml:space="preserve"> et </w:t>
      </w:r>
      <w:r w:rsidR="003F4104">
        <w:rPr>
          <w:color w:val="000000"/>
          <w:lang w:val="fr-CH"/>
        </w:rPr>
        <w:t>d</w:t>
      </w:r>
      <w:r w:rsidR="00D3135C">
        <w:rPr>
          <w:color w:val="000000"/>
          <w:lang w:val="fr-CH"/>
        </w:rPr>
        <w:t>'</w:t>
      </w:r>
      <w:r w:rsidR="003F4104">
        <w:rPr>
          <w:color w:val="000000"/>
          <w:lang w:val="fr-CH"/>
        </w:rPr>
        <w:t>un communiqué de presse sur les</w:t>
      </w:r>
      <w:r w:rsidRPr="008653E6">
        <w:rPr>
          <w:color w:val="000000"/>
          <w:lang w:val="fr-CH"/>
        </w:rPr>
        <w:t xml:space="preserve"> bandes de fréquences </w:t>
      </w:r>
      <w:r w:rsidR="003F4104">
        <w:rPr>
          <w:color w:val="000000"/>
          <w:lang w:val="fr-CH"/>
        </w:rPr>
        <w:t xml:space="preserve">attribuées par la </w:t>
      </w:r>
      <w:hyperlink r:id="rId58" w:history="1">
        <w:r w:rsidR="003F4104" w:rsidRPr="003F4104">
          <w:rPr>
            <w:rStyle w:val="Hyperlink"/>
            <w:lang w:val="fr-CH"/>
          </w:rPr>
          <w:t>CMR-15</w:t>
        </w:r>
      </w:hyperlink>
      <w:r w:rsidR="003F4104">
        <w:rPr>
          <w:color w:val="000000"/>
          <w:lang w:val="fr-CH"/>
        </w:rPr>
        <w:t xml:space="preserve"> </w:t>
      </w:r>
      <w:r w:rsidRPr="008653E6">
        <w:rPr>
          <w:color w:val="000000"/>
          <w:lang w:val="fr-CH"/>
        </w:rPr>
        <w:t>pour favoriser les innovations futures et encourager les investissements à long terme dans le secteur des TIC.</w:t>
      </w:r>
      <w:r w:rsidRPr="008653E6">
        <w:rPr>
          <w:lang w:val="fr-CH"/>
        </w:rPr>
        <w:t xml:space="preserve"> Plus de 200 demandes de la part de médias ont été reçues, dont pl</w:t>
      </w:r>
      <w:r w:rsidR="003F4104">
        <w:rPr>
          <w:lang w:val="fr-CH"/>
        </w:rPr>
        <w:t>us de 70 avaient trait à la CMR-15</w:t>
      </w:r>
      <w:r w:rsidRPr="008653E6">
        <w:rPr>
          <w:lang w:val="fr-CH"/>
        </w:rPr>
        <w:t>. La couverture d</w:t>
      </w:r>
      <w:r w:rsidR="003F4104">
        <w:rPr>
          <w:lang w:val="fr-CH"/>
        </w:rPr>
        <w:t xml:space="preserve">e la CMR-15 dans les réseaux sociaux </w:t>
      </w:r>
      <w:r w:rsidRPr="008653E6">
        <w:rPr>
          <w:lang w:val="fr-CH"/>
        </w:rPr>
        <w:t>(</w:t>
      </w:r>
      <w:hyperlink r:id="rId59" w:history="1">
        <w:r w:rsidRPr="003F4104">
          <w:rPr>
            <w:rStyle w:val="Hyperlink"/>
            <w:lang w:val="fr-CH"/>
          </w:rPr>
          <w:t>#WRC15</w:t>
        </w:r>
      </w:hyperlink>
      <w:r w:rsidRPr="008653E6">
        <w:rPr>
          <w:lang w:val="fr-CH"/>
        </w:rPr>
        <w:t>), y compris la part</w:t>
      </w:r>
      <w:r w:rsidR="003F4104">
        <w:rPr>
          <w:lang w:val="fr-CH"/>
        </w:rPr>
        <w:t xml:space="preserve">icipation à distance (Twitter) </w:t>
      </w:r>
      <w:r w:rsidRPr="008653E6">
        <w:rPr>
          <w:lang w:val="fr-CH"/>
        </w:rPr>
        <w:t>aux conférences de presse</w:t>
      </w:r>
      <w:r w:rsidR="008B6DCF">
        <w:rPr>
          <w:lang w:val="fr-CH"/>
        </w:rPr>
        <w:t>,</w:t>
      </w:r>
      <w:r w:rsidRPr="008653E6">
        <w:rPr>
          <w:lang w:val="fr-CH"/>
        </w:rPr>
        <w:t xml:space="preserve"> a donné lieu à 3</w:t>
      </w:r>
      <w:r w:rsidR="003F4104">
        <w:rPr>
          <w:lang w:val="fr-CH"/>
        </w:rPr>
        <w:t xml:space="preserve"> </w:t>
      </w:r>
      <w:r w:rsidRPr="008653E6">
        <w:rPr>
          <w:lang w:val="fr-CH"/>
        </w:rPr>
        <w:t xml:space="preserve">708 tweets </w:t>
      </w:r>
      <w:r w:rsidRPr="008653E6">
        <w:rPr>
          <w:color w:val="000000"/>
        </w:rPr>
        <w:t>envoyés par</w:t>
      </w:r>
      <w:r w:rsidRPr="008653E6">
        <w:rPr>
          <w:lang w:val="fr-CH"/>
        </w:rPr>
        <w:t xml:space="preserve"> 1</w:t>
      </w:r>
      <w:r w:rsidR="003F4104">
        <w:rPr>
          <w:lang w:val="fr-CH"/>
        </w:rPr>
        <w:t xml:space="preserve"> </w:t>
      </w:r>
      <w:r w:rsidRPr="008653E6">
        <w:rPr>
          <w:lang w:val="fr-CH"/>
        </w:rPr>
        <w:t xml:space="preserve">804 </w:t>
      </w:r>
      <w:r w:rsidR="003F4104">
        <w:rPr>
          <w:lang w:val="fr-CH"/>
        </w:rPr>
        <w:t xml:space="preserve">personnes à </w:t>
      </w:r>
      <w:r w:rsidRPr="008653E6">
        <w:rPr>
          <w:lang w:val="fr-CH"/>
        </w:rPr>
        <w:t>14</w:t>
      </w:r>
      <w:r w:rsidR="003F4104">
        <w:rPr>
          <w:lang w:val="fr-CH"/>
        </w:rPr>
        <w:t>,</w:t>
      </w:r>
      <w:r w:rsidRPr="008653E6">
        <w:rPr>
          <w:lang w:val="fr-CH"/>
        </w:rPr>
        <w:t>58 millions d</w:t>
      </w:r>
      <w:r w:rsidR="00D3135C">
        <w:rPr>
          <w:lang w:val="fr-CH"/>
        </w:rPr>
        <w:t>'</w:t>
      </w:r>
      <w:r w:rsidRPr="008653E6">
        <w:rPr>
          <w:lang w:val="fr-CH"/>
        </w:rPr>
        <w:t>autres, so</w:t>
      </w:r>
      <w:r w:rsidR="003F4104">
        <w:rPr>
          <w:lang w:val="fr-CH"/>
        </w:rPr>
        <w:t>it une audience potentielle de 36,49 </w:t>
      </w:r>
      <w:r w:rsidRPr="008653E6">
        <w:rPr>
          <w:lang w:val="fr-CH"/>
        </w:rPr>
        <w:t>millions de perso</w:t>
      </w:r>
      <w:r w:rsidR="003F4104">
        <w:rPr>
          <w:lang w:val="fr-CH"/>
        </w:rPr>
        <w:t>nnes pour les messages (tweets)</w:t>
      </w:r>
      <w:r w:rsidRPr="008653E6">
        <w:rPr>
          <w:lang w:val="fr-CH"/>
        </w:rPr>
        <w:t xml:space="preserve"> </w:t>
      </w:r>
      <w:hyperlink r:id="rId60" w:history="1">
        <w:r w:rsidR="003F4104" w:rsidRPr="003F4104">
          <w:rPr>
            <w:rStyle w:val="Hyperlink"/>
            <w:lang w:val="fr-CH"/>
          </w:rPr>
          <w:t>#WRC15</w:t>
        </w:r>
      </w:hyperlink>
      <w:r w:rsidR="003F4104">
        <w:rPr>
          <w:lang w:val="fr-CH"/>
        </w:rPr>
        <w:t>.</w:t>
      </w:r>
    </w:p>
    <w:p w:rsidR="00614562" w:rsidRPr="008653E6" w:rsidRDefault="003F4104" w:rsidP="003F4104">
      <w:pPr>
        <w:pStyle w:val="Heading4"/>
      </w:pPr>
      <w:bookmarkStart w:id="150" w:name="_Toc424047609"/>
      <w:bookmarkStart w:id="151" w:name="_Toc426463267"/>
      <w:r>
        <w:t>8.6.2.2</w:t>
      </w:r>
      <w:r w:rsidR="00614562" w:rsidRPr="008653E6">
        <w:tab/>
        <w:t>Questions les plus fréquemment posées (FAQ)</w:t>
      </w:r>
      <w:bookmarkEnd w:id="150"/>
      <w:bookmarkEnd w:id="151"/>
    </w:p>
    <w:p w:rsidR="00614562" w:rsidRPr="008653E6" w:rsidRDefault="00614562" w:rsidP="00BC0CAD">
      <w:r w:rsidRPr="008653E6">
        <w:t>Le BR a élaboré plusieurs séries de rubriques intitulées «</w:t>
      </w:r>
      <w:r w:rsidRPr="008653E6">
        <w:rPr>
          <w:color w:val="000000"/>
        </w:rPr>
        <w:t>Questions les plus fréquemment posées», qu</w:t>
      </w:r>
      <w:r w:rsidR="00D3135C">
        <w:rPr>
          <w:color w:val="000000"/>
        </w:rPr>
        <w:t>'</w:t>
      </w:r>
      <w:r w:rsidRPr="008653E6">
        <w:rPr>
          <w:color w:val="000000"/>
        </w:rPr>
        <w:t xml:space="preserve">il met régulièrement à jour. </w:t>
      </w:r>
      <w:r w:rsidRPr="008653E6">
        <w:t>Ces rubriques, qui s</w:t>
      </w:r>
      <w:r w:rsidR="00D3135C">
        <w:t>'</w:t>
      </w:r>
      <w:r w:rsidRPr="008653E6">
        <w:t>adressent aux médias, au secteur privé en général ainsi qu</w:t>
      </w:r>
      <w:r w:rsidR="00D3135C">
        <w:t>'</w:t>
      </w:r>
      <w:r w:rsidRPr="008653E6">
        <w:t>au grand public, portent sur les questions suivantes:</w:t>
      </w:r>
    </w:p>
    <w:p w:rsidR="00614562" w:rsidRPr="008653E6" w:rsidRDefault="00614562" w:rsidP="00614562">
      <w:pPr>
        <w:pStyle w:val="enumlev1"/>
        <w:rPr>
          <w:lang w:val="fr-CH"/>
        </w:rPr>
      </w:pPr>
      <w:r w:rsidRPr="008653E6">
        <w:rPr>
          <w:lang w:val="fr-CH"/>
        </w:rPr>
        <w:t>–</w:t>
      </w:r>
      <w:r w:rsidRPr="008653E6">
        <w:rPr>
          <w:lang w:val="fr-CH"/>
        </w:rPr>
        <w:tab/>
      </w:r>
      <w:r w:rsidR="007D2163">
        <w:rPr>
          <w:lang w:val="fr-CH"/>
        </w:rPr>
        <w:t>RR, CE de l</w:t>
      </w:r>
      <w:r w:rsidR="00D3135C">
        <w:rPr>
          <w:lang w:val="fr-CH"/>
        </w:rPr>
        <w:t>'</w:t>
      </w:r>
      <w:r w:rsidR="008B6DCF">
        <w:rPr>
          <w:lang w:val="fr-CH"/>
        </w:rPr>
        <w:t>UIT-R, RRB, GCR, BR.</w:t>
      </w:r>
    </w:p>
    <w:p w:rsidR="00614562" w:rsidRPr="008653E6" w:rsidRDefault="00614562" w:rsidP="00614562">
      <w:pPr>
        <w:pStyle w:val="enumlev1"/>
      </w:pPr>
      <w:r w:rsidRPr="008653E6">
        <w:t>–</w:t>
      </w:r>
      <w:r w:rsidRPr="008653E6">
        <w:tab/>
        <w:t xml:space="preserve">IMT et </w:t>
      </w:r>
      <w:r w:rsidRPr="008653E6">
        <w:rPr>
          <w:color w:val="000000"/>
        </w:rPr>
        <w:t>accès hertzien large bande</w:t>
      </w:r>
      <w:r w:rsidR="008B6DCF">
        <w:rPr>
          <w:color w:val="000000"/>
        </w:rPr>
        <w:t>.</w:t>
      </w:r>
    </w:p>
    <w:p w:rsidR="00614562" w:rsidRPr="008653E6" w:rsidRDefault="00614562" w:rsidP="008B6DCF">
      <w:pPr>
        <w:pStyle w:val="enumlev1"/>
      </w:pPr>
      <w:r w:rsidRPr="008653E6">
        <w:t>–</w:t>
      </w:r>
      <w:r w:rsidRPr="008653E6">
        <w:tab/>
      </w:r>
      <w:r w:rsidRPr="008653E6">
        <w:rPr>
          <w:color w:val="000000"/>
        </w:rPr>
        <w:t>Passage à la radiodiffusion télévisuelle numérique</w:t>
      </w:r>
      <w:r w:rsidRPr="008653E6">
        <w:t xml:space="preserve"> et dividende numérique</w:t>
      </w:r>
      <w:r w:rsidR="008B6DCF">
        <w:t>.</w:t>
      </w:r>
    </w:p>
    <w:p w:rsidR="00614562" w:rsidRPr="008653E6" w:rsidRDefault="00614562" w:rsidP="00614562">
      <w:pPr>
        <w:pStyle w:val="enumlev1"/>
      </w:pPr>
      <w:r w:rsidRPr="008653E6">
        <w:t>–</w:t>
      </w:r>
      <w:r w:rsidRPr="008653E6">
        <w:tab/>
      </w:r>
      <w:r w:rsidRPr="008653E6">
        <w:rPr>
          <w:color w:val="000000"/>
        </w:rPr>
        <w:t>Echelle de temps universel</w:t>
      </w:r>
      <w:r w:rsidRPr="008653E6">
        <w:t xml:space="preserve"> (UTC) – Seconde intercalaire</w:t>
      </w:r>
      <w:r w:rsidR="008B6DCF">
        <w:t>.</w:t>
      </w:r>
    </w:p>
    <w:p w:rsidR="00614562" w:rsidRPr="008653E6" w:rsidRDefault="00614562" w:rsidP="00614562">
      <w:pPr>
        <w:pStyle w:val="enumlev1"/>
      </w:pPr>
      <w:r w:rsidRPr="008653E6">
        <w:t>–</w:t>
      </w:r>
      <w:r w:rsidRPr="008653E6">
        <w:tab/>
        <w:t>Fiches de notification de réseaux à satellite et procédures connexes.</w:t>
      </w:r>
    </w:p>
    <w:p w:rsidR="00614562" w:rsidRPr="008653E6" w:rsidRDefault="00614562" w:rsidP="00614562">
      <w:r w:rsidRPr="008653E6">
        <w:t>Ces rubriques figurent sur la page d</w:t>
      </w:r>
      <w:r w:rsidR="00D3135C">
        <w:t>'</w:t>
      </w:r>
      <w:r w:rsidRPr="008653E6">
        <w:t>accueil de l</w:t>
      </w:r>
      <w:r w:rsidR="00D3135C">
        <w:t>'</w:t>
      </w:r>
      <w:r w:rsidRPr="008653E6">
        <w:t>UIT-R (en haut à droite de l</w:t>
      </w:r>
      <w:r w:rsidR="00D3135C">
        <w:t>'</w:t>
      </w:r>
      <w:r w:rsidRPr="008653E6">
        <w:t>écran)</w:t>
      </w:r>
      <w:r w:rsidR="007D2163" w:rsidRPr="007D2163">
        <w:rPr>
          <w:szCs w:val="24"/>
        </w:rPr>
        <w:t xml:space="preserve"> </w:t>
      </w:r>
      <w:r w:rsidR="007D2163" w:rsidRPr="00050FC8">
        <w:rPr>
          <w:szCs w:val="24"/>
        </w:rPr>
        <w:t>(</w:t>
      </w:r>
      <w:hyperlink r:id="rId61" w:history="1">
        <w:r w:rsidR="007D2163">
          <w:rPr>
            <w:rStyle w:val="Hyperlink"/>
            <w:szCs w:val="24"/>
          </w:rPr>
          <w:t>http://www.itu.int/fr/ITU-R/Pages/default.aspx</w:t>
        </w:r>
      </w:hyperlink>
      <w:r w:rsidR="007D2163">
        <w:rPr>
          <w:szCs w:val="24"/>
        </w:rPr>
        <w:t>)</w:t>
      </w:r>
      <w:r w:rsidRPr="008653E6">
        <w:t>.</w:t>
      </w:r>
    </w:p>
    <w:p w:rsidR="00614562" w:rsidRPr="008653E6" w:rsidRDefault="00614562" w:rsidP="00614562">
      <w:pPr>
        <w:pStyle w:val="Heading4"/>
        <w:rPr>
          <w:lang w:val="fr-CH"/>
        </w:rPr>
      </w:pPr>
      <w:bookmarkStart w:id="152" w:name="lt_pId1514"/>
      <w:r w:rsidRPr="008653E6">
        <w:rPr>
          <w:lang w:val="fr-CH"/>
        </w:rPr>
        <w:t>8.6.2.3</w:t>
      </w:r>
      <w:bookmarkEnd w:id="152"/>
      <w:r w:rsidRPr="008653E6">
        <w:rPr>
          <w:lang w:val="fr-CH"/>
        </w:rPr>
        <w:tab/>
      </w:r>
      <w:bookmarkStart w:id="153" w:name="lt_pId1515"/>
      <w:r w:rsidRPr="008653E6">
        <w:rPr>
          <w:lang w:val="fr-CH"/>
        </w:rPr>
        <w:t xml:space="preserve">Communications pour </w:t>
      </w:r>
      <w:r w:rsidR="007D2163">
        <w:rPr>
          <w:lang w:val="fr-CH"/>
        </w:rPr>
        <w:t>la promotion de</w:t>
      </w:r>
      <w:r w:rsidRPr="008653E6">
        <w:rPr>
          <w:lang w:val="fr-CH"/>
        </w:rPr>
        <w:t xml:space="preserve"> l</w:t>
      </w:r>
      <w:r w:rsidR="00D3135C">
        <w:rPr>
          <w:lang w:val="fr-CH"/>
        </w:rPr>
        <w:t>'</w:t>
      </w:r>
      <w:r w:rsidRPr="008653E6">
        <w:rPr>
          <w:lang w:val="fr-CH"/>
        </w:rPr>
        <w:t>image de marque</w:t>
      </w:r>
      <w:bookmarkEnd w:id="153"/>
    </w:p>
    <w:p w:rsidR="00614562" w:rsidRPr="008653E6" w:rsidRDefault="00614562" w:rsidP="008B6DCF">
      <w:pPr>
        <w:rPr>
          <w:lang w:val="fr-CH"/>
        </w:rPr>
      </w:pPr>
      <w:bookmarkStart w:id="154" w:name="lt_pId1516"/>
      <w:r w:rsidRPr="008653E6">
        <w:rPr>
          <w:lang w:val="fr-CH"/>
        </w:rPr>
        <w:t>En 2015,</w:t>
      </w:r>
      <w:r w:rsidR="007D2163">
        <w:rPr>
          <w:lang w:val="fr-CH"/>
        </w:rPr>
        <w:t xml:space="preserve"> des documents d</w:t>
      </w:r>
      <w:r w:rsidR="00D3135C">
        <w:rPr>
          <w:lang w:val="fr-CH"/>
        </w:rPr>
        <w:t>'</w:t>
      </w:r>
      <w:r w:rsidR="007D2163">
        <w:rPr>
          <w:lang w:val="fr-CH"/>
        </w:rPr>
        <w:t xml:space="preserve">information </w:t>
      </w:r>
      <w:r w:rsidRPr="008653E6">
        <w:rPr>
          <w:lang w:val="fr-CH"/>
        </w:rPr>
        <w:t>destinés à promouvoir l</w:t>
      </w:r>
      <w:r w:rsidR="00D3135C">
        <w:rPr>
          <w:lang w:val="fr-CH"/>
        </w:rPr>
        <w:t>'</w:t>
      </w:r>
      <w:r w:rsidRPr="008653E6">
        <w:rPr>
          <w:lang w:val="fr-CH"/>
        </w:rPr>
        <w:t xml:space="preserve">image de marque </w:t>
      </w:r>
      <w:r w:rsidR="007D2163">
        <w:rPr>
          <w:lang w:val="fr-CH"/>
        </w:rPr>
        <w:t>ont</w:t>
      </w:r>
      <w:r w:rsidRPr="008653E6">
        <w:rPr>
          <w:lang w:val="fr-CH"/>
        </w:rPr>
        <w:t xml:space="preserve"> été préparé</w:t>
      </w:r>
      <w:r w:rsidR="007D2163">
        <w:rPr>
          <w:lang w:val="fr-CH"/>
        </w:rPr>
        <w:t>s en vue de la RPC</w:t>
      </w:r>
      <w:r w:rsidRPr="008653E6">
        <w:rPr>
          <w:lang w:val="fr-CH"/>
        </w:rPr>
        <w:t>15</w:t>
      </w:r>
      <w:r w:rsidR="008B6DCF">
        <w:rPr>
          <w:lang w:val="fr-CH"/>
        </w:rPr>
        <w:noBreakHyphen/>
      </w:r>
      <w:r w:rsidRPr="008653E6">
        <w:rPr>
          <w:lang w:val="fr-CH"/>
        </w:rPr>
        <w:t>2, de la CMR</w:t>
      </w:r>
      <w:r w:rsidR="007D2163">
        <w:rPr>
          <w:lang w:val="fr-CH"/>
        </w:rPr>
        <w:t>-</w:t>
      </w:r>
      <w:r w:rsidRPr="008653E6">
        <w:rPr>
          <w:lang w:val="fr-CH"/>
        </w:rPr>
        <w:t>15 et de l</w:t>
      </w:r>
      <w:r w:rsidR="00D3135C">
        <w:rPr>
          <w:lang w:val="fr-CH"/>
        </w:rPr>
        <w:t>'</w:t>
      </w:r>
      <w:r w:rsidRPr="008653E6">
        <w:rPr>
          <w:lang w:val="fr-CH"/>
        </w:rPr>
        <w:t>AR-15</w:t>
      </w:r>
      <w:bookmarkEnd w:id="154"/>
      <w:r w:rsidRPr="008653E6">
        <w:rPr>
          <w:lang w:val="fr-CH"/>
        </w:rPr>
        <w:t xml:space="preserve">. Ces documents </w:t>
      </w:r>
      <w:r w:rsidR="007D2163">
        <w:rPr>
          <w:lang w:val="fr-CH"/>
        </w:rPr>
        <w:t xml:space="preserve">ont </w:t>
      </w:r>
      <w:r w:rsidRPr="008653E6">
        <w:rPr>
          <w:lang w:val="fr-CH"/>
        </w:rPr>
        <w:t>été diffusés par voie électronique en ligne (site web) et affichés sur des écrans électroniqu</w:t>
      </w:r>
      <w:r w:rsidR="007D2163">
        <w:rPr>
          <w:lang w:val="fr-CH"/>
        </w:rPr>
        <w:t>es au siège de l</w:t>
      </w:r>
      <w:r w:rsidR="00D3135C">
        <w:rPr>
          <w:lang w:val="fr-CH"/>
        </w:rPr>
        <w:t>'</w:t>
      </w:r>
      <w:r w:rsidR="007D2163">
        <w:rPr>
          <w:lang w:val="fr-CH"/>
        </w:rPr>
        <w:t>UIT et au CICG</w:t>
      </w:r>
      <w:r w:rsidRPr="008653E6">
        <w:rPr>
          <w:lang w:val="fr-CH"/>
        </w:rPr>
        <w:t xml:space="preserve">, </w:t>
      </w:r>
      <w:bookmarkStart w:id="155" w:name="lt_pId1517"/>
      <w:r w:rsidRPr="008653E6">
        <w:rPr>
          <w:lang w:val="fr-CH"/>
        </w:rPr>
        <w:t>à l</w:t>
      </w:r>
      <w:r w:rsidR="00D3135C">
        <w:rPr>
          <w:lang w:val="fr-CH"/>
        </w:rPr>
        <w:t>'</w:t>
      </w:r>
      <w:r w:rsidRPr="008653E6">
        <w:rPr>
          <w:lang w:val="fr-CH"/>
        </w:rPr>
        <w:t>intention de plus de 3</w:t>
      </w:r>
      <w:r w:rsidR="008B6DCF">
        <w:rPr>
          <w:lang w:val="fr-CH"/>
        </w:rPr>
        <w:t> </w:t>
      </w:r>
      <w:r w:rsidRPr="008653E6">
        <w:rPr>
          <w:lang w:val="fr-CH"/>
        </w:rPr>
        <w:t>300 délégués et d</w:t>
      </w:r>
      <w:r w:rsidR="00D3135C">
        <w:rPr>
          <w:lang w:val="fr-CH"/>
        </w:rPr>
        <w:t>'</w:t>
      </w:r>
      <w:r w:rsidRPr="008653E6">
        <w:rPr>
          <w:lang w:val="fr-CH"/>
        </w:rPr>
        <w:t>un vaste public via les réseaux sociaux</w:t>
      </w:r>
      <w:bookmarkEnd w:id="155"/>
      <w:r w:rsidR="007D2163">
        <w:rPr>
          <w:lang w:val="fr-CH"/>
        </w:rPr>
        <w:t>.</w:t>
      </w:r>
    </w:p>
    <w:p w:rsidR="00614562" w:rsidRPr="008653E6" w:rsidRDefault="00614562" w:rsidP="007D2163">
      <w:pPr>
        <w:pStyle w:val="Heading4"/>
        <w:rPr>
          <w:lang w:val="fr-CH"/>
        </w:rPr>
      </w:pPr>
      <w:bookmarkStart w:id="156" w:name="lt_pId1518"/>
      <w:r w:rsidRPr="008653E6">
        <w:rPr>
          <w:lang w:val="fr-CH"/>
        </w:rPr>
        <w:t>8.6.2.4</w:t>
      </w:r>
      <w:bookmarkEnd w:id="156"/>
      <w:r w:rsidRPr="008653E6">
        <w:rPr>
          <w:lang w:val="fr-CH"/>
        </w:rPr>
        <w:tab/>
      </w:r>
      <w:bookmarkStart w:id="157" w:name="lt_pId1519"/>
      <w:r w:rsidRPr="008653E6">
        <w:rPr>
          <w:lang w:val="fr-CH"/>
        </w:rPr>
        <w:t>Expositions et démonstrations</w:t>
      </w:r>
      <w:bookmarkEnd w:id="157"/>
    </w:p>
    <w:p w:rsidR="00614562" w:rsidRPr="008653E6" w:rsidRDefault="00614562" w:rsidP="00614562">
      <w:pPr>
        <w:rPr>
          <w:lang w:val="fr-CH"/>
        </w:rPr>
      </w:pPr>
      <w:bookmarkStart w:id="158" w:name="lt_pId1520"/>
      <w:r w:rsidRPr="008653E6">
        <w:rPr>
          <w:lang w:val="fr-CH"/>
        </w:rPr>
        <w:t>En 2015, trois expositions ont été organisées par le BR à la demande des membres</w:t>
      </w:r>
      <w:bookmarkEnd w:id="158"/>
      <w:r w:rsidR="007D2163">
        <w:rPr>
          <w:lang w:val="fr-CH"/>
        </w:rPr>
        <w:t>.</w:t>
      </w:r>
    </w:p>
    <w:p w:rsidR="00614562" w:rsidRPr="008653E6" w:rsidRDefault="00614562" w:rsidP="008B6DCF">
      <w:pPr>
        <w:rPr>
          <w:lang w:val="fr-CH"/>
        </w:rPr>
      </w:pPr>
      <w:bookmarkStart w:id="159" w:name="lt_pId1521"/>
      <w:r w:rsidRPr="008653E6">
        <w:rPr>
          <w:b/>
          <w:bCs/>
          <w:lang w:val="fr-CH"/>
        </w:rPr>
        <w:t>L</w:t>
      </w:r>
      <w:r w:rsidR="00D3135C">
        <w:rPr>
          <w:b/>
          <w:bCs/>
          <w:lang w:val="fr-CH"/>
        </w:rPr>
        <w:t>'</w:t>
      </w:r>
      <w:r w:rsidRPr="008653E6">
        <w:rPr>
          <w:b/>
          <w:bCs/>
          <w:lang w:val="fr-CH"/>
        </w:rPr>
        <w:t>EXPO</w:t>
      </w:r>
      <w:r w:rsidRPr="008653E6">
        <w:rPr>
          <w:lang w:val="fr-CH"/>
        </w:rPr>
        <w:t xml:space="preserve"> </w:t>
      </w:r>
      <w:r w:rsidRPr="008653E6">
        <w:rPr>
          <w:b/>
          <w:bCs/>
          <w:lang w:val="fr-CH"/>
        </w:rPr>
        <w:t>CMR-15</w:t>
      </w:r>
      <w:r w:rsidR="007D2163">
        <w:rPr>
          <w:lang w:val="fr-CH"/>
        </w:rPr>
        <w:t xml:space="preserve"> (2-27 n</w:t>
      </w:r>
      <w:r w:rsidRPr="008653E6">
        <w:rPr>
          <w:lang w:val="fr-CH"/>
        </w:rPr>
        <w:t>ovembre) a attiré un grand nombre de visiteurs, notamment parce qu</w:t>
      </w:r>
      <w:r w:rsidR="00D3135C">
        <w:rPr>
          <w:lang w:val="fr-CH"/>
        </w:rPr>
        <w:t>'</w:t>
      </w:r>
      <w:r w:rsidRPr="008653E6">
        <w:rPr>
          <w:lang w:val="fr-CH"/>
        </w:rPr>
        <w:t>elle était organisée au CICG</w:t>
      </w:r>
      <w:r w:rsidR="007D2163">
        <w:rPr>
          <w:lang w:val="fr-CH"/>
        </w:rPr>
        <w:t xml:space="preserve"> dans l</w:t>
      </w:r>
      <w:r w:rsidR="00D3135C">
        <w:rPr>
          <w:lang w:val="fr-CH"/>
        </w:rPr>
        <w:t>'</w:t>
      </w:r>
      <w:r w:rsidRPr="008653E6">
        <w:rPr>
          <w:lang w:val="fr-CH"/>
        </w:rPr>
        <w:t xml:space="preserve">Espace Polyvalent, </w:t>
      </w:r>
      <w:r w:rsidR="007D2163">
        <w:rPr>
          <w:lang w:val="fr-CH"/>
        </w:rPr>
        <w:t>qui se trouve</w:t>
      </w:r>
      <w:r w:rsidRPr="008653E6">
        <w:rPr>
          <w:lang w:val="fr-CH"/>
        </w:rPr>
        <w:t xml:space="preserve"> au même endroit que </w:t>
      </w:r>
      <w:r w:rsidR="007D2163">
        <w:rPr>
          <w:lang w:val="fr-CH"/>
        </w:rPr>
        <w:t>la CMR-15</w:t>
      </w:r>
      <w:r w:rsidRPr="008653E6">
        <w:rPr>
          <w:lang w:val="fr-CH"/>
        </w:rPr>
        <w:t>.</w:t>
      </w:r>
      <w:bookmarkEnd w:id="159"/>
      <w:r w:rsidRPr="008653E6">
        <w:rPr>
          <w:lang w:val="fr-CH"/>
        </w:rPr>
        <w:t xml:space="preserve"> </w:t>
      </w:r>
      <w:bookmarkStart w:id="160" w:name="lt_pId1522"/>
      <w:r w:rsidRPr="008653E6">
        <w:rPr>
          <w:lang w:val="fr-CH"/>
        </w:rPr>
        <w:t>Y</w:t>
      </w:r>
      <w:r w:rsidR="008B6DCF">
        <w:rPr>
          <w:lang w:val="fr-CH"/>
        </w:rPr>
        <w:t> </w:t>
      </w:r>
      <w:r w:rsidRPr="008653E6">
        <w:rPr>
          <w:lang w:val="fr-CH"/>
        </w:rPr>
        <w:t xml:space="preserve">ont participé les </w:t>
      </w:r>
      <w:r w:rsidR="007D2163">
        <w:rPr>
          <w:lang w:val="fr-CH"/>
        </w:rPr>
        <w:t>exposants suivants</w:t>
      </w:r>
      <w:r w:rsidRPr="008653E6">
        <w:rPr>
          <w:lang w:val="fr-CH"/>
        </w:rPr>
        <w:t>: ATDI, UER, ESOA, FACEBOOK, GLOBALSTAR, GOOGLE, GSMA, IARU, LS TELCOM, Saab MEDAV Technologies GmbH, SKAO-Square Kilometer Array Organization.</w:t>
      </w:r>
      <w:bookmarkEnd w:id="160"/>
    </w:p>
    <w:p w:rsidR="00614562" w:rsidRPr="008653E6" w:rsidRDefault="00614562" w:rsidP="007D2163">
      <w:pPr>
        <w:rPr>
          <w:lang w:val="fr-CH"/>
        </w:rPr>
      </w:pPr>
      <w:bookmarkStart w:id="161" w:name="lt_pId1523"/>
      <w:r w:rsidRPr="008653E6">
        <w:rPr>
          <w:b/>
          <w:bCs/>
          <w:lang w:val="fr-CH"/>
        </w:rPr>
        <w:t>L</w:t>
      </w:r>
      <w:r w:rsidR="00D3135C">
        <w:rPr>
          <w:b/>
          <w:bCs/>
          <w:lang w:val="fr-CH"/>
        </w:rPr>
        <w:t>'</w:t>
      </w:r>
      <w:r w:rsidRPr="008653E6">
        <w:rPr>
          <w:b/>
          <w:bCs/>
          <w:lang w:val="fr-CH"/>
        </w:rPr>
        <w:t>EXPO</w:t>
      </w:r>
      <w:r w:rsidRPr="008653E6">
        <w:rPr>
          <w:lang w:val="fr-CH"/>
        </w:rPr>
        <w:t xml:space="preserve"> </w:t>
      </w:r>
      <w:r w:rsidRPr="008653E6">
        <w:rPr>
          <w:b/>
          <w:bCs/>
          <w:lang w:val="fr-CH"/>
        </w:rPr>
        <w:t xml:space="preserve">RPC15-2 </w:t>
      </w:r>
      <w:r w:rsidR="007D2163">
        <w:rPr>
          <w:lang w:val="fr-CH"/>
        </w:rPr>
        <w:t>a été organisée à l</w:t>
      </w:r>
      <w:r w:rsidR="00D3135C">
        <w:rPr>
          <w:lang w:val="fr-CH"/>
        </w:rPr>
        <w:t>'</w:t>
      </w:r>
      <w:r w:rsidR="007D2163">
        <w:rPr>
          <w:lang w:val="fr-CH"/>
        </w:rPr>
        <w:t>E</w:t>
      </w:r>
      <w:r w:rsidRPr="008653E6">
        <w:rPr>
          <w:lang w:val="fr-CH"/>
        </w:rPr>
        <w:t>space polyvalent du CICG, à l</w:t>
      </w:r>
      <w:r w:rsidR="00D3135C">
        <w:rPr>
          <w:lang w:val="fr-CH"/>
        </w:rPr>
        <w:t>'</w:t>
      </w:r>
      <w:r w:rsidRPr="008653E6">
        <w:rPr>
          <w:lang w:val="fr-CH"/>
        </w:rPr>
        <w:t>invitation des Membres du Secteur de l</w:t>
      </w:r>
      <w:r w:rsidR="00D3135C">
        <w:rPr>
          <w:lang w:val="fr-CH"/>
        </w:rPr>
        <w:t>'</w:t>
      </w:r>
      <w:r w:rsidRPr="008653E6">
        <w:rPr>
          <w:lang w:val="fr-CH"/>
        </w:rPr>
        <w:t>UIT-R suivants:</w:t>
      </w:r>
      <w:bookmarkEnd w:id="161"/>
      <w:r w:rsidRPr="008653E6">
        <w:rPr>
          <w:lang w:val="fr-CH"/>
        </w:rPr>
        <w:t xml:space="preserve"> </w:t>
      </w:r>
      <w:bookmarkStart w:id="162" w:name="lt_pId1524"/>
      <w:r w:rsidRPr="008653E6">
        <w:rPr>
          <w:lang w:val="fr-CH"/>
        </w:rPr>
        <w:t>CRFS, LSTELCOM, GSMA, COSPAS SARSAT, EBU, Airbus Defense &amp; Space, Eutelsat, Inmarsat, ViaSat.</w:t>
      </w:r>
      <w:bookmarkEnd w:id="162"/>
      <w:r w:rsidRPr="008653E6">
        <w:rPr>
          <w:lang w:val="fr-CH"/>
        </w:rPr>
        <w:t xml:space="preserve"> </w:t>
      </w:r>
    </w:p>
    <w:p w:rsidR="00614562" w:rsidRPr="008653E6" w:rsidRDefault="00614562" w:rsidP="008B6DCF">
      <w:pPr>
        <w:rPr>
          <w:lang w:val="fr-CH"/>
        </w:rPr>
      </w:pPr>
      <w:bookmarkStart w:id="163" w:name="lt_pId1525"/>
      <w:r w:rsidRPr="008653E6">
        <w:rPr>
          <w:b/>
          <w:bCs/>
          <w:lang w:val="fr-CH"/>
        </w:rPr>
        <w:t>L</w:t>
      </w:r>
      <w:r w:rsidR="00D3135C">
        <w:rPr>
          <w:b/>
          <w:bCs/>
          <w:lang w:val="fr-CH"/>
        </w:rPr>
        <w:t>'</w:t>
      </w:r>
      <w:r w:rsidRPr="008653E6">
        <w:rPr>
          <w:b/>
          <w:bCs/>
          <w:lang w:val="fr-CH"/>
        </w:rPr>
        <w:t>EXPO</w:t>
      </w:r>
      <w:r w:rsidRPr="008653E6">
        <w:rPr>
          <w:lang w:val="fr-CH"/>
        </w:rPr>
        <w:t xml:space="preserve"> </w:t>
      </w:r>
      <w:r w:rsidR="007D2163">
        <w:rPr>
          <w:b/>
          <w:bCs/>
          <w:lang w:val="fr-CH"/>
        </w:rPr>
        <w:t>GE06</w:t>
      </w:r>
      <w:r w:rsidRPr="008653E6">
        <w:rPr>
          <w:b/>
          <w:bCs/>
          <w:lang w:val="fr-CH"/>
        </w:rPr>
        <w:t>:</w:t>
      </w:r>
      <w:bookmarkEnd w:id="163"/>
      <w:r w:rsidRPr="008653E6">
        <w:rPr>
          <w:b/>
          <w:bCs/>
          <w:lang w:val="fr-CH"/>
        </w:rPr>
        <w:t xml:space="preserve"> </w:t>
      </w:r>
      <w:bookmarkStart w:id="164" w:name="lt_pId1526"/>
      <w:r w:rsidR="002A55C1" w:rsidRPr="002A55C1">
        <w:rPr>
          <w:lang w:val="fr-CH"/>
        </w:rPr>
        <w:t xml:space="preserve">Le </w:t>
      </w:r>
      <w:r w:rsidRPr="007D2163">
        <w:rPr>
          <w:b/>
          <w:bCs/>
          <w:color w:val="000000"/>
        </w:rPr>
        <w:t>Colloque international de l</w:t>
      </w:r>
      <w:r w:rsidR="00D3135C">
        <w:rPr>
          <w:b/>
          <w:bCs/>
          <w:color w:val="000000"/>
        </w:rPr>
        <w:t>'</w:t>
      </w:r>
      <w:r w:rsidRPr="007D2163">
        <w:rPr>
          <w:b/>
          <w:bCs/>
          <w:color w:val="000000"/>
        </w:rPr>
        <w:t>UIT sur le passage au numérique</w:t>
      </w:r>
      <w:r w:rsidR="007D2163">
        <w:rPr>
          <w:color w:val="000000"/>
        </w:rPr>
        <w:t xml:space="preserve"> (</w:t>
      </w:r>
      <w:r w:rsidRPr="008653E6">
        <w:rPr>
          <w:color w:val="000000"/>
        </w:rPr>
        <w:t>17 juin 2015) a été organisé au deuxième sous-sol de l</w:t>
      </w:r>
      <w:r w:rsidR="00D3135C">
        <w:rPr>
          <w:color w:val="000000"/>
        </w:rPr>
        <w:t>'</w:t>
      </w:r>
      <w:r w:rsidRPr="008653E6">
        <w:rPr>
          <w:color w:val="000000"/>
        </w:rPr>
        <w:t xml:space="preserve">UIT par </w:t>
      </w:r>
      <w:r w:rsidRPr="008653E6">
        <w:rPr>
          <w:lang w:val="fr-CH"/>
        </w:rPr>
        <w:t>l</w:t>
      </w:r>
      <w:r w:rsidR="00D3135C">
        <w:rPr>
          <w:lang w:val="fr-CH"/>
        </w:rPr>
        <w:t>'</w:t>
      </w:r>
      <w:r w:rsidRPr="008653E6">
        <w:rPr>
          <w:lang w:val="fr-CH"/>
        </w:rPr>
        <w:t>UIT/BDT, DVB/UER, Fraunhofer IIS, Dolby</w:t>
      </w:r>
      <w:r w:rsidR="008B6DCF">
        <w:rPr>
          <w:lang w:val="fr-CH"/>
        </w:rPr>
        <w:noBreakHyphen/>
      </w:r>
      <w:r w:rsidRPr="008653E6">
        <w:rPr>
          <w:lang w:val="fr-CH"/>
        </w:rPr>
        <w:t>(Atmos), ATDI, LStelcom, l</w:t>
      </w:r>
      <w:r w:rsidR="00D3135C">
        <w:rPr>
          <w:lang w:val="fr-CH"/>
        </w:rPr>
        <w:t>'</w:t>
      </w:r>
      <w:r w:rsidRPr="008653E6">
        <w:rPr>
          <w:color w:val="000000"/>
        </w:rPr>
        <w:t>UER</w:t>
      </w:r>
      <w:r w:rsidRPr="008653E6">
        <w:rPr>
          <w:lang w:val="fr-CH"/>
        </w:rPr>
        <w:t xml:space="preserve"> et la BBC; à cette occasion, une démonstration d</w:t>
      </w:r>
      <w:r w:rsidR="00D3135C">
        <w:rPr>
          <w:lang w:val="fr-CH"/>
        </w:rPr>
        <w:t>'</w:t>
      </w:r>
      <w:r w:rsidRPr="008653E6">
        <w:rPr>
          <w:lang w:val="fr-CH"/>
        </w:rPr>
        <w:t>un pr</w:t>
      </w:r>
      <w:r w:rsidR="007D2163">
        <w:rPr>
          <w:lang w:val="fr-CH"/>
        </w:rPr>
        <w:t xml:space="preserve">ototype de technologie évoluée </w:t>
      </w:r>
      <w:r w:rsidRPr="008653E6">
        <w:rPr>
          <w:lang w:val="fr-CH"/>
        </w:rPr>
        <w:t>a été présenté</w:t>
      </w:r>
      <w:bookmarkEnd w:id="164"/>
      <w:r w:rsidR="008B6DCF">
        <w:rPr>
          <w:lang w:val="fr-CH"/>
        </w:rPr>
        <w:t>e</w:t>
      </w:r>
      <w:r w:rsidR="007D2163">
        <w:rPr>
          <w:lang w:val="fr-CH"/>
        </w:rPr>
        <w:t>.</w:t>
      </w:r>
    </w:p>
    <w:p w:rsidR="007D2163" w:rsidRDefault="007D2163">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7D2163" w:rsidRPr="007D2163" w:rsidRDefault="007D2163" w:rsidP="007D2163">
      <w:pPr>
        <w:pStyle w:val="AnnexNotitle"/>
        <w:rPr>
          <w:b w:val="0"/>
          <w:caps/>
          <w:lang w:val="en-GB"/>
        </w:rPr>
      </w:pPr>
      <w:r w:rsidRPr="007D2163">
        <w:rPr>
          <w:b w:val="0"/>
          <w:caps/>
          <w:lang w:val="en-GB"/>
        </w:rPr>
        <w:t xml:space="preserve">ANNEXE 1 </w:t>
      </w:r>
    </w:p>
    <w:tbl>
      <w:tblPr>
        <w:tblStyle w:val="TableGrid"/>
        <w:tblW w:w="0" w:type="auto"/>
        <w:tblLook w:val="04A0" w:firstRow="1" w:lastRow="0" w:firstColumn="1" w:lastColumn="0" w:noHBand="0" w:noVBand="1"/>
      </w:tblPr>
      <w:tblGrid>
        <w:gridCol w:w="9184"/>
      </w:tblGrid>
      <w:tr w:rsidR="007D2163" w:rsidRPr="001A61AB" w:rsidTr="0080439D">
        <w:tc>
          <w:tcPr>
            <w:tcW w:w="9184" w:type="dxa"/>
          </w:tcPr>
          <w:p w:rsidR="007D2163" w:rsidRPr="001A61AB" w:rsidRDefault="007D2163" w:rsidP="007D2163">
            <w:pPr>
              <w:jc w:val="center"/>
              <w:rPr>
                <w:szCs w:val="24"/>
                <w:lang w:val="fr-CH"/>
              </w:rPr>
            </w:pPr>
            <w:r w:rsidRPr="001A61AB">
              <w:rPr>
                <w:b/>
                <w:bCs/>
                <w:szCs w:val="24"/>
                <w:lang w:val="fr-CH"/>
              </w:rPr>
              <w:t>Rapport d</w:t>
            </w:r>
            <w:r w:rsidR="00D3135C">
              <w:rPr>
                <w:b/>
                <w:bCs/>
                <w:szCs w:val="24"/>
                <w:lang w:val="fr-CH"/>
              </w:rPr>
              <w:t>'</w:t>
            </w:r>
            <w:r w:rsidRPr="001A61AB">
              <w:rPr>
                <w:b/>
                <w:bCs/>
                <w:szCs w:val="24"/>
                <w:lang w:val="fr-CH"/>
              </w:rPr>
              <w:t>activité sur les systèmes informatiques du BR pour les services spatiaux</w:t>
            </w:r>
          </w:p>
        </w:tc>
      </w:tr>
      <w:tr w:rsidR="007D2163" w:rsidRPr="001A61AB" w:rsidTr="0080439D">
        <w:tc>
          <w:tcPr>
            <w:tcW w:w="9184" w:type="dxa"/>
          </w:tcPr>
          <w:p w:rsidR="007D2163" w:rsidRPr="001A61AB" w:rsidRDefault="007D2163" w:rsidP="008B6DCF">
            <w:pPr>
              <w:jc w:val="center"/>
              <w:rPr>
                <w:szCs w:val="24"/>
              </w:rPr>
            </w:pPr>
            <w:r w:rsidRPr="001A61AB">
              <w:rPr>
                <w:b/>
                <w:bCs/>
                <w:szCs w:val="24"/>
                <w:lang w:val="en-GB"/>
              </w:rPr>
              <w:t>Phase 2: 1er avril 2012</w:t>
            </w:r>
            <w:r w:rsidR="008B6DCF">
              <w:rPr>
                <w:b/>
                <w:bCs/>
                <w:szCs w:val="24"/>
                <w:lang w:val="en-GB"/>
              </w:rPr>
              <w:t>-</w:t>
            </w:r>
            <w:r w:rsidRPr="001A61AB">
              <w:rPr>
                <w:b/>
                <w:bCs/>
                <w:szCs w:val="24"/>
                <w:lang w:val="en-GB"/>
              </w:rPr>
              <w:t>31 décembre 2015</w:t>
            </w:r>
          </w:p>
        </w:tc>
      </w:tr>
      <w:tr w:rsidR="007D2163" w:rsidRPr="001A61AB" w:rsidTr="0080439D">
        <w:tc>
          <w:tcPr>
            <w:tcW w:w="9184" w:type="dxa"/>
          </w:tcPr>
          <w:p w:rsidR="007D2163" w:rsidRPr="001A61AB" w:rsidRDefault="007D2163" w:rsidP="00BC0CAD">
            <w:pPr>
              <w:pStyle w:val="Headingb"/>
              <w:keepNext w:val="0"/>
              <w:rPr>
                <w:lang w:val="fr-CH"/>
              </w:rPr>
            </w:pPr>
            <w:r w:rsidRPr="001A61AB">
              <w:rPr>
                <w:lang w:val="fr-CH"/>
              </w:rPr>
              <w:t>Plan de continuité des activités et de rétablissement en cas de catastrophe</w:t>
            </w:r>
            <w:r w:rsidRPr="001A61AB">
              <w:t>*</w:t>
            </w:r>
          </w:p>
          <w:p w:rsidR="007D2163" w:rsidRPr="001A61AB" w:rsidRDefault="007D2163" w:rsidP="002A55C1">
            <w:r w:rsidRPr="001A61AB">
              <w:t>A partir de janvier 2015, le Bureau a adopté une méthode prévoyant deux phases (les deux phases étant menées à bien en parallèle), afin de mettre en évidence les menaces et vulnérabilités correspondantes et d</w:t>
            </w:r>
            <w:r w:rsidR="00D3135C">
              <w:t>'</w:t>
            </w:r>
            <w:r w:rsidRPr="001A61AB">
              <w:t>en atténuer les effets. Avec le concours de consultants extérieurs et du Département des services informatiques, le Bureau a procédé à une analyse de l</w:t>
            </w:r>
            <w:r w:rsidR="00D3135C">
              <w:t>'</w:t>
            </w:r>
            <w:r w:rsidRPr="001A61AB">
              <w:t>évaluation des infrastructures (serveurs, réseau local, bases de données, etc.) utilisées pour accéder aux bases de données du BR, aussi bien à l</w:t>
            </w:r>
            <w:r w:rsidR="00D3135C">
              <w:t>'</w:t>
            </w:r>
            <w:r w:rsidRPr="001A61AB">
              <w:t>UIT qu</w:t>
            </w:r>
            <w:r w:rsidR="00D3135C">
              <w:t>'</w:t>
            </w:r>
            <w:r w:rsidRPr="001A61AB">
              <w:t>à l</w:t>
            </w:r>
            <w:r w:rsidR="00D3135C">
              <w:t>'</w:t>
            </w:r>
            <w:r w:rsidRPr="001A61AB">
              <w:t>extérieur de l</w:t>
            </w:r>
            <w:r w:rsidR="00D3135C">
              <w:t>'</w:t>
            </w:r>
            <w:r w:rsidRPr="001A61AB">
              <w:t>UIT. En outre, le Bureau a procédé à une analyse et à une évaluation afin d</w:t>
            </w:r>
            <w:r w:rsidR="00D3135C">
              <w:t>'</w:t>
            </w:r>
            <w:r w:rsidRPr="001A61AB">
              <w:t>élaborer le plan BR/DC nécessaire, de façon à réduire le plus possible les risques de perte de données ainsi que les retards associés au risque de perte d</w:t>
            </w:r>
            <w:r w:rsidR="00D3135C">
              <w:t>'</w:t>
            </w:r>
            <w:r w:rsidRPr="001A61AB">
              <w:t>opérations lors du traitement des fiches de notification.</w:t>
            </w:r>
            <w:r w:rsidR="0080439D" w:rsidRPr="001A61AB">
              <w:t xml:space="preserve"> Un groupe d</w:t>
            </w:r>
            <w:r w:rsidR="00D3135C">
              <w:t>'</w:t>
            </w:r>
            <w:r w:rsidR="0080439D" w:rsidRPr="001A61AB">
              <w:t>action</w:t>
            </w:r>
            <w:r w:rsidRPr="001A61AB">
              <w:t xml:space="preserve"> a été créé en vue de concevoir un plan destiné à tester les procédures de sauvegarde et de reprise des activités</w:t>
            </w:r>
            <w:r w:rsidR="0080439D" w:rsidRPr="001A61AB">
              <w:t>.</w:t>
            </w:r>
            <w:r w:rsidRPr="001A61AB">
              <w:t xml:space="preserve"> Il a établi une liste des applications et données logicielles centrales, extrait les catégories de données (bases de données, fichiers…) et créé un plan de reprise des activités en cas de ca</w:t>
            </w:r>
            <w:r w:rsidR="0080439D" w:rsidRPr="001A61AB">
              <w:t>tastrophe pour chaque catégorie</w:t>
            </w:r>
            <w:r w:rsidRPr="001A61AB">
              <w:t>. Les travaux se poursuivront en coopération avec le Département des services informatiques pendant la prochaine période, afin d</w:t>
            </w:r>
            <w:r w:rsidR="00D3135C">
              <w:t>'</w:t>
            </w:r>
            <w:r w:rsidRPr="001A61AB">
              <w:t>achever les tests et d</w:t>
            </w:r>
            <w:r w:rsidR="00D3135C">
              <w:t>'</w:t>
            </w:r>
            <w:r w:rsidRPr="001A61AB">
              <w:t>appliquer les mesures qui auront été définies en conséquence.</w:t>
            </w:r>
          </w:p>
          <w:p w:rsidR="007D2163" w:rsidRPr="001A61AB" w:rsidRDefault="007D2163" w:rsidP="002A55C1">
            <w:pPr>
              <w:tabs>
                <w:tab w:val="clear" w:pos="794"/>
                <w:tab w:val="left" w:pos="313"/>
              </w:tabs>
              <w:rPr>
                <w:lang w:val="fr-CH"/>
              </w:rPr>
            </w:pPr>
            <w:r w:rsidRPr="001A61AB">
              <w:rPr>
                <w:lang w:val="fr-CH"/>
              </w:rPr>
              <w:t>*</w:t>
            </w:r>
            <w:r w:rsidR="00BC0CAD">
              <w:rPr>
                <w:lang w:val="fr-CH"/>
              </w:rPr>
              <w:tab/>
            </w:r>
            <w:r w:rsidRPr="001A61AB">
              <w:rPr>
                <w:lang w:val="fr-CH"/>
              </w:rPr>
              <w:t>Ces travaux concernent aussi bien les services sp</w:t>
            </w:r>
            <w:r w:rsidR="0080439D" w:rsidRPr="001A61AB">
              <w:rPr>
                <w:lang w:val="fr-CH"/>
              </w:rPr>
              <w:t>atiaux que les services de Terre</w:t>
            </w:r>
            <w:r w:rsidR="00BC0CAD">
              <w:rPr>
                <w:lang w:val="fr-CH"/>
              </w:rPr>
              <w:t>.</w:t>
            </w:r>
          </w:p>
        </w:tc>
      </w:tr>
      <w:tr w:rsidR="007D2163" w:rsidRPr="001A61AB" w:rsidTr="0080439D">
        <w:tc>
          <w:tcPr>
            <w:tcW w:w="9184" w:type="dxa"/>
          </w:tcPr>
          <w:p w:rsidR="00EA6659" w:rsidRPr="001A61AB" w:rsidRDefault="00EA6659" w:rsidP="002A55C1">
            <w:pPr>
              <w:pStyle w:val="Headingb"/>
              <w:keepNext w:val="0"/>
              <w:spacing w:before="140"/>
              <w:rPr>
                <w:i/>
                <w:iCs/>
                <w:lang w:val="fr-CH"/>
              </w:rPr>
            </w:pPr>
            <w:r w:rsidRPr="001A61AB">
              <w:t>Réécriture des logiciels techniques existants pour les examens techniques</w:t>
            </w:r>
          </w:p>
          <w:p w:rsidR="00EA6659" w:rsidRPr="001A61AB" w:rsidRDefault="00EA6659" w:rsidP="00EA6659">
            <w:pPr>
              <w:pStyle w:val="enumlev1"/>
              <w:rPr>
                <w:b/>
                <w:bCs/>
                <w:i/>
                <w:iCs/>
                <w:szCs w:val="24"/>
                <w:lang w:val="fr-CH"/>
              </w:rPr>
            </w:pPr>
            <w:r w:rsidRPr="001A61AB">
              <w:rPr>
                <w:szCs w:val="24"/>
                <w:lang w:val="fr-CH"/>
              </w:rPr>
              <w:t>•</w:t>
            </w:r>
            <w:r w:rsidRPr="001A61AB">
              <w:rPr>
                <w:szCs w:val="24"/>
                <w:lang w:val="fr-CH"/>
              </w:rPr>
              <w:tab/>
            </w:r>
            <w:r w:rsidRPr="001A61AB">
              <w:rPr>
                <w:szCs w:val="24"/>
              </w:rPr>
              <w:t>Réécriture du logiciel de calcul de la puissance surfacique pour la protection des services de Terre: en cours</w:t>
            </w:r>
            <w:r w:rsidR="008B6DCF">
              <w:rPr>
                <w:szCs w:val="24"/>
              </w:rPr>
              <w:t>.</w:t>
            </w:r>
          </w:p>
          <w:p w:rsidR="00EA6659" w:rsidRPr="001A61AB" w:rsidRDefault="00EA6659" w:rsidP="00EA6659">
            <w:pPr>
              <w:pStyle w:val="enumlev1"/>
              <w:rPr>
                <w:b/>
                <w:bCs/>
                <w:i/>
                <w:iCs/>
                <w:szCs w:val="24"/>
                <w:lang w:val="fr-CH"/>
              </w:rPr>
            </w:pPr>
            <w:r w:rsidRPr="001A61AB">
              <w:rPr>
                <w:szCs w:val="24"/>
                <w:lang w:val="fr-CH"/>
              </w:rPr>
              <w:t>•</w:t>
            </w:r>
            <w:r w:rsidRPr="001A61AB">
              <w:rPr>
                <w:szCs w:val="24"/>
                <w:lang w:val="fr-CH"/>
              </w:rPr>
              <w:tab/>
            </w:r>
            <w:r w:rsidRPr="001A61AB">
              <w:rPr>
                <w:szCs w:val="24"/>
              </w:rPr>
              <w:t>Réécriture du logiciel de calcul AP8: en cours</w:t>
            </w:r>
            <w:r w:rsidR="008B6DCF">
              <w:rPr>
                <w:szCs w:val="24"/>
              </w:rPr>
              <w:t>.</w:t>
            </w:r>
          </w:p>
          <w:p w:rsidR="00EA6659" w:rsidRPr="001A61AB" w:rsidRDefault="00EA6659" w:rsidP="00EA6659">
            <w:pPr>
              <w:pStyle w:val="enumlev1"/>
              <w:rPr>
                <w:szCs w:val="24"/>
              </w:rPr>
            </w:pPr>
            <w:r w:rsidRPr="001A61AB">
              <w:rPr>
                <w:szCs w:val="24"/>
                <w:lang w:val="fr-CH"/>
              </w:rPr>
              <w:t>•</w:t>
            </w:r>
            <w:r w:rsidRPr="001A61AB">
              <w:rPr>
                <w:szCs w:val="24"/>
                <w:lang w:val="fr-CH"/>
              </w:rPr>
              <w:tab/>
            </w:r>
            <w:r w:rsidRPr="001A61AB">
              <w:rPr>
                <w:szCs w:val="24"/>
              </w:rPr>
              <w:t>Réécriture du logiciel de calcul de la puissance surfacique pour la protection des services spatiaux: les travaux ont commencé</w:t>
            </w:r>
            <w:r w:rsidR="008B6DCF">
              <w:rPr>
                <w:szCs w:val="24"/>
              </w:rPr>
              <w:t>.</w:t>
            </w:r>
          </w:p>
          <w:p w:rsidR="00EA6659" w:rsidRPr="001A61AB" w:rsidRDefault="00EA6659" w:rsidP="00EA6659">
            <w:pPr>
              <w:pStyle w:val="enumlev1"/>
              <w:rPr>
                <w:szCs w:val="24"/>
                <w:lang w:val="fr-CH"/>
              </w:rPr>
            </w:pPr>
            <w:r w:rsidRPr="001A61AB">
              <w:rPr>
                <w:szCs w:val="24"/>
                <w:lang w:val="fr-CH"/>
              </w:rPr>
              <w:t>•</w:t>
            </w:r>
            <w:r w:rsidRPr="001A61AB">
              <w:rPr>
                <w:szCs w:val="24"/>
                <w:lang w:val="fr-CH"/>
              </w:rPr>
              <w:tab/>
              <w:t>Migration du logiciel pour les examens techniques écrit en Fortran du compilateur CompaqVisualFortran au compilateur IntelFortran:</w:t>
            </w:r>
          </w:p>
          <w:p w:rsidR="00EA6659" w:rsidRPr="001A61AB" w:rsidRDefault="00EA6659" w:rsidP="00EA6659">
            <w:pPr>
              <w:pStyle w:val="enumlev2"/>
              <w:rPr>
                <w:szCs w:val="24"/>
                <w:lang w:val="fr-CH"/>
              </w:rPr>
            </w:pPr>
            <w:r w:rsidRPr="001A61AB">
              <w:rPr>
                <w:szCs w:val="24"/>
                <w:lang w:val="fr-CH"/>
              </w:rPr>
              <w:t>–</w:t>
            </w:r>
            <w:r w:rsidRPr="001A61AB">
              <w:rPr>
                <w:szCs w:val="24"/>
                <w:lang w:val="fr-CH"/>
              </w:rPr>
              <w:tab/>
              <w:t xml:space="preserve">GIBC/Appendice 30B, </w:t>
            </w:r>
            <w:r w:rsidRPr="001A61AB">
              <w:rPr>
                <w:szCs w:val="24"/>
              </w:rPr>
              <w:t xml:space="preserve">Mspace, GIBC/PowerControl: </w:t>
            </w:r>
            <w:r w:rsidRPr="001A61AB">
              <w:rPr>
                <w:szCs w:val="24"/>
                <w:lang w:val="fr-CH"/>
              </w:rPr>
              <w:t>les travaux sont terminés</w:t>
            </w:r>
            <w:r w:rsidR="008B6DCF">
              <w:rPr>
                <w:szCs w:val="24"/>
                <w:lang w:val="fr-CH"/>
              </w:rPr>
              <w:t>.</w:t>
            </w:r>
          </w:p>
          <w:p w:rsidR="00EA6659" w:rsidRPr="001A61AB" w:rsidRDefault="00EA6659" w:rsidP="00EA6659">
            <w:pPr>
              <w:pStyle w:val="enumlev2"/>
              <w:rPr>
                <w:szCs w:val="24"/>
                <w:lang w:val="fr-CH"/>
              </w:rPr>
            </w:pPr>
            <w:r w:rsidRPr="001A61AB">
              <w:rPr>
                <w:szCs w:val="24"/>
                <w:lang w:val="fr-CH"/>
              </w:rPr>
              <w:t>–</w:t>
            </w:r>
            <w:r w:rsidRPr="001A61AB">
              <w:rPr>
                <w:szCs w:val="24"/>
                <w:lang w:val="fr-CH"/>
              </w:rPr>
              <w:tab/>
              <w:t>Eléments du logiciel GIMS en Fortran: les travaux n</w:t>
            </w:r>
            <w:r w:rsidR="00D3135C">
              <w:rPr>
                <w:szCs w:val="24"/>
                <w:lang w:val="fr-CH"/>
              </w:rPr>
              <w:t>'</w:t>
            </w:r>
            <w:r w:rsidRPr="001A61AB">
              <w:rPr>
                <w:szCs w:val="24"/>
                <w:lang w:val="fr-CH"/>
              </w:rPr>
              <w:t>ont pas encore commencé</w:t>
            </w:r>
            <w:r w:rsidR="008B6DCF">
              <w:rPr>
                <w:szCs w:val="24"/>
                <w:lang w:val="fr-CH"/>
              </w:rPr>
              <w:t>.</w:t>
            </w:r>
          </w:p>
          <w:p w:rsidR="00EA6659" w:rsidRPr="001A61AB" w:rsidRDefault="00EA6659" w:rsidP="00EA6659">
            <w:pPr>
              <w:pStyle w:val="enumlev1"/>
              <w:rPr>
                <w:szCs w:val="24"/>
                <w:lang w:val="fr-CH"/>
              </w:rPr>
            </w:pPr>
            <w:r w:rsidRPr="001A61AB">
              <w:rPr>
                <w:szCs w:val="24"/>
                <w:lang w:val="fr-CH"/>
              </w:rPr>
              <w:t>•</w:t>
            </w:r>
            <w:r w:rsidRPr="001A61AB">
              <w:rPr>
                <w:szCs w:val="24"/>
                <w:lang w:val="fr-CH"/>
              </w:rPr>
              <w:tab/>
              <w:t>Mspace – migration de l</w:t>
            </w:r>
            <w:r w:rsidR="00D3135C">
              <w:rPr>
                <w:szCs w:val="24"/>
                <w:lang w:val="fr-CH"/>
              </w:rPr>
              <w:t>'</w:t>
            </w:r>
            <w:r w:rsidRPr="001A61AB">
              <w:rPr>
                <w:szCs w:val="24"/>
                <w:lang w:val="fr-CH"/>
              </w:rPr>
              <w:t>élément d</w:t>
            </w:r>
            <w:r w:rsidR="00D3135C">
              <w:rPr>
                <w:szCs w:val="24"/>
                <w:lang w:val="fr-CH"/>
              </w:rPr>
              <w:t>'</w:t>
            </w:r>
            <w:r w:rsidRPr="001A61AB">
              <w:rPr>
                <w:szCs w:val="24"/>
                <w:lang w:val="fr-CH"/>
              </w:rPr>
              <w:t>accès aux données du langage VB6 au langage IntelFortran: travaux achevés</w:t>
            </w:r>
            <w:r w:rsidR="008B6DCF">
              <w:rPr>
                <w:szCs w:val="24"/>
                <w:lang w:val="fr-CH"/>
              </w:rPr>
              <w:t>.</w:t>
            </w:r>
          </w:p>
          <w:p w:rsidR="007D2163" w:rsidRPr="001A61AB" w:rsidRDefault="00EA6659" w:rsidP="00EA6659">
            <w:pPr>
              <w:pStyle w:val="enumlev1"/>
              <w:rPr>
                <w:color w:val="000000"/>
                <w:szCs w:val="24"/>
              </w:rPr>
            </w:pPr>
            <w:r w:rsidRPr="001A61AB">
              <w:rPr>
                <w:szCs w:val="24"/>
                <w:lang w:val="fr-CH"/>
              </w:rPr>
              <w:t>•</w:t>
            </w:r>
            <w:r w:rsidRPr="001A61AB">
              <w:rPr>
                <w:szCs w:val="24"/>
                <w:lang w:val="fr-CH"/>
              </w:rPr>
              <w:tab/>
              <w:t>GIBC/Appendice 7: travaux achevés</w:t>
            </w:r>
            <w:r w:rsidR="008B6DCF">
              <w:rPr>
                <w:szCs w:val="24"/>
                <w:lang w:val="fr-CH"/>
              </w:rPr>
              <w:t>.</w:t>
            </w:r>
          </w:p>
        </w:tc>
      </w:tr>
      <w:tr w:rsidR="007D2163" w:rsidRPr="001A61AB" w:rsidTr="0080439D">
        <w:tc>
          <w:tcPr>
            <w:tcW w:w="9184" w:type="dxa"/>
          </w:tcPr>
          <w:p w:rsidR="00EA6659" w:rsidRPr="00D3135C" w:rsidRDefault="00EA6659" w:rsidP="002A55C1">
            <w:pPr>
              <w:pStyle w:val="Headingb"/>
              <w:keepNext w:val="0"/>
              <w:spacing w:before="140"/>
              <w:rPr>
                <w:lang w:val="fr-CH"/>
              </w:rPr>
            </w:pPr>
            <w:r w:rsidRPr="00D3135C">
              <w:rPr>
                <w:lang w:val="fr-CH"/>
              </w:rPr>
              <w:t>Conception et élaboration du système d</w:t>
            </w:r>
            <w:r w:rsidR="00D3135C" w:rsidRPr="00D3135C">
              <w:rPr>
                <w:lang w:val="fr-CH"/>
              </w:rPr>
              <w:t>'</w:t>
            </w:r>
            <w:r w:rsidRPr="00D3135C">
              <w:rPr>
                <w:lang w:val="fr-CH"/>
              </w:rPr>
              <w:t>information du BR pour les systèmes spatiaux (BR SIS)</w:t>
            </w:r>
          </w:p>
          <w:p w:rsidR="00EA6659" w:rsidRPr="001A61AB" w:rsidRDefault="00EA6659" w:rsidP="002A55C1">
            <w:pPr>
              <w:spacing w:before="100"/>
              <w:rPr>
                <w:lang w:eastAsia="fr-FR"/>
              </w:rPr>
            </w:pPr>
            <w:r w:rsidRPr="001A61AB">
              <w:rPr>
                <w:lang w:eastAsia="fr-FR"/>
              </w:rPr>
              <w:t>A l</w:t>
            </w:r>
            <w:r w:rsidR="00D3135C">
              <w:rPr>
                <w:lang w:eastAsia="fr-FR"/>
              </w:rPr>
              <w:t>'</w:t>
            </w:r>
            <w:r w:rsidRPr="001A61AB">
              <w:rPr>
                <w:lang w:eastAsia="fr-FR"/>
              </w:rPr>
              <w:t>heure actuelle, le système d</w:t>
            </w:r>
            <w:r w:rsidR="00D3135C">
              <w:rPr>
                <w:lang w:eastAsia="fr-FR"/>
              </w:rPr>
              <w:t>'</w:t>
            </w:r>
            <w:r w:rsidRPr="001A61AB">
              <w:rPr>
                <w:lang w:eastAsia="fr-FR"/>
              </w:rPr>
              <w:t>information du BR pour les systèmes spatiaux comporte un grand nombre d</w:t>
            </w:r>
            <w:r w:rsidR="00D3135C">
              <w:rPr>
                <w:lang w:eastAsia="fr-FR"/>
              </w:rPr>
              <w:t>'</w:t>
            </w:r>
            <w:r w:rsidRPr="001A61AB">
              <w:rPr>
                <w:lang w:eastAsia="fr-FR"/>
              </w:rPr>
              <w:t>applications autonomes écrites en langages VB6 et VO avec leur propre interface spécifique. L</w:t>
            </w:r>
            <w:r w:rsidR="00D3135C">
              <w:rPr>
                <w:lang w:eastAsia="fr-FR"/>
              </w:rPr>
              <w:t>'</w:t>
            </w:r>
            <w:r w:rsidRPr="001A61AB">
              <w:rPr>
                <w:lang w:eastAsia="fr-FR"/>
              </w:rPr>
              <w:t>objectif est d</w:t>
            </w:r>
            <w:r w:rsidR="00D3135C">
              <w:rPr>
                <w:lang w:eastAsia="fr-FR"/>
              </w:rPr>
              <w:t>'</w:t>
            </w:r>
            <w:r w:rsidRPr="001A61AB">
              <w:rPr>
                <w:lang w:eastAsia="fr-FR"/>
              </w:rPr>
              <w:t xml:space="preserve">élaborer une interface utilisateur unique, qui intégrera à terme tous les services spatiaux du BR au moyen de techniques de pointe. </w:t>
            </w:r>
          </w:p>
          <w:p w:rsidR="00EA6659" w:rsidRPr="001A61AB" w:rsidRDefault="00EA6659" w:rsidP="002A55C1">
            <w:pPr>
              <w:spacing w:before="100"/>
              <w:rPr>
                <w:rFonts w:asciiTheme="majorBidi" w:hAnsiTheme="majorBidi" w:cstheme="majorBidi"/>
                <w:lang w:eastAsia="fr-FR"/>
              </w:rPr>
            </w:pPr>
            <w:r w:rsidRPr="001A61AB">
              <w:rPr>
                <w:rFonts w:asciiTheme="majorBidi" w:hAnsiTheme="majorBidi" w:cstheme="majorBidi"/>
                <w:lang w:eastAsia="fr-FR"/>
              </w:rPr>
              <w:t>Cette tâche a commencé et l</w:t>
            </w:r>
            <w:r w:rsidR="00D3135C">
              <w:rPr>
                <w:rFonts w:asciiTheme="majorBidi" w:hAnsiTheme="majorBidi" w:cstheme="majorBidi"/>
                <w:lang w:eastAsia="fr-FR"/>
              </w:rPr>
              <w:t>'</w:t>
            </w:r>
            <w:r w:rsidRPr="001A61AB">
              <w:rPr>
                <w:rFonts w:asciiTheme="majorBidi" w:hAnsiTheme="majorBidi" w:cstheme="majorBidi"/>
                <w:lang w:eastAsia="fr-FR"/>
              </w:rPr>
              <w:t xml:space="preserve">architecture proposée a été validée avec un prototype fondé sur </w:t>
            </w:r>
            <w:r w:rsidRPr="001A61AB">
              <w:rPr>
                <w:lang w:eastAsia="fr-FR"/>
              </w:rPr>
              <w:t>l</w:t>
            </w:r>
            <w:r w:rsidR="00D3135C">
              <w:rPr>
                <w:lang w:eastAsia="fr-FR"/>
              </w:rPr>
              <w:t>'</w:t>
            </w:r>
            <w:r w:rsidRPr="001A61AB">
              <w:rPr>
                <w:lang w:eastAsia="fr-FR"/>
              </w:rPr>
              <w:t>architecture orientée services (SOA). L</w:t>
            </w:r>
            <w:r w:rsidR="00D3135C">
              <w:rPr>
                <w:lang w:eastAsia="fr-FR"/>
              </w:rPr>
              <w:t>'</w:t>
            </w:r>
            <w:r w:rsidRPr="001A61AB">
              <w:rPr>
                <w:lang w:eastAsia="fr-FR"/>
              </w:rPr>
              <w:t>architecture SOA dissocie l</w:t>
            </w:r>
            <w:r w:rsidR="00D3135C">
              <w:rPr>
                <w:lang w:eastAsia="fr-FR"/>
              </w:rPr>
              <w:t>'</w:t>
            </w:r>
            <w:r w:rsidRPr="001A61AB">
              <w:rPr>
                <w:lang w:eastAsia="fr-FR"/>
              </w:rPr>
              <w:t>interface utilisateur de la mise en oeuvre du service. Chaque application des services spatiaux du BR se présentera sous la forme d</w:t>
            </w:r>
            <w:r w:rsidR="00D3135C">
              <w:rPr>
                <w:lang w:eastAsia="fr-FR"/>
              </w:rPr>
              <w:t>'</w:t>
            </w:r>
            <w:r w:rsidRPr="001A61AB">
              <w:rPr>
                <w:lang w:eastAsia="fr-FR"/>
              </w:rPr>
              <w:t>un service autonome WCF (Windows Communication Foundation) et pourra être facilement déployée sur des plates-formes Windows et web. La technologie WPF</w:t>
            </w:r>
            <w:r w:rsidRPr="001A61AB">
              <w:t xml:space="preserve"> (Windows Presentation Foundation), outil phare de la conception d</w:t>
            </w:r>
            <w:r w:rsidR="00D3135C">
              <w:t>'</w:t>
            </w:r>
            <w:r w:rsidRPr="001A61AB">
              <w:t>interfaces utilisateur</w:t>
            </w:r>
            <w:r w:rsidRPr="001A61AB">
              <w:rPr>
                <w:lang w:eastAsia="fr-FR"/>
              </w:rPr>
              <w:t xml:space="preserve"> (UI), est utilisée pour la conception et le développement de l</w:t>
            </w:r>
            <w:r w:rsidR="00D3135C">
              <w:rPr>
                <w:lang w:eastAsia="fr-FR"/>
              </w:rPr>
              <w:t>'</w:t>
            </w:r>
            <w:r w:rsidRPr="001A61AB">
              <w:rPr>
                <w:lang w:eastAsia="fr-FR"/>
              </w:rPr>
              <w:t>interface utilisateur (UI). Cette technologie dissocie la couche de conception de la présentation de la couche logique</w:t>
            </w:r>
            <w:r w:rsidRPr="001A61AB">
              <w:rPr>
                <w:lang w:val="fr-CH"/>
              </w:rPr>
              <w:t>.</w:t>
            </w:r>
          </w:p>
          <w:p w:rsidR="00EA6659" w:rsidRPr="001A61AB" w:rsidRDefault="00EA6659" w:rsidP="002A55C1">
            <w:pPr>
              <w:spacing w:before="100"/>
              <w:rPr>
                <w:lang w:val="fr-CH"/>
              </w:rPr>
            </w:pPr>
            <w:r w:rsidRPr="001A61AB">
              <w:rPr>
                <w:lang w:eastAsia="fr-FR"/>
              </w:rPr>
              <w:t>L</w:t>
            </w:r>
            <w:r w:rsidR="00D3135C">
              <w:rPr>
                <w:lang w:eastAsia="fr-FR"/>
              </w:rPr>
              <w:t>'</w:t>
            </w:r>
            <w:r w:rsidRPr="001A61AB">
              <w:rPr>
                <w:lang w:eastAsia="fr-FR"/>
              </w:rPr>
              <w:t>ensemble du système utilise une configuration de conception d</w:t>
            </w:r>
            <w:r w:rsidR="00D3135C">
              <w:rPr>
                <w:lang w:eastAsia="fr-FR"/>
              </w:rPr>
              <w:t>'</w:t>
            </w:r>
            <w:r w:rsidRPr="001A61AB">
              <w:rPr>
                <w:lang w:eastAsia="fr-FR"/>
              </w:rPr>
              <w:t>application composite (Prism est le guide d</w:t>
            </w:r>
            <w:r w:rsidR="00D3135C">
              <w:rPr>
                <w:lang w:eastAsia="fr-FR"/>
              </w:rPr>
              <w:t>'</w:t>
            </w:r>
            <w:r w:rsidRPr="001A61AB">
              <w:rPr>
                <w:lang w:eastAsia="fr-FR"/>
              </w:rPr>
              <w:t>application composite (Composite Application Guidance) pour la technologie WPF), ce qui améliore la modularité du système et permet aux concepteurs d</w:t>
            </w:r>
            <w:r w:rsidR="00D3135C">
              <w:rPr>
                <w:lang w:eastAsia="fr-FR"/>
              </w:rPr>
              <w:t>'</w:t>
            </w:r>
            <w:r w:rsidRPr="001A61AB">
              <w:rPr>
                <w:lang w:eastAsia="fr-FR"/>
              </w:rPr>
              <w:t>élaborer et de tenir à jour de manière indépendante des modules de système.</w:t>
            </w:r>
          </w:p>
          <w:p w:rsidR="007D2163" w:rsidRPr="001A61AB" w:rsidRDefault="00EA6659" w:rsidP="002A55C1">
            <w:pPr>
              <w:spacing w:before="100"/>
              <w:rPr>
                <w:lang w:val="fr-CH"/>
              </w:rPr>
            </w:pPr>
            <w:r w:rsidRPr="001A61AB">
              <w:rPr>
                <w:lang w:eastAsia="fr-FR"/>
              </w:rPr>
              <w:t>L</w:t>
            </w:r>
            <w:r w:rsidR="00D3135C">
              <w:rPr>
                <w:lang w:eastAsia="fr-FR"/>
              </w:rPr>
              <w:t>'</w:t>
            </w:r>
            <w:r w:rsidRPr="001A61AB">
              <w:rPr>
                <w:lang w:eastAsia="fr-FR"/>
              </w:rPr>
              <w:t>application SpaceQry sera la première à être réécrite dans le système d</w:t>
            </w:r>
            <w:r w:rsidR="00D3135C">
              <w:rPr>
                <w:lang w:eastAsia="fr-FR"/>
              </w:rPr>
              <w:t>'</w:t>
            </w:r>
            <w:r w:rsidRPr="001A61AB">
              <w:rPr>
                <w:lang w:eastAsia="fr-FR"/>
              </w:rPr>
              <w:t>information du BR pour les systèmes spatiaux conformément à l</w:t>
            </w:r>
            <w:r w:rsidR="00D3135C">
              <w:rPr>
                <w:lang w:eastAsia="fr-FR"/>
              </w:rPr>
              <w:t>'</w:t>
            </w:r>
            <w:r w:rsidRPr="001A61AB">
              <w:rPr>
                <w:lang w:eastAsia="fr-FR"/>
              </w:rPr>
              <w:t>architecture décrite ci-dessus et servira de modèle pour le développement de toutes les applications logicielles du BR. L</w:t>
            </w:r>
            <w:r w:rsidRPr="001A61AB">
              <w:rPr>
                <w:lang w:val="fr-CH" w:eastAsia="fr-FR"/>
              </w:rPr>
              <w:t>e service de requête élaboré pour</w:t>
            </w:r>
            <w:r w:rsidRPr="001A61AB">
              <w:rPr>
                <w:lang w:eastAsia="fr-FR"/>
              </w:rPr>
              <w:t xml:space="preserve"> SpaceQry pourra également être utilisé par le futur</w:t>
            </w:r>
            <w:r w:rsidRPr="001A61AB">
              <w:rPr>
                <w:lang w:val="fr-CH" w:eastAsia="fr-FR"/>
              </w:rPr>
              <w:t xml:space="preserve"> système SNS en ligne comme service web.</w:t>
            </w:r>
          </w:p>
        </w:tc>
      </w:tr>
      <w:tr w:rsidR="00EA6659" w:rsidRPr="001A61AB" w:rsidTr="0080439D">
        <w:tc>
          <w:tcPr>
            <w:tcW w:w="9184" w:type="dxa"/>
          </w:tcPr>
          <w:p w:rsidR="00EA6659" w:rsidRPr="001A61AB" w:rsidRDefault="00EA6659" w:rsidP="00BC0CAD">
            <w:pPr>
              <w:pStyle w:val="Headingb"/>
              <w:keepNext w:val="0"/>
              <w:rPr>
                <w:lang w:val="fr-CH"/>
              </w:rPr>
            </w:pPr>
            <w:r w:rsidRPr="001A61AB">
              <w:rPr>
                <w:lang w:val="fr-CH"/>
              </w:rPr>
              <w:t>Réécriture du logiciel SpaceQry écrit en langage VO</w:t>
            </w:r>
          </w:p>
          <w:p w:rsidR="00EA6659" w:rsidRPr="001A61AB" w:rsidRDefault="00EA6659" w:rsidP="00BC0CAD">
            <w:pPr>
              <w:rPr>
                <w:b/>
                <w:bCs/>
                <w:lang w:val="fr-CH"/>
              </w:rPr>
            </w:pPr>
            <w:r w:rsidRPr="001A61AB">
              <w:rPr>
                <w:lang w:val="fr-CH"/>
              </w:rPr>
              <w:t xml:space="preserve">Une version de production a été mise à disposition </w:t>
            </w:r>
            <w:r w:rsidRPr="001A61AB">
              <w:rPr>
                <w:color w:val="000000"/>
              </w:rPr>
              <w:t>dans le DVD de la BR IFIC</w:t>
            </w:r>
            <w:r w:rsidRPr="001A61AB">
              <w:t xml:space="preserve"> d</w:t>
            </w:r>
            <w:r w:rsidR="00D3135C">
              <w:t>'</w:t>
            </w:r>
            <w:r w:rsidRPr="001A61AB">
              <w:t>avril 2016.</w:t>
            </w:r>
          </w:p>
        </w:tc>
      </w:tr>
      <w:tr w:rsidR="00EA6659" w:rsidRPr="001A61AB" w:rsidTr="0080439D">
        <w:tc>
          <w:tcPr>
            <w:tcW w:w="9184" w:type="dxa"/>
          </w:tcPr>
          <w:p w:rsidR="00EA6659" w:rsidRPr="001A61AB" w:rsidRDefault="00EA6659" w:rsidP="00BC0CAD">
            <w:pPr>
              <w:pStyle w:val="Headingb"/>
              <w:rPr>
                <w:lang w:val="fr-CH"/>
              </w:rPr>
            </w:pPr>
            <w:r w:rsidRPr="001A61AB">
              <w:rPr>
                <w:lang w:val="fr-CH"/>
              </w:rPr>
              <w:t>Réécriture du logiciel SpaceCap en langage Visual Basic 6</w:t>
            </w:r>
          </w:p>
          <w:p w:rsidR="00EA6659" w:rsidRPr="001A61AB" w:rsidRDefault="00EA6659" w:rsidP="00BC0CAD">
            <w:pPr>
              <w:rPr>
                <w:b/>
                <w:bCs/>
                <w:lang w:val="fr-CH"/>
              </w:rPr>
            </w:pPr>
            <w:r w:rsidRPr="001A61AB">
              <w:rPr>
                <w:lang w:val="fr-CH"/>
              </w:rPr>
              <w:t>L</w:t>
            </w:r>
            <w:r w:rsidR="00D3135C">
              <w:rPr>
                <w:lang w:val="fr-CH"/>
              </w:rPr>
              <w:t>'</w:t>
            </w:r>
            <w:r w:rsidRPr="001A61AB">
              <w:rPr>
                <w:lang w:val="fr-CH"/>
              </w:rPr>
              <w:t>intégration du logiciel SpaceCap dans le système BR-SIS a commencé et s</w:t>
            </w:r>
            <w:r w:rsidR="00D3135C">
              <w:rPr>
                <w:lang w:val="fr-CH"/>
              </w:rPr>
              <w:t>'</w:t>
            </w:r>
            <w:r w:rsidRPr="001A61AB">
              <w:rPr>
                <w:lang w:val="fr-CH"/>
              </w:rPr>
              <w:t>effectuera moyennant l</w:t>
            </w:r>
            <w:r w:rsidR="00D3135C">
              <w:rPr>
                <w:lang w:val="fr-CH"/>
              </w:rPr>
              <w:t>'</w:t>
            </w:r>
            <w:r w:rsidRPr="001A61AB">
              <w:rPr>
                <w:lang w:val="fr-CH"/>
              </w:rPr>
              <w:t>intégration d</w:t>
            </w:r>
            <w:r w:rsidR="00D3135C">
              <w:rPr>
                <w:lang w:val="fr-CH"/>
              </w:rPr>
              <w:t>'</w:t>
            </w:r>
            <w:r w:rsidRPr="001A61AB">
              <w:rPr>
                <w:lang w:val="fr-CH"/>
              </w:rPr>
              <w:t>un seul type de fiche de notification à la fois.</w:t>
            </w:r>
          </w:p>
        </w:tc>
      </w:tr>
      <w:tr w:rsidR="00EA6659" w:rsidRPr="001A61AB" w:rsidTr="0080439D">
        <w:tc>
          <w:tcPr>
            <w:tcW w:w="9184" w:type="dxa"/>
          </w:tcPr>
          <w:p w:rsidR="00EA6659" w:rsidRPr="00D3135C" w:rsidRDefault="00EA6659" w:rsidP="00BC0CAD">
            <w:pPr>
              <w:pStyle w:val="Headingb"/>
              <w:keepNext w:val="0"/>
              <w:rPr>
                <w:lang w:val="fr-CH"/>
              </w:rPr>
            </w:pPr>
            <w:r w:rsidRPr="00D3135C">
              <w:rPr>
                <w:lang w:val="fr-CH"/>
              </w:rPr>
              <w:t>Migration de SRS.mdb vers une technologie plus moderne</w:t>
            </w:r>
          </w:p>
          <w:p w:rsidR="00EA6659" w:rsidRPr="001A61AB" w:rsidRDefault="00EA6659" w:rsidP="00BC0CAD">
            <w:pPr>
              <w:rPr>
                <w:lang w:val="fr-CH"/>
              </w:rPr>
            </w:pPr>
            <w:bookmarkStart w:id="165" w:name="lt_pId1580"/>
            <w:r w:rsidRPr="001A61AB">
              <w:rPr>
                <w:lang w:val="fr-CH"/>
              </w:rPr>
              <w:t>Actuellement, les fichiers de base de données sur la BR IFIC sont présentés au format Microsoft Access MDB, dont la mise au point a été interrompue avec la version de 2003 de Microsoft Office.</w:t>
            </w:r>
            <w:bookmarkStart w:id="166" w:name="lt_pId1581"/>
            <w:bookmarkEnd w:id="165"/>
          </w:p>
          <w:p w:rsidR="00EA6659" w:rsidRPr="001A61AB" w:rsidRDefault="00EA6659" w:rsidP="008B6DCF">
            <w:pPr>
              <w:rPr>
                <w:lang w:val="fr-CH"/>
              </w:rPr>
            </w:pPr>
            <w:r w:rsidRPr="001A61AB">
              <w:rPr>
                <w:lang w:val="fr-CH"/>
              </w:rPr>
              <w:t>Plusieurs options ont été analysées et l</w:t>
            </w:r>
            <w:r w:rsidR="00D3135C">
              <w:rPr>
                <w:lang w:val="fr-CH"/>
              </w:rPr>
              <w:t>'</w:t>
            </w:r>
            <w:r w:rsidRPr="001A61AB">
              <w:rPr>
                <w:lang w:val="fr-CH"/>
              </w:rPr>
              <w:t>option SQLite a été choisie comme technique app</w:t>
            </w:r>
            <w:r w:rsidR="00736814" w:rsidRPr="001A61AB">
              <w:rPr>
                <w:lang w:val="fr-CH"/>
              </w:rPr>
              <w:t>elée à remplacer les fichiers MDB</w:t>
            </w:r>
            <w:r w:rsidRPr="001A61AB">
              <w:rPr>
                <w:lang w:val="fr-CH"/>
              </w:rPr>
              <w:t>.</w:t>
            </w:r>
            <w:bookmarkEnd w:id="166"/>
            <w:r w:rsidRPr="001A61AB">
              <w:rPr>
                <w:lang w:val="fr-CH"/>
              </w:rPr>
              <w:t xml:space="preserve"> La connectivité est assurée soit par des connexions directes </w:t>
            </w:r>
            <w:bookmarkStart w:id="167" w:name="lt_pId1582"/>
            <w:r w:rsidRPr="001A61AB">
              <w:rPr>
                <w:lang w:val="fr-CH"/>
              </w:rPr>
              <w:t>(par exemple celles provenan</w:t>
            </w:r>
            <w:r w:rsidR="00736814" w:rsidRPr="001A61AB">
              <w:rPr>
                <w:lang w:val="fr-CH"/>
              </w:rPr>
              <w:t>t des applications C++ ou .Net</w:t>
            </w:r>
            <w:r w:rsidRPr="001A61AB">
              <w:rPr>
                <w:lang w:val="fr-CH"/>
              </w:rPr>
              <w:t>) ou par l</w:t>
            </w:r>
            <w:r w:rsidR="00D3135C">
              <w:rPr>
                <w:lang w:val="fr-CH"/>
              </w:rPr>
              <w:t>'</w:t>
            </w:r>
            <w:r w:rsidRPr="001A61AB">
              <w:rPr>
                <w:lang w:val="fr-CH"/>
              </w:rPr>
              <w:t xml:space="preserve">intermédiaire du </w:t>
            </w:r>
            <w:r w:rsidRPr="001A61AB">
              <w:rPr>
                <w:color w:val="000000"/>
              </w:rPr>
              <w:t>lecteur ODBC</w:t>
            </w:r>
            <w:r w:rsidRPr="001A61AB">
              <w:rPr>
                <w:lang w:val="fr-CH"/>
              </w:rPr>
              <w:t>.</w:t>
            </w:r>
            <w:bookmarkEnd w:id="167"/>
            <w:r w:rsidRPr="001A61AB">
              <w:rPr>
                <w:lang w:val="fr-CH"/>
              </w:rPr>
              <w:t xml:space="preserve"> </w:t>
            </w:r>
            <w:bookmarkStart w:id="168" w:name="lt_pId1583"/>
            <w:r w:rsidRPr="001A61AB">
              <w:rPr>
                <w:color w:val="000000"/>
              </w:rPr>
              <w:t>Des bases de données d</w:t>
            </w:r>
            <w:r w:rsidR="00D3135C">
              <w:rPr>
                <w:color w:val="000000"/>
              </w:rPr>
              <w:t>'</w:t>
            </w:r>
            <w:r w:rsidRPr="001A61AB">
              <w:rPr>
                <w:color w:val="000000"/>
              </w:rPr>
              <w:t>essai</w:t>
            </w:r>
            <w:r w:rsidRPr="001A61AB">
              <w:rPr>
                <w:lang w:val="fr-CH"/>
              </w:rPr>
              <w:t xml:space="preserve"> seront mises à la disposition des utilisateurs extérieurs au troisième trimestre de 2016 et les applications commercialisées sur le DVD de la BR IFIC se</w:t>
            </w:r>
            <w:r w:rsidR="00736814" w:rsidRPr="001A61AB">
              <w:rPr>
                <w:lang w:val="fr-CH"/>
              </w:rPr>
              <w:t>ront compatibles avec l</w:t>
            </w:r>
            <w:r w:rsidR="00D3135C">
              <w:rPr>
                <w:lang w:val="fr-CH"/>
              </w:rPr>
              <w:t>'</w:t>
            </w:r>
            <w:r w:rsidR="00736814" w:rsidRPr="001A61AB">
              <w:rPr>
                <w:lang w:val="fr-CH"/>
              </w:rPr>
              <w:t xml:space="preserve">option </w:t>
            </w:r>
            <w:r w:rsidRPr="001A61AB">
              <w:rPr>
                <w:lang w:val="fr-CH"/>
              </w:rPr>
              <w:t xml:space="preserve">SQLite dès janvier 2017, de façon à coïncider avec la publication de la version 8 </w:t>
            </w:r>
            <w:r w:rsidR="00736814" w:rsidRPr="001A61AB">
              <w:rPr>
                <w:lang w:val="fr-CH"/>
              </w:rPr>
              <w:t>de la base de données du</w:t>
            </w:r>
            <w:r w:rsidRPr="001A61AB">
              <w:rPr>
                <w:lang w:val="fr-CH"/>
              </w:rPr>
              <w:t xml:space="preserve"> SNS</w:t>
            </w:r>
            <w:bookmarkEnd w:id="168"/>
            <w:r w:rsidRPr="001A61AB">
              <w:rPr>
                <w:lang w:val="fr-CH"/>
              </w:rPr>
              <w:t>.</w:t>
            </w:r>
          </w:p>
          <w:p w:rsidR="00EA6659" w:rsidRPr="001A61AB" w:rsidRDefault="00736814" w:rsidP="00BC0CAD">
            <w:pPr>
              <w:rPr>
                <w:b/>
                <w:bCs/>
                <w:lang w:val="fr-CH"/>
              </w:rPr>
            </w:pPr>
            <w:bookmarkStart w:id="169" w:name="lt_pId1584"/>
            <w:r w:rsidRPr="001A61AB">
              <w:rPr>
                <w:color w:val="000000"/>
                <w:lang w:val="fr-CH"/>
              </w:rPr>
              <w:t>La</w:t>
            </w:r>
            <w:r w:rsidR="00EA6659" w:rsidRPr="001A61AB">
              <w:rPr>
                <w:color w:val="000000"/>
                <w:lang w:val="fr-CH"/>
              </w:rPr>
              <w:t xml:space="preserve"> compatibilité en amont avec</w:t>
            </w:r>
            <w:r w:rsidR="00EA6659" w:rsidRPr="001A61AB">
              <w:rPr>
                <w:lang w:val="fr-CH"/>
              </w:rPr>
              <w:t xml:space="preserve"> le format MDB, ainsi que les outils de conversion, seront maintenus </w:t>
            </w:r>
            <w:r w:rsidRPr="001A61AB">
              <w:rPr>
                <w:lang w:val="fr-CH"/>
              </w:rPr>
              <w:t>prochainement</w:t>
            </w:r>
            <w:r w:rsidR="00EA6659" w:rsidRPr="001A61AB">
              <w:rPr>
                <w:lang w:val="fr-CH"/>
              </w:rPr>
              <w:t>, afin de laisser</w:t>
            </w:r>
            <w:r w:rsidR="009D5B6A">
              <w:rPr>
                <w:lang w:val="fr-CH"/>
              </w:rPr>
              <w:t xml:space="preserve"> </w:t>
            </w:r>
            <w:r w:rsidR="00EA6659" w:rsidRPr="001A61AB">
              <w:rPr>
                <w:lang w:val="fr-CH"/>
              </w:rPr>
              <w:t xml:space="preserve">aux utilisateurs </w:t>
            </w:r>
            <w:r w:rsidRPr="001A61AB">
              <w:rPr>
                <w:lang w:val="fr-CH"/>
              </w:rPr>
              <w:t>extérieurs</w:t>
            </w:r>
            <w:r w:rsidR="00EA6659" w:rsidRPr="001A61AB">
              <w:rPr>
                <w:lang w:val="fr-CH"/>
              </w:rPr>
              <w:t xml:space="preserve"> suffisamment de</w:t>
            </w:r>
            <w:r w:rsidRPr="001A61AB">
              <w:rPr>
                <w:lang w:val="fr-CH"/>
              </w:rPr>
              <w:t xml:space="preserve"> temps pour adopter la nouvelle technologie.</w:t>
            </w:r>
            <w:bookmarkEnd w:id="169"/>
          </w:p>
        </w:tc>
      </w:tr>
      <w:tr w:rsidR="00736814" w:rsidRPr="001A61AB" w:rsidTr="0080439D">
        <w:tc>
          <w:tcPr>
            <w:tcW w:w="9184" w:type="dxa"/>
          </w:tcPr>
          <w:p w:rsidR="00736814" w:rsidRPr="001A61AB" w:rsidRDefault="00736814" w:rsidP="00BC0CAD">
            <w:pPr>
              <w:pStyle w:val="Headingb"/>
              <w:keepNext w:val="0"/>
              <w:rPr>
                <w:lang w:val="fr-CH"/>
              </w:rPr>
            </w:pPr>
            <w:r w:rsidRPr="001A61AB">
              <w:rPr>
                <w:lang w:val="fr-CH"/>
              </w:rPr>
              <w:t>Migration de la base de données SNS d</w:t>
            </w:r>
            <w:r w:rsidR="00D3135C">
              <w:rPr>
                <w:lang w:val="fr-CH"/>
              </w:rPr>
              <w:t>'</w:t>
            </w:r>
            <w:r w:rsidRPr="001A61AB">
              <w:rPr>
                <w:lang w:val="fr-CH"/>
              </w:rPr>
              <w:t>Ingres vers SQL Server</w:t>
            </w:r>
          </w:p>
          <w:p w:rsidR="00736814" w:rsidRPr="001A61AB" w:rsidRDefault="00736814" w:rsidP="00BC0CAD">
            <w:pPr>
              <w:rPr>
                <w:lang w:val="fr-CH"/>
              </w:rPr>
            </w:pPr>
            <w:r w:rsidRPr="001A61AB">
              <w:rPr>
                <w:lang w:val="fr-CH"/>
              </w:rPr>
              <w:t>Pour des raisons de coût et de ressources, le Département des services informatiques migre actuellement ses bases de données Ingres vers SQL Server; en conséquence, la base de données SNS du BR pour les systèmes spatiaux devrait elle aussi migrer.</w:t>
            </w:r>
          </w:p>
          <w:p w:rsidR="00736814" w:rsidRPr="001A61AB" w:rsidRDefault="00736814" w:rsidP="00BC0CAD">
            <w:pPr>
              <w:rPr>
                <w:lang w:val="fr-CH"/>
              </w:rPr>
            </w:pPr>
            <w:r w:rsidRPr="001A61AB">
              <w:rPr>
                <w:lang w:val="fr-CH"/>
              </w:rPr>
              <w:t>Aucune modification importante ne devra être apportée aux applications du BR pour les systèmes spatiaux utilisant le lecteur ODBC pour accéder à la base de données. Ces travaux devraient être achevés en 2016.</w:t>
            </w:r>
          </w:p>
          <w:p w:rsidR="00736814" w:rsidRPr="001A61AB" w:rsidRDefault="00736814" w:rsidP="00BC0CAD">
            <w:pPr>
              <w:rPr>
                <w:lang w:val="fr-CH"/>
              </w:rPr>
            </w:pPr>
            <w:r w:rsidRPr="001A61AB">
              <w:rPr>
                <w:lang w:val="fr-CH"/>
              </w:rPr>
              <w:t>Il faudra réécrire SNS Online, étant donné qu</w:t>
            </w:r>
            <w:r w:rsidR="00D3135C">
              <w:rPr>
                <w:lang w:val="fr-CH"/>
              </w:rPr>
              <w:t>'</w:t>
            </w:r>
            <w:r w:rsidRPr="001A61AB">
              <w:rPr>
                <w:lang w:val="fr-CH"/>
              </w:rPr>
              <w:t>il est actuellement étroitement associé à Ingres. Dans l</w:t>
            </w:r>
            <w:r w:rsidR="00D3135C">
              <w:rPr>
                <w:lang w:val="fr-CH"/>
              </w:rPr>
              <w:t>'</w:t>
            </w:r>
            <w:r w:rsidRPr="001A61AB">
              <w:rPr>
                <w:lang w:val="fr-CH"/>
              </w:rPr>
              <w:t>intervalle, il sera possible de copier périodiquement les données SNS de SQL Server vers une base de données SNS sur Ingres en mode lecture seulement.</w:t>
            </w:r>
          </w:p>
          <w:p w:rsidR="00736814" w:rsidRPr="001A61AB" w:rsidRDefault="00736814" w:rsidP="002A55C1">
            <w:pPr>
              <w:spacing w:before="100"/>
              <w:rPr>
                <w:b/>
                <w:bCs/>
                <w:lang w:val="fr-CH"/>
              </w:rPr>
            </w:pPr>
            <w:r w:rsidRPr="001A61AB">
              <w:rPr>
                <w:lang w:val="fr-CH"/>
              </w:rPr>
              <w:t>La version future de SNS Online pourra être fondée sur la technologie ASP.NET MVC, actuellement utilisée pour la partie requête API (SpaceQry) pour les systèmes spatiaux du site web</w:t>
            </w:r>
            <w:r w:rsidRPr="001A61AB">
              <w:rPr>
                <w:color w:val="000000"/>
              </w:rPr>
              <w:t xml:space="preserve"> des systèmes de réseaux à satellite (SNS)</w:t>
            </w:r>
            <w:r w:rsidRPr="001A61AB">
              <w:rPr>
                <w:lang w:val="fr-CH"/>
              </w:rPr>
              <w:t>.</w:t>
            </w:r>
          </w:p>
        </w:tc>
      </w:tr>
      <w:tr w:rsidR="00736814" w:rsidRPr="001A61AB" w:rsidTr="0080439D">
        <w:tc>
          <w:tcPr>
            <w:tcW w:w="9184" w:type="dxa"/>
          </w:tcPr>
          <w:p w:rsidR="00736814" w:rsidRPr="00BC0CAD" w:rsidRDefault="00736814" w:rsidP="002A55C1">
            <w:pPr>
              <w:pStyle w:val="Headingb"/>
              <w:keepNext w:val="0"/>
              <w:spacing w:before="120"/>
              <w:rPr>
                <w:lang w:val="fr-CH"/>
              </w:rPr>
            </w:pPr>
            <w:r w:rsidRPr="00BC0CAD">
              <w:rPr>
                <w:lang w:val="fr-CH"/>
              </w:rPr>
              <w:t>Réexamen de SNTrack</w:t>
            </w:r>
          </w:p>
          <w:p w:rsidR="00736814" w:rsidRPr="001A61AB" w:rsidRDefault="00736814" w:rsidP="002A55C1">
            <w:pPr>
              <w:spacing w:before="100"/>
              <w:rPr>
                <w:b/>
                <w:bCs/>
                <w:lang w:val="fr-CH"/>
              </w:rPr>
            </w:pPr>
            <w:r w:rsidRPr="001A61AB">
              <w:rPr>
                <w:lang w:eastAsia="fr-FR"/>
              </w:rPr>
              <w:t>Cette tâche devrait être menée à bien dans le cadre de la mise en oeuvre des Résolutions 907 et 908.</w:t>
            </w:r>
          </w:p>
        </w:tc>
      </w:tr>
      <w:tr w:rsidR="00736814" w:rsidRPr="001A61AB" w:rsidTr="0080439D">
        <w:tc>
          <w:tcPr>
            <w:tcW w:w="9184" w:type="dxa"/>
          </w:tcPr>
          <w:p w:rsidR="00736814" w:rsidRPr="00BC0CAD" w:rsidRDefault="00736814" w:rsidP="002A55C1">
            <w:pPr>
              <w:pStyle w:val="Headingb"/>
              <w:keepNext w:val="0"/>
              <w:spacing w:before="120"/>
              <w:rPr>
                <w:lang w:val="fr-CH"/>
              </w:rPr>
            </w:pPr>
            <w:r w:rsidRPr="00BC0CAD">
              <w:rPr>
                <w:lang w:val="fr-CH"/>
              </w:rPr>
              <w:t>Phase 3: 1er janvier 2016</w:t>
            </w:r>
            <w:r w:rsidR="008B6DCF">
              <w:rPr>
                <w:lang w:val="fr-CH"/>
              </w:rPr>
              <w:t>-</w:t>
            </w:r>
            <w:r w:rsidRPr="00BC0CAD">
              <w:rPr>
                <w:lang w:val="fr-CH"/>
              </w:rPr>
              <w:t>31 décembre 2018</w:t>
            </w:r>
          </w:p>
          <w:p w:rsidR="00736814" w:rsidRPr="001A61AB" w:rsidRDefault="00736814" w:rsidP="002A55C1">
            <w:pPr>
              <w:spacing w:before="100"/>
              <w:rPr>
                <w:lang w:val="fr-CH"/>
              </w:rPr>
            </w:pPr>
            <w:r w:rsidRPr="001A61AB">
              <w:rPr>
                <w:lang w:val="fr-CH"/>
              </w:rPr>
              <w:t>Les principales mesures qui seront prises dans le cadre de la Phase 3 sont les suivantes:</w:t>
            </w:r>
          </w:p>
          <w:p w:rsidR="00736814" w:rsidRPr="001A61AB" w:rsidRDefault="00736814" w:rsidP="002A55C1">
            <w:pPr>
              <w:pStyle w:val="enumlev1"/>
              <w:spacing w:before="60"/>
              <w:ind w:left="793" w:hanging="765"/>
              <w:rPr>
                <w:szCs w:val="24"/>
                <w:lang w:val="fr-CH"/>
              </w:rPr>
            </w:pPr>
            <w:r w:rsidRPr="001A61AB">
              <w:rPr>
                <w:szCs w:val="24"/>
                <w:lang w:val="fr-CH"/>
              </w:rPr>
              <w:t>•</w:t>
            </w:r>
            <w:r w:rsidRPr="001A61AB">
              <w:rPr>
                <w:szCs w:val="24"/>
              </w:rPr>
              <w:tab/>
            </w:r>
            <w:r w:rsidRPr="001A61AB">
              <w:rPr>
                <w:szCs w:val="24"/>
                <w:lang w:val="fr-CH"/>
              </w:rPr>
              <w:t>Concevoir une base de données conceptuelle comme pour les services de Terre et les services spatiaux.</w:t>
            </w:r>
          </w:p>
          <w:p w:rsidR="00736814" w:rsidRPr="001A61AB" w:rsidRDefault="00736814" w:rsidP="002A55C1">
            <w:pPr>
              <w:pStyle w:val="enumlev1"/>
              <w:spacing w:before="60"/>
              <w:ind w:left="793" w:hanging="765"/>
              <w:rPr>
                <w:szCs w:val="24"/>
                <w:lang w:val="fr-CH"/>
              </w:rPr>
            </w:pPr>
            <w:r w:rsidRPr="001A61AB">
              <w:rPr>
                <w:szCs w:val="24"/>
                <w:lang w:val="fr-CH"/>
              </w:rPr>
              <w:t>•</w:t>
            </w:r>
            <w:r w:rsidRPr="001A61AB">
              <w:rPr>
                <w:szCs w:val="24"/>
              </w:rPr>
              <w:tab/>
            </w:r>
            <w:r w:rsidRPr="001A61AB">
              <w:rPr>
                <w:szCs w:val="24"/>
                <w:lang w:val="fr-CH"/>
              </w:rPr>
              <w:t>Définir un cadre d</w:t>
            </w:r>
            <w:r w:rsidR="00D3135C">
              <w:rPr>
                <w:szCs w:val="24"/>
                <w:lang w:val="fr-CH"/>
              </w:rPr>
              <w:t>'</w:t>
            </w:r>
            <w:r w:rsidRPr="001A61AB">
              <w:rPr>
                <w:szCs w:val="24"/>
                <w:lang w:val="fr-CH"/>
              </w:rPr>
              <w:t>application normalisé pour les systèmes à satellites et les systèmes de Terre, y compris le système maritime (MARS) à partir des bases de données maritimes de l</w:t>
            </w:r>
            <w:r w:rsidR="00D3135C">
              <w:rPr>
                <w:szCs w:val="24"/>
                <w:lang w:val="fr-CH"/>
              </w:rPr>
              <w:t>'</w:t>
            </w:r>
            <w:r w:rsidRPr="001A61AB">
              <w:rPr>
                <w:szCs w:val="24"/>
                <w:lang w:val="fr-CH"/>
              </w:rPr>
              <w:t>UIT.</w:t>
            </w:r>
          </w:p>
          <w:p w:rsidR="00736814" w:rsidRPr="001A61AB" w:rsidRDefault="00736814" w:rsidP="002A55C1">
            <w:pPr>
              <w:pStyle w:val="enumlev1"/>
              <w:spacing w:before="60"/>
              <w:ind w:left="793" w:hanging="765"/>
              <w:rPr>
                <w:szCs w:val="24"/>
                <w:lang w:val="fr-CH"/>
              </w:rPr>
            </w:pPr>
            <w:r w:rsidRPr="001A61AB">
              <w:rPr>
                <w:szCs w:val="24"/>
                <w:lang w:val="fr-CH"/>
              </w:rPr>
              <w:t>•</w:t>
            </w:r>
            <w:r w:rsidRPr="001A61AB">
              <w:rPr>
                <w:szCs w:val="24"/>
              </w:rPr>
              <w:tab/>
            </w:r>
            <w:r w:rsidRPr="001A61AB">
              <w:rPr>
                <w:szCs w:val="24"/>
                <w:lang w:val="fr-CH"/>
              </w:rPr>
              <w:t>Reconfigurer les systèmes à satellites (appliquer une architecture orientée services).</w:t>
            </w:r>
          </w:p>
          <w:p w:rsidR="00736814" w:rsidRPr="001A61AB" w:rsidRDefault="00736814" w:rsidP="002A55C1">
            <w:pPr>
              <w:pStyle w:val="enumlev1"/>
              <w:spacing w:before="60"/>
              <w:ind w:left="793" w:hanging="765"/>
              <w:rPr>
                <w:szCs w:val="24"/>
                <w:lang w:val="fr-CH"/>
              </w:rPr>
            </w:pPr>
            <w:r w:rsidRPr="001A61AB">
              <w:rPr>
                <w:szCs w:val="24"/>
                <w:lang w:val="fr-CH"/>
              </w:rPr>
              <w:t>•</w:t>
            </w:r>
            <w:r w:rsidRPr="001A61AB">
              <w:rPr>
                <w:szCs w:val="24"/>
              </w:rPr>
              <w:tab/>
            </w:r>
            <w:r w:rsidRPr="001A61AB">
              <w:rPr>
                <w:szCs w:val="24"/>
                <w:lang w:val="fr-CH"/>
              </w:rPr>
              <w:t>Envisager une gestion centralisée des risques, de la reprise de</w:t>
            </w:r>
            <w:r w:rsidR="001A61AB" w:rsidRPr="001A61AB">
              <w:rPr>
                <w:szCs w:val="24"/>
                <w:lang w:val="fr-CH"/>
              </w:rPr>
              <w:t>s activités et de la sécurité.</w:t>
            </w:r>
          </w:p>
          <w:p w:rsidR="00736814" w:rsidRPr="001A61AB" w:rsidRDefault="00736814" w:rsidP="002A55C1">
            <w:pPr>
              <w:spacing w:before="100"/>
              <w:rPr>
                <w:lang w:val="fr-CH"/>
              </w:rPr>
            </w:pPr>
            <w:r w:rsidRPr="001A61AB">
              <w:rPr>
                <w:lang w:val="fr-CH"/>
              </w:rPr>
              <w:t>Les travaux menés au cours des phases précédentes, ainsi que l</w:t>
            </w:r>
            <w:r w:rsidR="001A61AB" w:rsidRPr="001A61AB">
              <w:rPr>
                <w:lang w:val="fr-CH"/>
              </w:rPr>
              <w:t xml:space="preserve">es choix de conception et les </w:t>
            </w:r>
            <w:r w:rsidRPr="001A61AB">
              <w:rPr>
                <w:lang w:val="fr-CH"/>
              </w:rPr>
              <w:t>choix techniques effectués, constituent une e</w:t>
            </w:r>
            <w:r w:rsidR="001A61AB" w:rsidRPr="001A61AB">
              <w:rPr>
                <w:lang w:val="fr-CH"/>
              </w:rPr>
              <w:t>xcellente base pour la mise en oeuvre avec succès de la</w:t>
            </w:r>
            <w:r w:rsidRPr="001A61AB">
              <w:rPr>
                <w:lang w:val="fr-CH"/>
              </w:rPr>
              <w:t xml:space="preserve"> Phase 3:</w:t>
            </w:r>
          </w:p>
          <w:p w:rsidR="00BC0CAD" w:rsidRDefault="001A61AB" w:rsidP="002A55C1">
            <w:pPr>
              <w:pStyle w:val="enumlev1"/>
              <w:spacing w:before="60"/>
              <w:ind w:left="793" w:hanging="765"/>
              <w:rPr>
                <w:szCs w:val="24"/>
                <w:lang w:val="fr-CH"/>
              </w:rPr>
            </w:pPr>
            <w:r w:rsidRPr="001A61AB">
              <w:rPr>
                <w:szCs w:val="24"/>
                <w:lang w:val="fr-CH"/>
              </w:rPr>
              <w:t>•</w:t>
            </w:r>
            <w:r w:rsidRPr="001A61AB">
              <w:rPr>
                <w:szCs w:val="24"/>
              </w:rPr>
              <w:tab/>
              <w:t>L</w:t>
            </w:r>
            <w:r w:rsidR="00736814" w:rsidRPr="001A61AB">
              <w:rPr>
                <w:color w:val="000000"/>
                <w:szCs w:val="24"/>
                <w:lang w:val="fr-CH"/>
              </w:rPr>
              <w:t>es bases de données relatives aux services spatiaux devront être transférées vers la plate-forme du serveur</w:t>
            </w:r>
            <w:r w:rsidRPr="001A61AB">
              <w:rPr>
                <w:szCs w:val="24"/>
                <w:lang w:val="fr-CH"/>
              </w:rPr>
              <w:t xml:space="preserve"> SQL d</w:t>
            </w:r>
            <w:r w:rsidR="00D3135C">
              <w:rPr>
                <w:szCs w:val="24"/>
                <w:lang w:val="fr-CH"/>
              </w:rPr>
              <w:t>'</w:t>
            </w:r>
            <w:r w:rsidRPr="001A61AB">
              <w:rPr>
                <w:szCs w:val="24"/>
                <w:lang w:val="fr-CH"/>
              </w:rPr>
              <w:t xml:space="preserve">ici à la fin de 2016. Le schéma des </w:t>
            </w:r>
            <w:r w:rsidR="00736814" w:rsidRPr="001A61AB">
              <w:rPr>
                <w:szCs w:val="24"/>
                <w:lang w:val="fr-CH"/>
              </w:rPr>
              <w:t>bases de données devra alors être mis à jour pour êtr</w:t>
            </w:r>
            <w:r w:rsidRPr="001A61AB">
              <w:rPr>
                <w:szCs w:val="24"/>
                <w:lang w:val="fr-CH"/>
              </w:rPr>
              <w:t>e conforme à la version 8 post-CMR-</w:t>
            </w:r>
            <w:r w:rsidR="00736814" w:rsidRPr="001A61AB">
              <w:rPr>
                <w:szCs w:val="24"/>
                <w:lang w:val="fr-CH"/>
              </w:rPr>
              <w:t>15 et présenté au WRS-16, moyennant un certain nombre d</w:t>
            </w:r>
            <w:r w:rsidR="00D3135C">
              <w:rPr>
                <w:szCs w:val="24"/>
                <w:lang w:val="fr-CH"/>
              </w:rPr>
              <w:t>'</w:t>
            </w:r>
            <w:r w:rsidR="00736814" w:rsidRPr="001A61AB">
              <w:rPr>
                <w:szCs w:val="24"/>
                <w:lang w:val="fr-CH"/>
              </w:rPr>
              <w:t>adjonctions, de suppressions et de modifica</w:t>
            </w:r>
            <w:r w:rsidRPr="001A61AB">
              <w:rPr>
                <w:szCs w:val="24"/>
                <w:lang w:val="fr-CH"/>
              </w:rPr>
              <w:t>tion des champs et des tables.</w:t>
            </w:r>
          </w:p>
          <w:p w:rsidR="00736814" w:rsidRDefault="00923ABD" w:rsidP="002A55C1">
            <w:pPr>
              <w:pStyle w:val="enumlev1"/>
              <w:spacing w:before="60"/>
              <w:ind w:left="793" w:hanging="765"/>
              <w:rPr>
                <w:szCs w:val="24"/>
                <w:lang w:val="fr-CH"/>
              </w:rPr>
            </w:pPr>
            <w:r>
              <w:rPr>
                <w:szCs w:val="24"/>
                <w:lang w:val="fr-CH"/>
              </w:rPr>
              <w:tab/>
            </w:r>
            <w:r w:rsidR="00736814" w:rsidRPr="001A61AB">
              <w:rPr>
                <w:szCs w:val="24"/>
                <w:lang w:val="fr-CH"/>
              </w:rPr>
              <w:t>Une reconfiguration du schéma, qui préservera l</w:t>
            </w:r>
            <w:r w:rsidR="00D3135C">
              <w:rPr>
                <w:szCs w:val="24"/>
                <w:lang w:val="fr-CH"/>
              </w:rPr>
              <w:t>'</w:t>
            </w:r>
            <w:r w:rsidR="00736814" w:rsidRPr="001A61AB">
              <w:rPr>
                <w:szCs w:val="24"/>
                <w:lang w:val="fr-CH"/>
              </w:rPr>
              <w:t>équivalence des données, mais aura pour objectif de supprimer certaines redondances</w:t>
            </w:r>
            <w:r w:rsidR="001A61AB" w:rsidRPr="001A61AB">
              <w:rPr>
                <w:szCs w:val="24"/>
                <w:lang w:val="fr-CH"/>
              </w:rPr>
              <w:t xml:space="preserve"> et de parvenir à une approche commune </w:t>
            </w:r>
            <w:r w:rsidR="00736814" w:rsidRPr="001A61AB">
              <w:rPr>
                <w:szCs w:val="24"/>
                <w:lang w:val="fr-CH"/>
              </w:rPr>
              <w:t>services spatiaux/services de Terre, pourrait être effectuée</w:t>
            </w:r>
            <w:r w:rsidR="001A61AB" w:rsidRPr="001A61AB">
              <w:rPr>
                <w:szCs w:val="24"/>
                <w:lang w:val="fr-CH"/>
              </w:rPr>
              <w:t xml:space="preserve"> à temps pour le</w:t>
            </w:r>
            <w:r w:rsidR="00736814" w:rsidRPr="001A61AB">
              <w:rPr>
                <w:szCs w:val="24"/>
                <w:lang w:val="fr-CH"/>
              </w:rPr>
              <w:t xml:space="preserve"> WRS-18.</w:t>
            </w:r>
          </w:p>
          <w:p w:rsidR="00BC0CAD" w:rsidRDefault="001A61AB" w:rsidP="002A55C1">
            <w:pPr>
              <w:pStyle w:val="enumlev1"/>
              <w:spacing w:before="60"/>
              <w:ind w:left="793" w:hanging="765"/>
              <w:rPr>
                <w:szCs w:val="24"/>
                <w:lang w:val="fr-CH"/>
              </w:rPr>
            </w:pPr>
            <w:r w:rsidRPr="001A61AB">
              <w:rPr>
                <w:szCs w:val="24"/>
                <w:lang w:val="fr-CH"/>
              </w:rPr>
              <w:t>•</w:t>
            </w:r>
            <w:r w:rsidRPr="001A61AB">
              <w:rPr>
                <w:szCs w:val="24"/>
              </w:rPr>
              <w:tab/>
            </w:r>
            <w:r w:rsidR="00736814" w:rsidRPr="001A61AB">
              <w:rPr>
                <w:szCs w:val="24"/>
                <w:lang w:val="fr-CH"/>
              </w:rPr>
              <w:t>Les cadres des</w:t>
            </w:r>
            <w:r w:rsidR="00736814" w:rsidRPr="001A61AB">
              <w:rPr>
                <w:color w:val="000000"/>
                <w:szCs w:val="24"/>
                <w:lang w:val="fr-CH"/>
              </w:rPr>
              <w:t xml:space="preserve"> applications bureautiques</w:t>
            </w:r>
            <w:r w:rsidR="00736814" w:rsidRPr="001A61AB">
              <w:rPr>
                <w:szCs w:val="24"/>
                <w:lang w:val="fr-CH"/>
              </w:rPr>
              <w:t xml:space="preserve"> concernant les systèmes de Terre, les systèmes spatiaux et le système MARS ont toujours été très différents et cette situation restera peut-être inchangée pour le moment. Il devient moins né</w:t>
            </w:r>
            <w:r w:rsidRPr="001A61AB">
              <w:rPr>
                <w:szCs w:val="24"/>
                <w:lang w:val="fr-CH"/>
              </w:rPr>
              <w:t xml:space="preserve">cessaire </w:t>
            </w:r>
            <w:r w:rsidR="00736814" w:rsidRPr="001A61AB">
              <w:rPr>
                <w:szCs w:val="24"/>
                <w:lang w:val="fr-CH"/>
              </w:rPr>
              <w:t>de normaliser un cadre à mesure que de nouvelles fonctionnalités sont offertes par l</w:t>
            </w:r>
            <w:r w:rsidR="00D3135C">
              <w:rPr>
                <w:szCs w:val="24"/>
                <w:lang w:val="fr-CH"/>
              </w:rPr>
              <w:t>'</w:t>
            </w:r>
            <w:r w:rsidR="00736814" w:rsidRPr="001A61AB">
              <w:rPr>
                <w:szCs w:val="24"/>
                <w:lang w:val="fr-CH"/>
              </w:rPr>
              <w:t>intermédiaire d</w:t>
            </w:r>
            <w:r w:rsidR="00D3135C">
              <w:rPr>
                <w:szCs w:val="24"/>
                <w:lang w:val="fr-CH"/>
              </w:rPr>
              <w:t>'</w:t>
            </w:r>
            <w:r w:rsidR="00736814" w:rsidRPr="001A61AB">
              <w:rPr>
                <w:szCs w:val="24"/>
                <w:lang w:val="fr-CH"/>
              </w:rPr>
              <w:t>applications</w:t>
            </w:r>
            <w:r w:rsidRPr="001A61AB">
              <w:rPr>
                <w:szCs w:val="24"/>
                <w:lang w:val="fr-CH"/>
              </w:rPr>
              <w:t xml:space="preserve"> web.</w:t>
            </w:r>
          </w:p>
          <w:p w:rsidR="00736814" w:rsidRDefault="00923ABD" w:rsidP="002A55C1">
            <w:pPr>
              <w:pStyle w:val="enumlev1"/>
              <w:spacing w:before="60"/>
              <w:ind w:left="793" w:hanging="765"/>
              <w:rPr>
                <w:szCs w:val="24"/>
                <w:lang w:val="fr-CH"/>
              </w:rPr>
            </w:pPr>
            <w:r>
              <w:rPr>
                <w:szCs w:val="24"/>
                <w:lang w:val="fr-CH"/>
              </w:rPr>
              <w:tab/>
            </w:r>
            <w:r w:rsidR="00736814" w:rsidRPr="001A61AB">
              <w:rPr>
                <w:szCs w:val="24"/>
                <w:lang w:val="fr-CH"/>
              </w:rPr>
              <w:t xml:space="preserve">Le cadre type des applications web utilisé pour les nouveaux systèmes mis au point (par exemple le système SIRRS) et pour </w:t>
            </w:r>
            <w:r w:rsidR="00736814" w:rsidRPr="001A61AB">
              <w:rPr>
                <w:color w:val="000000"/>
                <w:szCs w:val="24"/>
                <w:lang w:val="fr-CH"/>
              </w:rPr>
              <w:t>la modification de la conception</w:t>
            </w:r>
            <w:r w:rsidR="00736814" w:rsidRPr="001A61AB">
              <w:rPr>
                <w:szCs w:val="24"/>
                <w:lang w:val="fr-CH"/>
              </w:rPr>
              <w:t xml:space="preserve"> des</w:t>
            </w:r>
            <w:r w:rsidR="00736814" w:rsidRPr="001A61AB">
              <w:rPr>
                <w:color w:val="000000"/>
                <w:szCs w:val="24"/>
                <w:lang w:val="fr-CH"/>
              </w:rPr>
              <w:t xml:space="preserve"> applications web actuelles</w:t>
            </w:r>
            <w:r w:rsidR="00736814" w:rsidRPr="001A61AB">
              <w:rPr>
                <w:szCs w:val="24"/>
                <w:lang w:val="fr-CH"/>
              </w:rPr>
              <w:t xml:space="preserve"> </w:t>
            </w:r>
            <w:r w:rsidR="00736814" w:rsidRPr="001A61AB">
              <w:rPr>
                <w:color w:val="000000"/>
                <w:szCs w:val="24"/>
                <w:lang w:val="fr-CH"/>
              </w:rPr>
              <w:t xml:space="preserve">concernant les services spatiaux) </w:t>
            </w:r>
            <w:r w:rsidR="00736814" w:rsidRPr="001A61AB">
              <w:rPr>
                <w:szCs w:val="24"/>
                <w:lang w:val="fr-CH"/>
              </w:rPr>
              <w:t xml:space="preserve">(SNS en ligne) </w:t>
            </w:r>
            <w:r w:rsidR="001A61AB" w:rsidRPr="001A61AB">
              <w:rPr>
                <w:szCs w:val="24"/>
                <w:lang w:val="fr-CH"/>
              </w:rPr>
              <w:t>sera</w:t>
            </w:r>
            <w:r w:rsidR="00736814" w:rsidRPr="001A61AB">
              <w:rPr>
                <w:szCs w:val="24"/>
                <w:lang w:val="fr-CH"/>
              </w:rPr>
              <w:t xml:space="preserve"> ASP.NET MVC, qui est également approuvé et pris en charge par le Département des services informatiques et constitue le cadre d</w:t>
            </w:r>
            <w:r w:rsidR="00D3135C">
              <w:rPr>
                <w:szCs w:val="24"/>
                <w:lang w:val="fr-CH"/>
              </w:rPr>
              <w:t>'</w:t>
            </w:r>
            <w:r w:rsidR="00736814" w:rsidRPr="001A61AB">
              <w:rPr>
                <w:szCs w:val="24"/>
                <w:lang w:val="fr-CH"/>
              </w:rPr>
              <w:t>applications web sur lequel le</w:t>
            </w:r>
            <w:r w:rsidR="001A61AB" w:rsidRPr="001A61AB">
              <w:rPr>
                <w:szCs w:val="24"/>
                <w:lang w:val="fr-CH"/>
              </w:rPr>
              <w:t xml:space="preserve"> projet MARS est actuellement réappliqué.</w:t>
            </w:r>
          </w:p>
          <w:p w:rsidR="00736814" w:rsidRPr="001A61AB" w:rsidRDefault="001A61AB" w:rsidP="002A55C1">
            <w:pPr>
              <w:pStyle w:val="enumlev1"/>
              <w:spacing w:before="60"/>
              <w:ind w:left="793" w:hanging="765"/>
              <w:rPr>
                <w:szCs w:val="24"/>
                <w:lang w:val="fr-CH"/>
              </w:rPr>
            </w:pPr>
            <w:r w:rsidRPr="001A61AB">
              <w:rPr>
                <w:szCs w:val="24"/>
                <w:lang w:val="fr-CH"/>
              </w:rPr>
              <w:t>•</w:t>
            </w:r>
            <w:r w:rsidRPr="001A61AB">
              <w:rPr>
                <w:szCs w:val="24"/>
              </w:rPr>
              <w:tab/>
            </w:r>
            <w:r w:rsidRPr="001A61AB">
              <w:rPr>
                <w:szCs w:val="24"/>
                <w:lang w:val="fr-CH"/>
              </w:rPr>
              <w:t>L</w:t>
            </w:r>
            <w:r w:rsidR="00D3135C">
              <w:rPr>
                <w:szCs w:val="24"/>
                <w:lang w:val="fr-CH"/>
              </w:rPr>
              <w:t>'</w:t>
            </w:r>
            <w:r w:rsidRPr="001A61AB">
              <w:rPr>
                <w:szCs w:val="24"/>
                <w:lang w:val="fr-CH"/>
              </w:rPr>
              <w:t>adoption de la plate-forme</w:t>
            </w:r>
            <w:r w:rsidR="009D5B6A">
              <w:rPr>
                <w:szCs w:val="24"/>
                <w:lang w:val="fr-CH"/>
              </w:rPr>
              <w:t xml:space="preserve"> .</w:t>
            </w:r>
            <w:r w:rsidR="00736814" w:rsidRPr="001A61AB">
              <w:rPr>
                <w:szCs w:val="24"/>
                <w:lang w:val="fr-CH"/>
              </w:rPr>
              <w:t>Net et l</w:t>
            </w:r>
            <w:r w:rsidR="00D3135C">
              <w:rPr>
                <w:szCs w:val="24"/>
                <w:lang w:val="fr-CH"/>
              </w:rPr>
              <w:t>'</w:t>
            </w:r>
            <w:r w:rsidR="00736814" w:rsidRPr="001A61AB">
              <w:rPr>
                <w:szCs w:val="24"/>
                <w:lang w:val="fr-CH"/>
              </w:rPr>
              <w:t>architecture de conception Prism faciliteront le passage des applications bureautiques aux applications web, sachant que le cadre privilégié de mise au point</w:t>
            </w:r>
            <w:r w:rsidRPr="001A61AB">
              <w:rPr>
                <w:szCs w:val="24"/>
                <w:lang w:val="fr-CH"/>
              </w:rPr>
              <w:t xml:space="preserve"> des </w:t>
            </w:r>
            <w:r w:rsidR="00736814" w:rsidRPr="001A61AB">
              <w:rPr>
                <w:szCs w:val="24"/>
                <w:lang w:val="fr-CH"/>
              </w:rPr>
              <w:t xml:space="preserve">applications web est fondé sur la même technologie </w:t>
            </w:r>
            <w:r w:rsidR="00736814" w:rsidRPr="001A61AB">
              <w:rPr>
                <w:color w:val="000000"/>
                <w:szCs w:val="24"/>
                <w:lang w:val="fr-CH"/>
              </w:rPr>
              <w:t>de base</w:t>
            </w:r>
            <w:r w:rsidR="00736814" w:rsidRPr="001A61AB">
              <w:rPr>
                <w:szCs w:val="24"/>
                <w:lang w:val="fr-CH"/>
              </w:rPr>
              <w:t xml:space="preserve"> et le même langage de programmation</w:t>
            </w:r>
            <w:r w:rsidRPr="001A61AB">
              <w:rPr>
                <w:szCs w:val="24"/>
                <w:lang w:val="fr-CH"/>
              </w:rPr>
              <w:t>.</w:t>
            </w:r>
          </w:p>
          <w:p w:rsidR="00736814" w:rsidRPr="001A61AB" w:rsidRDefault="001A61AB" w:rsidP="002A55C1">
            <w:pPr>
              <w:pStyle w:val="enumlev1"/>
              <w:spacing w:before="60"/>
              <w:ind w:left="793" w:hanging="765"/>
              <w:rPr>
                <w:b/>
                <w:bCs/>
                <w:szCs w:val="24"/>
                <w:lang w:val="fr-CH"/>
              </w:rPr>
            </w:pPr>
            <w:r w:rsidRPr="001A61AB">
              <w:rPr>
                <w:szCs w:val="24"/>
                <w:lang w:val="fr-CH"/>
              </w:rPr>
              <w:t>•</w:t>
            </w:r>
            <w:r w:rsidRPr="001A61AB">
              <w:rPr>
                <w:szCs w:val="24"/>
              </w:rPr>
              <w:tab/>
            </w:r>
            <w:r w:rsidR="00736814" w:rsidRPr="001A61AB">
              <w:rPr>
                <w:szCs w:val="24"/>
                <w:lang w:val="fr-CH"/>
              </w:rPr>
              <w:t>Les activités visant à centralise</w:t>
            </w:r>
            <w:r w:rsidRPr="001A61AB">
              <w:rPr>
                <w:szCs w:val="24"/>
                <w:lang w:val="fr-CH"/>
              </w:rPr>
              <w:t xml:space="preserve">r et à rationaliser la gestion des risques, de la reprise des activités et </w:t>
            </w:r>
            <w:r w:rsidR="00736814" w:rsidRPr="001A61AB">
              <w:rPr>
                <w:szCs w:val="24"/>
                <w:lang w:val="fr-CH"/>
              </w:rPr>
              <w:t>de la sécurité se poursuivent</w:t>
            </w:r>
            <w:r w:rsidRPr="001A61AB">
              <w:rPr>
                <w:szCs w:val="24"/>
                <w:lang w:val="fr-CH"/>
              </w:rPr>
              <w:t>.</w:t>
            </w:r>
          </w:p>
        </w:tc>
      </w:tr>
    </w:tbl>
    <w:p w:rsidR="007D2163" w:rsidRDefault="00736814" w:rsidP="002A55C1">
      <w:pPr>
        <w:spacing w:before="20"/>
        <w:jc w:val="center"/>
      </w:pPr>
      <w:r>
        <w:t>______________</w:t>
      </w:r>
      <w:bookmarkStart w:id="170" w:name="_GoBack"/>
      <w:bookmarkEnd w:id="170"/>
    </w:p>
    <w:sectPr w:rsidR="007D2163" w:rsidSect="00E3472E">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81" w:rsidRDefault="00D04881">
      <w:r>
        <w:separator/>
      </w:r>
    </w:p>
  </w:endnote>
  <w:endnote w:type="continuationSeparator" w:id="0">
    <w:p w:rsidR="00D04881" w:rsidRDefault="00D0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P:\FRA\ITU-R\AG\RAG\RAG16\000\001F.docx</w:t>
    </w:r>
    <w:r>
      <w:rPr>
        <w:lang w:val="en-US"/>
      </w:rPr>
      <w:fldChar w:fldCharType="end"/>
    </w:r>
    <w:r>
      <w:rPr>
        <w:lang w:val="en-US"/>
      </w:rPr>
      <w:tab/>
    </w:r>
    <w:r>
      <w:fldChar w:fldCharType="begin"/>
    </w:r>
    <w:r>
      <w:instrText xml:space="preserve"> savedate \@ dd.MM.yy </w:instrText>
    </w:r>
    <w:r>
      <w:fldChar w:fldCharType="separate"/>
    </w:r>
    <w:r w:rsidR="007B459E">
      <w:t>25.04.16</w:t>
    </w:r>
    <w:r>
      <w:fldChar w:fldCharType="end"/>
    </w:r>
    <w:r>
      <w:rPr>
        <w:lang w:val="en-US"/>
      </w:rPr>
      <w:tab/>
    </w:r>
    <w:r>
      <w:fldChar w:fldCharType="begin"/>
    </w:r>
    <w:r>
      <w:instrText xml:space="preserve"> printdate \@ dd.MM.yy </w:instrText>
    </w:r>
    <w:r>
      <w:fldChar w:fldCharType="separate"/>
    </w:r>
    <w:r>
      <w:t>06.04.16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rsidP="007B459E">
    <w:pPr>
      <w:pStyle w:val="Footer"/>
      <w:rPr>
        <w:lang w:val="en-US"/>
      </w:rPr>
    </w:pPr>
    <w:r>
      <w:fldChar w:fldCharType="begin"/>
    </w:r>
    <w:r w:rsidRPr="00A9055C">
      <w:rPr>
        <w:lang w:val="en-US"/>
      </w:rPr>
      <w:instrText xml:space="preserve"> FILENAME \p \* MERGEFORMAT </w:instrText>
    </w:r>
    <w:r>
      <w:fldChar w:fldCharType="separate"/>
    </w:r>
    <w:r w:rsidR="00D5686A">
      <w:rPr>
        <w:lang w:val="en-US"/>
      </w:rPr>
      <w:t>P:\FRA\ITU-R\AG\RAG\RAG16\000\001REV1F.docx</w:t>
    </w:r>
    <w:r>
      <w:rPr>
        <w:lang w:val="en-US"/>
      </w:rPr>
      <w:fldChar w:fldCharType="end"/>
    </w:r>
    <w:r>
      <w:rPr>
        <w:lang w:val="en-US"/>
      </w:rPr>
      <w:t xml:space="preserve"> (39</w:t>
    </w:r>
    <w:r w:rsidR="007B459E">
      <w:rPr>
        <w:lang w:val="en-US"/>
      </w:rPr>
      <w:t>7276</w:t>
    </w:r>
    <w:r>
      <w:rPr>
        <w:lang w:val="en-US"/>
      </w:rPr>
      <w:t>)</w:t>
    </w:r>
    <w:r>
      <w:rPr>
        <w:lang w:val="en-US"/>
      </w:rPr>
      <w:tab/>
    </w:r>
    <w:r>
      <w:fldChar w:fldCharType="begin"/>
    </w:r>
    <w:r>
      <w:instrText xml:space="preserve"> savedate \@ dd.MM.yy </w:instrText>
    </w:r>
    <w:r>
      <w:fldChar w:fldCharType="separate"/>
    </w:r>
    <w:r w:rsidR="007B459E">
      <w:t>25.04.16</w:t>
    </w:r>
    <w:r>
      <w:fldChar w:fldCharType="end"/>
    </w:r>
    <w:r>
      <w:rPr>
        <w:lang w:val="en-US"/>
      </w:rPr>
      <w:tab/>
    </w:r>
    <w:r>
      <w:fldChar w:fldCharType="begin"/>
    </w:r>
    <w:r>
      <w:instrText xml:space="preserve"> printdate \@ dd.MM.yy </w:instrText>
    </w:r>
    <w:r>
      <w:fldChar w:fldCharType="separate"/>
    </w:r>
    <w:r>
      <w:t>06.04.16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rsidP="00D5686A">
    <w:pPr>
      <w:pStyle w:val="Footer"/>
      <w:rPr>
        <w:lang w:val="en-US"/>
      </w:rPr>
    </w:pPr>
    <w:r>
      <w:fldChar w:fldCharType="begin"/>
    </w:r>
    <w:r w:rsidRPr="00A9055C">
      <w:rPr>
        <w:lang w:val="en-US"/>
      </w:rPr>
      <w:instrText xml:space="preserve"> FILENAME \p \* MERGEFORMAT </w:instrText>
    </w:r>
    <w:r>
      <w:fldChar w:fldCharType="separate"/>
    </w:r>
    <w:r w:rsidR="00D5686A">
      <w:rPr>
        <w:lang w:val="en-US"/>
      </w:rPr>
      <w:t>P:\FRA\ITU-R\AG\RAG\RAG16\000\001REV1F.docx</w:t>
    </w:r>
    <w:r>
      <w:rPr>
        <w:lang w:val="en-US"/>
      </w:rPr>
      <w:fldChar w:fldCharType="end"/>
    </w:r>
    <w:r>
      <w:rPr>
        <w:lang w:val="en-US"/>
      </w:rPr>
      <w:t xml:space="preserve"> (39</w:t>
    </w:r>
    <w:r w:rsidR="00D5686A">
      <w:rPr>
        <w:lang w:val="en-US"/>
      </w:rPr>
      <w:t>7276</w:t>
    </w:r>
    <w:r>
      <w:rPr>
        <w:lang w:val="en-US"/>
      </w:rPr>
      <w:t>)</w:t>
    </w:r>
    <w:r>
      <w:rPr>
        <w:lang w:val="en-US"/>
      </w:rPr>
      <w:tab/>
    </w:r>
    <w:r>
      <w:fldChar w:fldCharType="begin"/>
    </w:r>
    <w:r>
      <w:instrText xml:space="preserve"> savedate \@ dd.MM.yy </w:instrText>
    </w:r>
    <w:r>
      <w:fldChar w:fldCharType="separate"/>
    </w:r>
    <w:r w:rsidR="007B459E">
      <w:t>25.04.16</w:t>
    </w:r>
    <w:r>
      <w:fldChar w:fldCharType="end"/>
    </w:r>
    <w:r>
      <w:rPr>
        <w:lang w:val="en-US"/>
      </w:rPr>
      <w:tab/>
    </w:r>
    <w:r>
      <w:fldChar w:fldCharType="begin"/>
    </w:r>
    <w:r>
      <w:instrText xml:space="preserve"> printdate \@ dd.MM.yy </w:instrText>
    </w:r>
    <w:r>
      <w:fldChar w:fldCharType="separate"/>
    </w:r>
    <w:r>
      <w:t>06.04.16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81" w:rsidRDefault="00D04881">
      <w:r>
        <w:t>____________________</w:t>
      </w:r>
    </w:p>
  </w:footnote>
  <w:footnote w:type="continuationSeparator" w:id="0">
    <w:p w:rsidR="00D04881" w:rsidRDefault="00D04881">
      <w:r>
        <w:continuationSeparator/>
      </w:r>
    </w:p>
  </w:footnote>
  <w:footnote w:id="1">
    <w:p w:rsidR="00D04881" w:rsidRPr="0001091A" w:rsidRDefault="00D04881" w:rsidP="001C1296">
      <w:pPr>
        <w:pStyle w:val="FootnoteText"/>
        <w:rPr>
          <w:lang w:val="fr-CH"/>
        </w:rPr>
      </w:pPr>
      <w:r>
        <w:rPr>
          <w:rStyle w:val="FootnoteReference"/>
        </w:rPr>
        <w:footnoteRef/>
      </w:r>
      <w:r>
        <w:rPr>
          <w:lang w:val="fr-CH"/>
        </w:rPr>
        <w:tab/>
      </w:r>
      <w:r w:rsidRPr="0093722C">
        <w:t>Il s</w:t>
      </w:r>
      <w:r>
        <w:t>'</w:t>
      </w:r>
      <w:r w:rsidRPr="0093722C">
        <w:t xml:space="preserve">agit des </w:t>
      </w:r>
      <w:r>
        <w:t>Manuels de l'UIT-</w:t>
      </w:r>
      <w:r w:rsidRPr="0093722C">
        <w:t>R sur la gestion nationale du spectre, sur l</w:t>
      </w:r>
      <w:r>
        <w:t>'</w:t>
      </w:r>
      <w:r w:rsidRPr="0093722C">
        <w:t>application des techniques informatiques à la gestion du spectre radioélectrique et sur le contrôle du spectre.</w:t>
      </w:r>
    </w:p>
  </w:footnote>
  <w:footnote w:id="2">
    <w:p w:rsidR="00D04881" w:rsidRPr="00BC0CAD" w:rsidRDefault="00D04881" w:rsidP="002C16EB">
      <w:pPr>
        <w:pStyle w:val="FootnoteText"/>
      </w:pPr>
      <w:r>
        <w:rPr>
          <w:rStyle w:val="FootnoteReference"/>
        </w:rPr>
        <w:footnoteRef/>
      </w:r>
      <w:r>
        <w:t xml:space="preserve"> </w:t>
      </w:r>
      <w:r>
        <w:tab/>
      </w:r>
      <w:r w:rsidRPr="00BC0CAD">
        <w:t>Avant la Décision 571 du Conseil à sa session de 2013</w:t>
      </w:r>
      <w:r>
        <w:t>.</w:t>
      </w:r>
    </w:p>
  </w:footnote>
  <w:footnote w:id="3">
    <w:p w:rsidR="00D04881" w:rsidRPr="002C16EB" w:rsidRDefault="00D04881" w:rsidP="00BC0CAD">
      <w:pPr>
        <w:pStyle w:val="FootnoteText"/>
        <w:rPr>
          <w:lang w:val="fr-CH"/>
        </w:rPr>
      </w:pPr>
      <w:r>
        <w:rPr>
          <w:rStyle w:val="FootnoteReference"/>
        </w:rPr>
        <w:footnoteRef/>
      </w:r>
      <w:r>
        <w:tab/>
      </w:r>
      <w:r w:rsidRPr="00BC0CAD">
        <w:t>Après la Décision 571 du Conseil à sa session de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rsidP="002A55C1">
    <w:pPr>
      <w:pStyle w:val="Header"/>
      <w:tabs>
        <w:tab w:val="left" w:pos="4594"/>
        <w:tab w:val="center" w:pos="4819"/>
      </w:tabs>
      <w:rPr>
        <w:lang w:val="es-ES"/>
      </w:rPr>
    </w:pPr>
    <w:r>
      <w:fldChar w:fldCharType="begin"/>
    </w:r>
    <w:r>
      <w:instrText xml:space="preserve"> PAGE </w:instrText>
    </w:r>
    <w:r>
      <w:fldChar w:fldCharType="separate"/>
    </w:r>
    <w:r w:rsidR="007B459E">
      <w:rPr>
        <w:noProof/>
      </w:rPr>
      <w:t>2</w:t>
    </w:r>
    <w:r>
      <w:rPr>
        <w:noProof/>
      </w:rPr>
      <w:fldChar w:fldCharType="end"/>
    </w:r>
  </w:p>
  <w:p w:rsidR="00D04881" w:rsidRDefault="00D04881" w:rsidP="00EC0F12">
    <w:pPr>
      <w:pStyle w:val="Header"/>
      <w:rPr>
        <w:lang w:val="es-ES"/>
      </w:rPr>
    </w:pPr>
    <w:r>
      <w:rPr>
        <w:lang w:val="es-ES"/>
      </w:rPr>
      <w:t>RAG16/1</w:t>
    </w:r>
    <w:r w:rsidR="00D5686A">
      <w:rPr>
        <w:lang w:val="es-ES"/>
      </w:rPr>
      <w:t>(Rév.1)</w:t>
    </w:r>
    <w:r>
      <w:rPr>
        <w:lang w:val="es-ES"/>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rsidP="00BE0203">
    <w:pPr>
      <w:pStyle w:val="Header"/>
      <w:tabs>
        <w:tab w:val="left" w:pos="4594"/>
        <w:tab w:val="center" w:pos="4819"/>
      </w:tabs>
      <w:rPr>
        <w:lang w:val="es-ES"/>
      </w:rPr>
    </w:pPr>
    <w:r>
      <w:fldChar w:fldCharType="begin"/>
    </w:r>
    <w:r>
      <w:instrText xml:space="preserve"> PAGE </w:instrText>
    </w:r>
    <w:r>
      <w:fldChar w:fldCharType="separate"/>
    </w:r>
    <w:r w:rsidR="007B459E">
      <w:rPr>
        <w:noProof/>
      </w:rPr>
      <w:t>37</w:t>
    </w:r>
    <w:r>
      <w:rPr>
        <w:noProof/>
      </w:rPr>
      <w:fldChar w:fldCharType="end"/>
    </w:r>
  </w:p>
  <w:p w:rsidR="00D04881" w:rsidRDefault="00D04881" w:rsidP="00EC0F12">
    <w:pPr>
      <w:pStyle w:val="Header"/>
      <w:rPr>
        <w:lang w:val="es-ES"/>
      </w:rPr>
    </w:pPr>
    <w:r>
      <w:rPr>
        <w:lang w:val="es-ES"/>
      </w:rPr>
      <w:t>RAG16/1</w:t>
    </w:r>
    <w:r w:rsidR="007B459E">
      <w:rPr>
        <w:lang w:val="es-ES"/>
      </w:rPr>
      <w:t>(Rév.1)</w:t>
    </w:r>
    <w:r>
      <w:rPr>
        <w:lang w:val="es-ES"/>
      </w:rPr>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rsidP="00BE0203">
    <w:pPr>
      <w:pStyle w:val="Header"/>
      <w:tabs>
        <w:tab w:val="left" w:pos="4594"/>
        <w:tab w:val="center" w:pos="4819"/>
      </w:tabs>
      <w:rPr>
        <w:lang w:val="es-ES"/>
      </w:rPr>
    </w:pPr>
    <w:r>
      <w:fldChar w:fldCharType="begin"/>
    </w:r>
    <w:r>
      <w:instrText xml:space="preserve"> PAGE </w:instrText>
    </w:r>
    <w:r>
      <w:fldChar w:fldCharType="separate"/>
    </w:r>
    <w:r w:rsidR="007B459E">
      <w:rPr>
        <w:noProof/>
      </w:rPr>
      <w:t>22</w:t>
    </w:r>
    <w:r>
      <w:rPr>
        <w:noProof/>
      </w:rPr>
      <w:fldChar w:fldCharType="end"/>
    </w:r>
  </w:p>
  <w:p w:rsidR="00D04881" w:rsidRPr="00BE0203" w:rsidRDefault="00D04881" w:rsidP="00BE0203">
    <w:pPr>
      <w:pStyle w:val="Header"/>
      <w:rPr>
        <w:lang w:val="es-ES"/>
      </w:rPr>
    </w:pPr>
    <w:r>
      <w:rPr>
        <w:lang w:val="es-ES"/>
      </w:rPr>
      <w:t>RAG16/1</w:t>
    </w:r>
    <w:r w:rsidR="007B459E">
      <w:rPr>
        <w:lang w:val="es-ES"/>
      </w:rPr>
      <w:t>(Rév.1)</w:t>
    </w:r>
    <w:r>
      <w:rPr>
        <w:lang w:val="es-ES"/>
      </w:rPr>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81" w:rsidRDefault="00D04881" w:rsidP="00BC0CAD">
    <w:pPr>
      <w:pStyle w:val="Header"/>
      <w:rPr>
        <w:lang w:val="es-ES"/>
      </w:rPr>
    </w:pPr>
    <w:r>
      <w:fldChar w:fldCharType="begin"/>
    </w:r>
    <w:r>
      <w:instrText xml:space="preserve"> PAGE </w:instrText>
    </w:r>
    <w:r>
      <w:fldChar w:fldCharType="separate"/>
    </w:r>
    <w:r w:rsidR="007B459E">
      <w:rPr>
        <w:noProof/>
      </w:rPr>
      <w:t>27</w:t>
    </w:r>
    <w:r>
      <w:rPr>
        <w:noProof/>
      </w:rPr>
      <w:fldChar w:fldCharType="end"/>
    </w:r>
  </w:p>
  <w:p w:rsidR="00D04881" w:rsidRPr="00BC0CAD" w:rsidRDefault="00D04881" w:rsidP="00BC0CAD">
    <w:pPr>
      <w:pStyle w:val="Header"/>
      <w:rPr>
        <w:lang w:val="es-ES"/>
      </w:rPr>
    </w:pPr>
    <w:r>
      <w:rPr>
        <w:lang w:val="es-ES"/>
      </w:rPr>
      <w:t>RAG16/1</w:t>
    </w:r>
    <w:r w:rsidR="007B459E">
      <w:rPr>
        <w:lang w:val="es-ES"/>
      </w:rPr>
      <w:t>(Rév.1)</w:t>
    </w:r>
    <w:r>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6D35"/>
    <w:multiLevelType w:val="hybridMultilevel"/>
    <w:tmpl w:val="D2164EAE"/>
    <w:lvl w:ilvl="0" w:tplc="43DC9AAA">
      <w:start w:val="1"/>
      <w:numFmt w:val="bullet"/>
      <w:lvlText w:val=""/>
      <w:lvlJc w:val="left"/>
      <w:pPr>
        <w:ind w:left="720" w:hanging="360"/>
      </w:pPr>
      <w:rPr>
        <w:rFonts w:ascii="Symbol" w:hAnsi="Symbol" w:hint="default"/>
      </w:rPr>
    </w:lvl>
    <w:lvl w:ilvl="1" w:tplc="0C4C05EE" w:tentative="1">
      <w:start w:val="1"/>
      <w:numFmt w:val="bullet"/>
      <w:lvlText w:val="o"/>
      <w:lvlJc w:val="left"/>
      <w:pPr>
        <w:ind w:left="1440" w:hanging="360"/>
      </w:pPr>
      <w:rPr>
        <w:rFonts w:ascii="Courier New" w:hAnsi="Courier New" w:cs="Courier New" w:hint="default"/>
      </w:rPr>
    </w:lvl>
    <w:lvl w:ilvl="2" w:tplc="F7949B42" w:tentative="1">
      <w:start w:val="1"/>
      <w:numFmt w:val="bullet"/>
      <w:lvlText w:val=""/>
      <w:lvlJc w:val="left"/>
      <w:pPr>
        <w:ind w:left="2160" w:hanging="360"/>
      </w:pPr>
      <w:rPr>
        <w:rFonts w:ascii="Wingdings" w:hAnsi="Wingdings" w:hint="default"/>
      </w:rPr>
    </w:lvl>
    <w:lvl w:ilvl="3" w:tplc="A7F29766" w:tentative="1">
      <w:start w:val="1"/>
      <w:numFmt w:val="bullet"/>
      <w:lvlText w:val=""/>
      <w:lvlJc w:val="left"/>
      <w:pPr>
        <w:ind w:left="2880" w:hanging="360"/>
      </w:pPr>
      <w:rPr>
        <w:rFonts w:ascii="Symbol" w:hAnsi="Symbol" w:hint="default"/>
      </w:rPr>
    </w:lvl>
    <w:lvl w:ilvl="4" w:tplc="904427D2" w:tentative="1">
      <w:start w:val="1"/>
      <w:numFmt w:val="bullet"/>
      <w:lvlText w:val="o"/>
      <w:lvlJc w:val="left"/>
      <w:pPr>
        <w:ind w:left="3600" w:hanging="360"/>
      </w:pPr>
      <w:rPr>
        <w:rFonts w:ascii="Courier New" w:hAnsi="Courier New" w:cs="Courier New" w:hint="default"/>
      </w:rPr>
    </w:lvl>
    <w:lvl w:ilvl="5" w:tplc="F27662B0" w:tentative="1">
      <w:start w:val="1"/>
      <w:numFmt w:val="bullet"/>
      <w:lvlText w:val=""/>
      <w:lvlJc w:val="left"/>
      <w:pPr>
        <w:ind w:left="4320" w:hanging="360"/>
      </w:pPr>
      <w:rPr>
        <w:rFonts w:ascii="Wingdings" w:hAnsi="Wingdings" w:hint="default"/>
      </w:rPr>
    </w:lvl>
    <w:lvl w:ilvl="6" w:tplc="6F021EDA" w:tentative="1">
      <w:start w:val="1"/>
      <w:numFmt w:val="bullet"/>
      <w:lvlText w:val=""/>
      <w:lvlJc w:val="left"/>
      <w:pPr>
        <w:ind w:left="5040" w:hanging="360"/>
      </w:pPr>
      <w:rPr>
        <w:rFonts w:ascii="Symbol" w:hAnsi="Symbol" w:hint="default"/>
      </w:rPr>
    </w:lvl>
    <w:lvl w:ilvl="7" w:tplc="E9A63524" w:tentative="1">
      <w:start w:val="1"/>
      <w:numFmt w:val="bullet"/>
      <w:lvlText w:val="o"/>
      <w:lvlJc w:val="left"/>
      <w:pPr>
        <w:ind w:left="5760" w:hanging="360"/>
      </w:pPr>
      <w:rPr>
        <w:rFonts w:ascii="Courier New" w:hAnsi="Courier New" w:cs="Courier New" w:hint="default"/>
      </w:rPr>
    </w:lvl>
    <w:lvl w:ilvl="8" w:tplc="FC9EF982" w:tentative="1">
      <w:start w:val="1"/>
      <w:numFmt w:val="bullet"/>
      <w:lvlText w:val=""/>
      <w:lvlJc w:val="left"/>
      <w:pPr>
        <w:ind w:left="6480" w:hanging="360"/>
      </w:pPr>
      <w:rPr>
        <w:rFonts w:ascii="Wingdings" w:hAnsi="Wingdings" w:hint="default"/>
      </w:rPr>
    </w:lvl>
  </w:abstractNum>
  <w:abstractNum w:abstractNumId="1" w15:restartNumberingAfterBreak="0">
    <w:nsid w:val="2098288D"/>
    <w:multiLevelType w:val="hybridMultilevel"/>
    <w:tmpl w:val="C58AB756"/>
    <w:lvl w:ilvl="0" w:tplc="8772C04C">
      <w:start w:val="1"/>
      <w:numFmt w:val="bullet"/>
      <w:lvlText w:val=""/>
      <w:lvlJc w:val="left"/>
      <w:pPr>
        <w:ind w:left="720" w:hanging="360"/>
      </w:pPr>
      <w:rPr>
        <w:rFonts w:ascii="Symbol" w:hAnsi="Symbol" w:hint="default"/>
      </w:rPr>
    </w:lvl>
    <w:lvl w:ilvl="1" w:tplc="B84A858A" w:tentative="1">
      <w:start w:val="1"/>
      <w:numFmt w:val="bullet"/>
      <w:lvlText w:val="o"/>
      <w:lvlJc w:val="left"/>
      <w:pPr>
        <w:ind w:left="1440" w:hanging="360"/>
      </w:pPr>
      <w:rPr>
        <w:rFonts w:ascii="Courier New" w:hAnsi="Courier New" w:cs="Courier New" w:hint="default"/>
      </w:rPr>
    </w:lvl>
    <w:lvl w:ilvl="2" w:tplc="7B8ADC80" w:tentative="1">
      <w:start w:val="1"/>
      <w:numFmt w:val="bullet"/>
      <w:lvlText w:val=""/>
      <w:lvlJc w:val="left"/>
      <w:pPr>
        <w:ind w:left="2160" w:hanging="360"/>
      </w:pPr>
      <w:rPr>
        <w:rFonts w:ascii="Wingdings" w:hAnsi="Wingdings" w:hint="default"/>
      </w:rPr>
    </w:lvl>
    <w:lvl w:ilvl="3" w:tplc="DF1E19A4" w:tentative="1">
      <w:start w:val="1"/>
      <w:numFmt w:val="bullet"/>
      <w:lvlText w:val=""/>
      <w:lvlJc w:val="left"/>
      <w:pPr>
        <w:ind w:left="2880" w:hanging="360"/>
      </w:pPr>
      <w:rPr>
        <w:rFonts w:ascii="Symbol" w:hAnsi="Symbol" w:hint="default"/>
      </w:rPr>
    </w:lvl>
    <w:lvl w:ilvl="4" w:tplc="13367CFA" w:tentative="1">
      <w:start w:val="1"/>
      <w:numFmt w:val="bullet"/>
      <w:lvlText w:val="o"/>
      <w:lvlJc w:val="left"/>
      <w:pPr>
        <w:ind w:left="3600" w:hanging="360"/>
      </w:pPr>
      <w:rPr>
        <w:rFonts w:ascii="Courier New" w:hAnsi="Courier New" w:cs="Courier New" w:hint="default"/>
      </w:rPr>
    </w:lvl>
    <w:lvl w:ilvl="5" w:tplc="FD9023A6" w:tentative="1">
      <w:start w:val="1"/>
      <w:numFmt w:val="bullet"/>
      <w:lvlText w:val=""/>
      <w:lvlJc w:val="left"/>
      <w:pPr>
        <w:ind w:left="4320" w:hanging="360"/>
      </w:pPr>
      <w:rPr>
        <w:rFonts w:ascii="Wingdings" w:hAnsi="Wingdings" w:hint="default"/>
      </w:rPr>
    </w:lvl>
    <w:lvl w:ilvl="6" w:tplc="066CBE06" w:tentative="1">
      <w:start w:val="1"/>
      <w:numFmt w:val="bullet"/>
      <w:lvlText w:val=""/>
      <w:lvlJc w:val="left"/>
      <w:pPr>
        <w:ind w:left="5040" w:hanging="360"/>
      </w:pPr>
      <w:rPr>
        <w:rFonts w:ascii="Symbol" w:hAnsi="Symbol" w:hint="default"/>
      </w:rPr>
    </w:lvl>
    <w:lvl w:ilvl="7" w:tplc="88FA687A" w:tentative="1">
      <w:start w:val="1"/>
      <w:numFmt w:val="bullet"/>
      <w:lvlText w:val="o"/>
      <w:lvlJc w:val="left"/>
      <w:pPr>
        <w:ind w:left="5760" w:hanging="360"/>
      </w:pPr>
      <w:rPr>
        <w:rFonts w:ascii="Courier New" w:hAnsi="Courier New" w:cs="Courier New" w:hint="default"/>
      </w:rPr>
    </w:lvl>
    <w:lvl w:ilvl="8" w:tplc="AF1C33E2" w:tentative="1">
      <w:start w:val="1"/>
      <w:numFmt w:val="bullet"/>
      <w:lvlText w:val=""/>
      <w:lvlJc w:val="left"/>
      <w:pPr>
        <w:ind w:left="6480" w:hanging="360"/>
      </w:pPr>
      <w:rPr>
        <w:rFonts w:ascii="Wingdings" w:hAnsi="Wingdings" w:hint="default"/>
      </w:rPr>
    </w:lvl>
  </w:abstractNum>
  <w:abstractNum w:abstractNumId="2" w15:restartNumberingAfterBreak="0">
    <w:nsid w:val="3873506A"/>
    <w:multiLevelType w:val="hybridMultilevel"/>
    <w:tmpl w:val="EC9EFD86"/>
    <w:lvl w:ilvl="0" w:tplc="DB0291FE">
      <w:start w:val="1"/>
      <w:numFmt w:val="lowerLetter"/>
      <w:lvlText w:val="%1)"/>
      <w:lvlJc w:val="left"/>
      <w:pPr>
        <w:ind w:left="1160" w:hanging="360"/>
      </w:pPr>
      <w:rPr>
        <w:rFonts w:hint="default"/>
      </w:rPr>
    </w:lvl>
    <w:lvl w:ilvl="1" w:tplc="4738C72A" w:tentative="1">
      <w:start w:val="1"/>
      <w:numFmt w:val="lowerLetter"/>
      <w:lvlText w:val="%2."/>
      <w:lvlJc w:val="left"/>
      <w:pPr>
        <w:ind w:left="1880" w:hanging="360"/>
      </w:pPr>
    </w:lvl>
    <w:lvl w:ilvl="2" w:tplc="1B98027C" w:tentative="1">
      <w:start w:val="1"/>
      <w:numFmt w:val="lowerRoman"/>
      <w:lvlText w:val="%3."/>
      <w:lvlJc w:val="right"/>
      <w:pPr>
        <w:ind w:left="2600" w:hanging="180"/>
      </w:pPr>
    </w:lvl>
    <w:lvl w:ilvl="3" w:tplc="8CCE633E" w:tentative="1">
      <w:start w:val="1"/>
      <w:numFmt w:val="decimal"/>
      <w:lvlText w:val="%4."/>
      <w:lvlJc w:val="left"/>
      <w:pPr>
        <w:ind w:left="3320" w:hanging="360"/>
      </w:pPr>
    </w:lvl>
    <w:lvl w:ilvl="4" w:tplc="C9681658" w:tentative="1">
      <w:start w:val="1"/>
      <w:numFmt w:val="lowerLetter"/>
      <w:lvlText w:val="%5."/>
      <w:lvlJc w:val="left"/>
      <w:pPr>
        <w:ind w:left="4040" w:hanging="360"/>
      </w:pPr>
    </w:lvl>
    <w:lvl w:ilvl="5" w:tplc="8712539E" w:tentative="1">
      <w:start w:val="1"/>
      <w:numFmt w:val="lowerRoman"/>
      <w:lvlText w:val="%6."/>
      <w:lvlJc w:val="right"/>
      <w:pPr>
        <w:ind w:left="4760" w:hanging="180"/>
      </w:pPr>
    </w:lvl>
    <w:lvl w:ilvl="6" w:tplc="4D38F410" w:tentative="1">
      <w:start w:val="1"/>
      <w:numFmt w:val="decimal"/>
      <w:lvlText w:val="%7."/>
      <w:lvlJc w:val="left"/>
      <w:pPr>
        <w:ind w:left="5480" w:hanging="360"/>
      </w:pPr>
    </w:lvl>
    <w:lvl w:ilvl="7" w:tplc="9190CF04" w:tentative="1">
      <w:start w:val="1"/>
      <w:numFmt w:val="lowerLetter"/>
      <w:lvlText w:val="%8."/>
      <w:lvlJc w:val="left"/>
      <w:pPr>
        <w:ind w:left="6200" w:hanging="360"/>
      </w:pPr>
    </w:lvl>
    <w:lvl w:ilvl="8" w:tplc="80604E72" w:tentative="1">
      <w:start w:val="1"/>
      <w:numFmt w:val="lowerRoman"/>
      <w:lvlText w:val="%9."/>
      <w:lvlJc w:val="right"/>
      <w:pPr>
        <w:ind w:left="69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72"/>
    <w:rsid w:val="00002B46"/>
    <w:rsid w:val="00075900"/>
    <w:rsid w:val="00090BDA"/>
    <w:rsid w:val="000C06D8"/>
    <w:rsid w:val="00116866"/>
    <w:rsid w:val="00140AE6"/>
    <w:rsid w:val="0015168C"/>
    <w:rsid w:val="001A61AB"/>
    <w:rsid w:val="001C1296"/>
    <w:rsid w:val="00230501"/>
    <w:rsid w:val="00265708"/>
    <w:rsid w:val="002A113E"/>
    <w:rsid w:val="002A55C1"/>
    <w:rsid w:val="002C16EB"/>
    <w:rsid w:val="002D238A"/>
    <w:rsid w:val="0031616D"/>
    <w:rsid w:val="003A6CEE"/>
    <w:rsid w:val="003F4104"/>
    <w:rsid w:val="00412522"/>
    <w:rsid w:val="0042214F"/>
    <w:rsid w:val="00432165"/>
    <w:rsid w:val="00466809"/>
    <w:rsid w:val="00485972"/>
    <w:rsid w:val="004B4525"/>
    <w:rsid w:val="005106DB"/>
    <w:rsid w:val="005207F5"/>
    <w:rsid w:val="005430E4"/>
    <w:rsid w:val="005A4EB6"/>
    <w:rsid w:val="005C781C"/>
    <w:rsid w:val="005E6424"/>
    <w:rsid w:val="00614562"/>
    <w:rsid w:val="0067019B"/>
    <w:rsid w:val="00677EE5"/>
    <w:rsid w:val="00694DEF"/>
    <w:rsid w:val="006A7259"/>
    <w:rsid w:val="006F274A"/>
    <w:rsid w:val="00721AE5"/>
    <w:rsid w:val="00736814"/>
    <w:rsid w:val="00746EEA"/>
    <w:rsid w:val="00773E5E"/>
    <w:rsid w:val="00785D5A"/>
    <w:rsid w:val="007B459E"/>
    <w:rsid w:val="007D2163"/>
    <w:rsid w:val="007D40E6"/>
    <w:rsid w:val="0080439D"/>
    <w:rsid w:val="00847AAC"/>
    <w:rsid w:val="00892A45"/>
    <w:rsid w:val="008B6DCF"/>
    <w:rsid w:val="008C6F81"/>
    <w:rsid w:val="008F03FB"/>
    <w:rsid w:val="00923ABD"/>
    <w:rsid w:val="00925627"/>
    <w:rsid w:val="00930C85"/>
    <w:rsid w:val="0093101F"/>
    <w:rsid w:val="009440A0"/>
    <w:rsid w:val="0097156E"/>
    <w:rsid w:val="009967F4"/>
    <w:rsid w:val="009B2A62"/>
    <w:rsid w:val="009D5B6A"/>
    <w:rsid w:val="009E42AD"/>
    <w:rsid w:val="00A152E3"/>
    <w:rsid w:val="00A20AEB"/>
    <w:rsid w:val="00A47565"/>
    <w:rsid w:val="00A60D74"/>
    <w:rsid w:val="00A73646"/>
    <w:rsid w:val="00A9055C"/>
    <w:rsid w:val="00AB7F92"/>
    <w:rsid w:val="00AC39EE"/>
    <w:rsid w:val="00AD45A6"/>
    <w:rsid w:val="00B226E0"/>
    <w:rsid w:val="00B35D10"/>
    <w:rsid w:val="00B41D84"/>
    <w:rsid w:val="00B60727"/>
    <w:rsid w:val="00B62779"/>
    <w:rsid w:val="00BA0C7B"/>
    <w:rsid w:val="00BB107A"/>
    <w:rsid w:val="00BC0CAD"/>
    <w:rsid w:val="00BC4591"/>
    <w:rsid w:val="00BE0203"/>
    <w:rsid w:val="00BF0374"/>
    <w:rsid w:val="00BF6DC8"/>
    <w:rsid w:val="00C244D7"/>
    <w:rsid w:val="00C72A86"/>
    <w:rsid w:val="00CC5B9E"/>
    <w:rsid w:val="00CC7208"/>
    <w:rsid w:val="00D04881"/>
    <w:rsid w:val="00D073DE"/>
    <w:rsid w:val="00D228F7"/>
    <w:rsid w:val="00D3135C"/>
    <w:rsid w:val="00D34E1C"/>
    <w:rsid w:val="00D5686A"/>
    <w:rsid w:val="00D843C6"/>
    <w:rsid w:val="00D95965"/>
    <w:rsid w:val="00DD55EB"/>
    <w:rsid w:val="00E2659D"/>
    <w:rsid w:val="00E3472E"/>
    <w:rsid w:val="00EA6659"/>
    <w:rsid w:val="00EC0F12"/>
    <w:rsid w:val="00ED59FA"/>
    <w:rsid w:val="00F13804"/>
    <w:rsid w:val="00F775D5"/>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08FE8BD-F6B7-4714-BC15-B14353F6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9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7B459E"/>
    <w:pPr>
      <w:keepNext/>
      <w:keepLines/>
      <w:spacing w:before="360"/>
      <w:ind w:left="794" w:hanging="794"/>
      <w:outlineLvl w:val="0"/>
    </w:pPr>
    <w:rPr>
      <w:b/>
    </w:rPr>
  </w:style>
  <w:style w:type="paragraph" w:styleId="Heading2">
    <w:name w:val="heading 2"/>
    <w:basedOn w:val="Heading1"/>
    <w:next w:val="Normal"/>
    <w:link w:val="Heading2Char"/>
    <w:qFormat/>
    <w:rsid w:val="007B459E"/>
    <w:pPr>
      <w:spacing w:before="240"/>
      <w:outlineLvl w:val="1"/>
    </w:pPr>
  </w:style>
  <w:style w:type="paragraph" w:styleId="Heading3">
    <w:name w:val="heading 3"/>
    <w:basedOn w:val="Heading1"/>
    <w:next w:val="Normal"/>
    <w:link w:val="Heading3Char"/>
    <w:qFormat/>
    <w:rsid w:val="007B459E"/>
    <w:pPr>
      <w:spacing w:before="160"/>
      <w:outlineLvl w:val="2"/>
    </w:pPr>
  </w:style>
  <w:style w:type="paragraph" w:styleId="Heading4">
    <w:name w:val="heading 4"/>
    <w:basedOn w:val="Heading3"/>
    <w:next w:val="Normal"/>
    <w:qFormat/>
    <w:rsid w:val="007B459E"/>
    <w:pPr>
      <w:tabs>
        <w:tab w:val="clear" w:pos="794"/>
        <w:tab w:val="left" w:pos="1021"/>
      </w:tabs>
      <w:ind w:left="1021" w:hanging="1021"/>
      <w:outlineLvl w:val="3"/>
    </w:pPr>
  </w:style>
  <w:style w:type="paragraph" w:styleId="Heading5">
    <w:name w:val="heading 5"/>
    <w:basedOn w:val="Heading4"/>
    <w:next w:val="Normal"/>
    <w:qFormat/>
    <w:rsid w:val="007B459E"/>
    <w:pPr>
      <w:outlineLvl w:val="4"/>
    </w:pPr>
  </w:style>
  <w:style w:type="paragraph" w:styleId="Heading6">
    <w:name w:val="heading 6"/>
    <w:basedOn w:val="Heading4"/>
    <w:next w:val="Normal"/>
    <w:qFormat/>
    <w:rsid w:val="007B459E"/>
    <w:pPr>
      <w:tabs>
        <w:tab w:val="clear" w:pos="1021"/>
        <w:tab w:val="clear" w:pos="1191"/>
      </w:tabs>
      <w:ind w:left="1588" w:hanging="1588"/>
      <w:outlineLvl w:val="5"/>
    </w:pPr>
  </w:style>
  <w:style w:type="paragraph" w:styleId="Heading7">
    <w:name w:val="heading 7"/>
    <w:basedOn w:val="Heading6"/>
    <w:next w:val="Normal"/>
    <w:qFormat/>
    <w:rsid w:val="007B459E"/>
    <w:pPr>
      <w:outlineLvl w:val="6"/>
    </w:pPr>
  </w:style>
  <w:style w:type="paragraph" w:styleId="Heading8">
    <w:name w:val="heading 8"/>
    <w:basedOn w:val="Heading6"/>
    <w:next w:val="Normal"/>
    <w:qFormat/>
    <w:rsid w:val="007B459E"/>
    <w:pPr>
      <w:outlineLvl w:val="7"/>
    </w:pPr>
  </w:style>
  <w:style w:type="paragraph" w:styleId="Heading9">
    <w:name w:val="heading 9"/>
    <w:basedOn w:val="Heading6"/>
    <w:next w:val="Normal"/>
    <w:qFormat/>
    <w:rsid w:val="007B459E"/>
    <w:pPr>
      <w:outlineLvl w:val="8"/>
    </w:pPr>
  </w:style>
  <w:style w:type="character" w:default="1" w:styleId="DefaultParagraphFont">
    <w:name w:val="Default Paragraph Font"/>
    <w:uiPriority w:val="1"/>
    <w:semiHidden/>
    <w:unhideWhenUsed/>
    <w:rsid w:val="007B45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59E"/>
  </w:style>
  <w:style w:type="paragraph" w:customStyle="1" w:styleId="FigureNotitle">
    <w:name w:val="Figure_No &amp; title"/>
    <w:basedOn w:val="Normal"/>
    <w:next w:val="Normalaftertitle"/>
    <w:rsid w:val="007B459E"/>
    <w:pPr>
      <w:keepLines/>
      <w:spacing w:before="240" w:after="120"/>
      <w:jc w:val="center"/>
    </w:pPr>
    <w:rPr>
      <w:b/>
    </w:rPr>
  </w:style>
  <w:style w:type="paragraph" w:customStyle="1" w:styleId="Normalaftertitle">
    <w:name w:val="Normal_after_title"/>
    <w:basedOn w:val="Normal"/>
    <w:next w:val="Normal"/>
    <w:rsid w:val="007B459E"/>
    <w:pPr>
      <w:spacing w:before="360"/>
    </w:pPr>
  </w:style>
  <w:style w:type="paragraph" w:customStyle="1" w:styleId="TabletitleBR">
    <w:name w:val="Table_title_BR"/>
    <w:basedOn w:val="Normal"/>
    <w:next w:val="Tablehead"/>
    <w:rsid w:val="007B459E"/>
    <w:pPr>
      <w:keepNext/>
      <w:keepLines/>
      <w:spacing w:before="0" w:after="120"/>
      <w:jc w:val="center"/>
    </w:pPr>
    <w:rPr>
      <w:b/>
    </w:rPr>
  </w:style>
  <w:style w:type="paragraph" w:customStyle="1" w:styleId="Tablehead">
    <w:name w:val="Table_head"/>
    <w:basedOn w:val="Normal"/>
    <w:next w:val="Tabletext"/>
    <w:link w:val="TableheadChar"/>
    <w:rsid w:val="007B459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7B45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7B459E"/>
    <w:pPr>
      <w:keepNext/>
      <w:keepLines/>
      <w:spacing w:before="480"/>
      <w:jc w:val="center"/>
    </w:pPr>
    <w:rPr>
      <w:b/>
      <w:sz w:val="28"/>
    </w:rPr>
  </w:style>
  <w:style w:type="paragraph" w:customStyle="1" w:styleId="AppendixNotitle">
    <w:name w:val="Appendix_No &amp; title"/>
    <w:basedOn w:val="AnnexNotitle"/>
    <w:next w:val="Normalaftertitle"/>
    <w:rsid w:val="007B459E"/>
  </w:style>
  <w:style w:type="paragraph" w:customStyle="1" w:styleId="Figure">
    <w:name w:val="Figure"/>
    <w:basedOn w:val="Normal"/>
    <w:next w:val="FigureNotitle"/>
    <w:rsid w:val="007B459E"/>
    <w:pPr>
      <w:keepNext/>
      <w:keepLines/>
      <w:spacing w:before="240" w:after="120"/>
      <w:jc w:val="center"/>
    </w:pPr>
  </w:style>
  <w:style w:type="paragraph" w:customStyle="1" w:styleId="FooterQP">
    <w:name w:val="Footer_QP"/>
    <w:basedOn w:val="Normal"/>
    <w:rsid w:val="007B459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7B459E"/>
    <w:pPr>
      <w:spacing w:before="480"/>
      <w:jc w:val="center"/>
    </w:pPr>
    <w:rPr>
      <w:b/>
      <w:sz w:val="28"/>
    </w:rPr>
  </w:style>
  <w:style w:type="paragraph" w:customStyle="1" w:styleId="ArtNo">
    <w:name w:val="Art_No"/>
    <w:basedOn w:val="Normal"/>
    <w:next w:val="Arttitle"/>
    <w:rsid w:val="007B459E"/>
    <w:pPr>
      <w:keepNext/>
      <w:keepLines/>
      <w:spacing w:before="480"/>
      <w:jc w:val="center"/>
    </w:pPr>
    <w:rPr>
      <w:caps/>
      <w:sz w:val="28"/>
    </w:rPr>
  </w:style>
  <w:style w:type="paragraph" w:customStyle="1" w:styleId="Arttitle">
    <w:name w:val="Art_title"/>
    <w:basedOn w:val="Normal"/>
    <w:next w:val="Normalaftertitle"/>
    <w:rsid w:val="007B459E"/>
    <w:pPr>
      <w:keepNext/>
      <w:keepLines/>
      <w:spacing w:before="240"/>
      <w:jc w:val="center"/>
    </w:pPr>
    <w:rPr>
      <w:b/>
      <w:sz w:val="28"/>
    </w:rPr>
  </w:style>
  <w:style w:type="paragraph" w:customStyle="1" w:styleId="ASN1">
    <w:name w:val="ASN.1"/>
    <w:basedOn w:val="Normal"/>
    <w:rsid w:val="007B459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B459E"/>
    <w:pPr>
      <w:keepNext/>
      <w:keepLines/>
      <w:spacing w:before="160"/>
      <w:ind w:left="794"/>
    </w:pPr>
    <w:rPr>
      <w:i/>
    </w:rPr>
  </w:style>
  <w:style w:type="paragraph" w:customStyle="1" w:styleId="ChapNo">
    <w:name w:val="Chap_No"/>
    <w:basedOn w:val="Normal"/>
    <w:next w:val="Chaptitle"/>
    <w:rsid w:val="007B459E"/>
    <w:pPr>
      <w:keepNext/>
      <w:keepLines/>
      <w:spacing w:before="480"/>
      <w:jc w:val="center"/>
    </w:pPr>
    <w:rPr>
      <w:b/>
      <w:caps/>
      <w:sz w:val="28"/>
    </w:rPr>
  </w:style>
  <w:style w:type="paragraph" w:customStyle="1" w:styleId="Chaptitle">
    <w:name w:val="Chap_title"/>
    <w:basedOn w:val="Normal"/>
    <w:next w:val="Normalaftertitle"/>
    <w:rsid w:val="007B459E"/>
    <w:pPr>
      <w:keepNext/>
      <w:keepLines/>
      <w:spacing w:before="240"/>
      <w:jc w:val="center"/>
    </w:pPr>
    <w:rPr>
      <w:b/>
      <w:sz w:val="28"/>
    </w:rPr>
  </w:style>
  <w:style w:type="character" w:styleId="EndnoteReference">
    <w:name w:val="endnote reference"/>
    <w:basedOn w:val="DefaultParagraphFont"/>
    <w:semiHidden/>
    <w:rsid w:val="007B459E"/>
    <w:rPr>
      <w:vertAlign w:val="superscript"/>
    </w:rPr>
  </w:style>
  <w:style w:type="paragraph" w:customStyle="1" w:styleId="enumlev1">
    <w:name w:val="enumlev1"/>
    <w:basedOn w:val="Normal"/>
    <w:link w:val="enumlev1Char"/>
    <w:rsid w:val="007B459E"/>
    <w:pPr>
      <w:spacing w:before="80"/>
      <w:ind w:left="794" w:hanging="794"/>
    </w:pPr>
  </w:style>
  <w:style w:type="paragraph" w:customStyle="1" w:styleId="enumlev2">
    <w:name w:val="enumlev2"/>
    <w:basedOn w:val="enumlev1"/>
    <w:rsid w:val="007B459E"/>
    <w:pPr>
      <w:ind w:left="1191" w:hanging="397"/>
    </w:pPr>
  </w:style>
  <w:style w:type="paragraph" w:customStyle="1" w:styleId="enumlev3">
    <w:name w:val="enumlev3"/>
    <w:basedOn w:val="enumlev2"/>
    <w:rsid w:val="007B459E"/>
    <w:pPr>
      <w:ind w:left="1588"/>
    </w:pPr>
  </w:style>
  <w:style w:type="paragraph" w:customStyle="1" w:styleId="Equation">
    <w:name w:val="Equation"/>
    <w:basedOn w:val="Normal"/>
    <w:rsid w:val="007B459E"/>
    <w:pPr>
      <w:tabs>
        <w:tab w:val="clear" w:pos="1191"/>
        <w:tab w:val="clear" w:pos="1588"/>
        <w:tab w:val="clear" w:pos="1985"/>
        <w:tab w:val="center" w:pos="4820"/>
        <w:tab w:val="right" w:pos="9639"/>
      </w:tabs>
    </w:pPr>
  </w:style>
  <w:style w:type="paragraph" w:customStyle="1" w:styleId="Formal">
    <w:name w:val="Formal"/>
    <w:basedOn w:val="ASN1"/>
    <w:rsid w:val="007B459E"/>
    <w:rPr>
      <w:b w:val="0"/>
    </w:rPr>
  </w:style>
  <w:style w:type="paragraph" w:customStyle="1" w:styleId="Equationlegend">
    <w:name w:val="Equation_legend"/>
    <w:basedOn w:val="Normal"/>
    <w:rsid w:val="007B459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B459E"/>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7B459E"/>
  </w:style>
  <w:style w:type="paragraph" w:customStyle="1" w:styleId="RecNoBR">
    <w:name w:val="Rec_No_BR"/>
    <w:basedOn w:val="Normal"/>
    <w:next w:val="Rectitle"/>
    <w:rsid w:val="007B459E"/>
    <w:pPr>
      <w:keepNext/>
      <w:keepLines/>
      <w:spacing w:before="480"/>
      <w:jc w:val="center"/>
    </w:pPr>
    <w:rPr>
      <w:caps/>
      <w:sz w:val="28"/>
    </w:rPr>
  </w:style>
  <w:style w:type="paragraph" w:customStyle="1" w:styleId="Rectitle">
    <w:name w:val="Rec_title"/>
    <w:basedOn w:val="Normal"/>
    <w:next w:val="Normalaftertitle"/>
    <w:rsid w:val="007B459E"/>
    <w:pPr>
      <w:keepNext/>
      <w:keepLines/>
      <w:spacing w:before="360"/>
      <w:jc w:val="center"/>
    </w:pPr>
    <w:rPr>
      <w:b/>
      <w:sz w:val="28"/>
    </w:rPr>
  </w:style>
  <w:style w:type="paragraph" w:customStyle="1" w:styleId="QuestionNoBR">
    <w:name w:val="Question_No_BR"/>
    <w:basedOn w:val="RecNoBR"/>
    <w:next w:val="Questiontitle"/>
    <w:rsid w:val="007B459E"/>
  </w:style>
  <w:style w:type="paragraph" w:customStyle="1" w:styleId="Questiontitle">
    <w:name w:val="Question_title"/>
    <w:basedOn w:val="Rectitle"/>
    <w:next w:val="Questionref"/>
    <w:rsid w:val="007B459E"/>
  </w:style>
  <w:style w:type="paragraph" w:customStyle="1" w:styleId="Questionref">
    <w:name w:val="Question_ref"/>
    <w:basedOn w:val="Recref"/>
    <w:next w:val="Questiondate"/>
    <w:rsid w:val="007B459E"/>
  </w:style>
  <w:style w:type="paragraph" w:customStyle="1" w:styleId="Recref">
    <w:name w:val="Rec_ref"/>
    <w:basedOn w:val="Normal"/>
    <w:next w:val="Recdate"/>
    <w:rsid w:val="007B459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B459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B459E"/>
  </w:style>
  <w:style w:type="paragraph" w:customStyle="1" w:styleId="Figurewithouttitle">
    <w:name w:val="Figure_without_title"/>
    <w:basedOn w:val="Normal"/>
    <w:next w:val="Normalaftertitle"/>
    <w:rsid w:val="007B459E"/>
    <w:pPr>
      <w:keepLines/>
      <w:spacing w:before="240" w:after="120"/>
      <w:jc w:val="center"/>
    </w:pPr>
  </w:style>
  <w:style w:type="paragraph" w:styleId="Footer">
    <w:name w:val="footer"/>
    <w:basedOn w:val="Normal"/>
    <w:rsid w:val="007B459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B459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B459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7B459E"/>
    <w:pPr>
      <w:keepLines/>
      <w:tabs>
        <w:tab w:val="left" w:pos="255"/>
      </w:tabs>
      <w:ind w:left="255" w:hanging="255"/>
    </w:pPr>
  </w:style>
  <w:style w:type="paragraph" w:customStyle="1" w:styleId="Note">
    <w:name w:val="Note"/>
    <w:basedOn w:val="Normal"/>
    <w:rsid w:val="007B459E"/>
    <w:pPr>
      <w:spacing w:before="80"/>
    </w:pPr>
  </w:style>
  <w:style w:type="paragraph" w:styleId="Header">
    <w:name w:val="header"/>
    <w:basedOn w:val="Normal"/>
    <w:rsid w:val="007B459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B459E"/>
    <w:pPr>
      <w:keepNext/>
      <w:spacing w:before="160"/>
    </w:pPr>
    <w:rPr>
      <w:b/>
    </w:rPr>
  </w:style>
  <w:style w:type="paragraph" w:customStyle="1" w:styleId="Headingi">
    <w:name w:val="Heading_i"/>
    <w:basedOn w:val="Normal"/>
    <w:next w:val="Normal"/>
    <w:rsid w:val="007B459E"/>
    <w:pPr>
      <w:keepNext/>
      <w:spacing w:before="160"/>
    </w:pPr>
    <w:rPr>
      <w:i/>
    </w:rPr>
  </w:style>
  <w:style w:type="paragraph" w:styleId="Index1">
    <w:name w:val="index 1"/>
    <w:basedOn w:val="Normal"/>
    <w:next w:val="Normal"/>
    <w:semiHidden/>
    <w:rsid w:val="007B459E"/>
  </w:style>
  <w:style w:type="paragraph" w:styleId="Index2">
    <w:name w:val="index 2"/>
    <w:basedOn w:val="Normal"/>
    <w:next w:val="Normal"/>
    <w:semiHidden/>
    <w:rsid w:val="007B459E"/>
    <w:pPr>
      <w:ind w:left="283"/>
    </w:pPr>
  </w:style>
  <w:style w:type="paragraph" w:styleId="Index3">
    <w:name w:val="index 3"/>
    <w:basedOn w:val="Normal"/>
    <w:next w:val="Normal"/>
    <w:semiHidden/>
    <w:rsid w:val="007B459E"/>
    <w:pPr>
      <w:ind w:left="566"/>
    </w:pPr>
  </w:style>
  <w:style w:type="paragraph" w:customStyle="1" w:styleId="RepNoBR">
    <w:name w:val="Rep_No_BR"/>
    <w:basedOn w:val="RecNoBR"/>
    <w:next w:val="Reptitle"/>
    <w:rsid w:val="007B459E"/>
  </w:style>
  <w:style w:type="paragraph" w:customStyle="1" w:styleId="Reptitle">
    <w:name w:val="Rep_title"/>
    <w:basedOn w:val="Rectitle"/>
    <w:next w:val="Repref"/>
    <w:rsid w:val="007B459E"/>
  </w:style>
  <w:style w:type="paragraph" w:customStyle="1" w:styleId="Repref">
    <w:name w:val="Rep_ref"/>
    <w:basedOn w:val="Recref"/>
    <w:next w:val="Repdate"/>
    <w:rsid w:val="007B459E"/>
  </w:style>
  <w:style w:type="paragraph" w:customStyle="1" w:styleId="Repdate">
    <w:name w:val="Rep_date"/>
    <w:basedOn w:val="Recdate"/>
    <w:next w:val="Normalaftertitle"/>
    <w:rsid w:val="007B459E"/>
  </w:style>
  <w:style w:type="paragraph" w:customStyle="1" w:styleId="ResNoBR">
    <w:name w:val="Res_No_BR"/>
    <w:basedOn w:val="RecNoBR"/>
    <w:next w:val="Restitle"/>
    <w:rsid w:val="007B459E"/>
  </w:style>
  <w:style w:type="paragraph" w:customStyle="1" w:styleId="Restitle">
    <w:name w:val="Res_title"/>
    <w:basedOn w:val="Rectitle"/>
    <w:next w:val="Resref"/>
    <w:rsid w:val="007B459E"/>
  </w:style>
  <w:style w:type="paragraph" w:customStyle="1" w:styleId="Resref">
    <w:name w:val="Res_ref"/>
    <w:basedOn w:val="Recref"/>
    <w:next w:val="Resdate"/>
    <w:rsid w:val="007B459E"/>
  </w:style>
  <w:style w:type="paragraph" w:customStyle="1" w:styleId="Resdate">
    <w:name w:val="Res_date"/>
    <w:basedOn w:val="Recdate"/>
    <w:next w:val="Normalaftertitle"/>
    <w:rsid w:val="007B459E"/>
  </w:style>
  <w:style w:type="paragraph" w:customStyle="1" w:styleId="Section1">
    <w:name w:val="Section_1"/>
    <w:basedOn w:val="Normal"/>
    <w:next w:val="Normal"/>
    <w:rsid w:val="007B459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B459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B459E"/>
    <w:pPr>
      <w:keepNext/>
      <w:keepLines/>
      <w:spacing w:before="360" w:after="120"/>
      <w:jc w:val="center"/>
    </w:pPr>
    <w:rPr>
      <w:b/>
    </w:rPr>
  </w:style>
  <w:style w:type="paragraph" w:customStyle="1" w:styleId="PartNo">
    <w:name w:val="Part_No"/>
    <w:basedOn w:val="Normal"/>
    <w:next w:val="Partref"/>
    <w:rsid w:val="007B459E"/>
    <w:pPr>
      <w:keepNext/>
      <w:keepLines/>
      <w:spacing w:before="480" w:after="80"/>
      <w:jc w:val="center"/>
    </w:pPr>
    <w:rPr>
      <w:caps/>
      <w:sz w:val="28"/>
    </w:rPr>
  </w:style>
  <w:style w:type="paragraph" w:customStyle="1" w:styleId="Partref">
    <w:name w:val="Part_ref"/>
    <w:basedOn w:val="Normal"/>
    <w:next w:val="Parttitle"/>
    <w:rsid w:val="007B459E"/>
    <w:pPr>
      <w:keepNext/>
      <w:keepLines/>
      <w:spacing w:before="280"/>
      <w:jc w:val="center"/>
    </w:pPr>
  </w:style>
  <w:style w:type="paragraph" w:customStyle="1" w:styleId="Parttitle">
    <w:name w:val="Part_title"/>
    <w:basedOn w:val="Normal"/>
    <w:next w:val="Normalaftertitle"/>
    <w:rsid w:val="007B459E"/>
    <w:pPr>
      <w:keepNext/>
      <w:keepLines/>
      <w:spacing w:before="240" w:after="280"/>
      <w:jc w:val="center"/>
    </w:pPr>
    <w:rPr>
      <w:b/>
      <w:sz w:val="28"/>
    </w:rPr>
  </w:style>
  <w:style w:type="paragraph" w:customStyle="1" w:styleId="RecNo">
    <w:name w:val="Rec_No"/>
    <w:basedOn w:val="Normal"/>
    <w:next w:val="Rectitle"/>
    <w:rsid w:val="007B459E"/>
    <w:pPr>
      <w:keepNext/>
      <w:keepLines/>
      <w:spacing w:before="0"/>
    </w:pPr>
    <w:rPr>
      <w:b/>
      <w:sz w:val="28"/>
    </w:rPr>
  </w:style>
  <w:style w:type="paragraph" w:customStyle="1" w:styleId="QuestionNo">
    <w:name w:val="Question_No"/>
    <w:basedOn w:val="RecNo"/>
    <w:next w:val="Questiontitle"/>
    <w:rsid w:val="007B459E"/>
  </w:style>
  <w:style w:type="paragraph" w:customStyle="1" w:styleId="Reftext">
    <w:name w:val="Ref_text"/>
    <w:basedOn w:val="Normal"/>
    <w:rsid w:val="007B459E"/>
    <w:pPr>
      <w:ind w:left="794" w:hanging="794"/>
    </w:pPr>
  </w:style>
  <w:style w:type="paragraph" w:customStyle="1" w:styleId="Reftitle">
    <w:name w:val="Ref_title"/>
    <w:basedOn w:val="Normal"/>
    <w:next w:val="Reftext"/>
    <w:rsid w:val="007B459E"/>
    <w:pPr>
      <w:spacing w:before="480"/>
      <w:jc w:val="center"/>
    </w:pPr>
    <w:rPr>
      <w:b/>
    </w:rPr>
  </w:style>
  <w:style w:type="paragraph" w:customStyle="1" w:styleId="RepNo">
    <w:name w:val="Rep_No"/>
    <w:basedOn w:val="RecNo"/>
    <w:next w:val="Reptitle"/>
    <w:rsid w:val="007B459E"/>
  </w:style>
  <w:style w:type="paragraph" w:customStyle="1" w:styleId="ResNo">
    <w:name w:val="Res_No"/>
    <w:basedOn w:val="RecNo"/>
    <w:next w:val="Restitle"/>
    <w:rsid w:val="007B459E"/>
  </w:style>
  <w:style w:type="paragraph" w:customStyle="1" w:styleId="SectionNo">
    <w:name w:val="Section_No"/>
    <w:basedOn w:val="Normal"/>
    <w:next w:val="Sectiontitle"/>
    <w:rsid w:val="007B459E"/>
    <w:pPr>
      <w:keepNext/>
      <w:keepLines/>
      <w:spacing w:before="480" w:after="80"/>
      <w:jc w:val="center"/>
    </w:pPr>
    <w:rPr>
      <w:caps/>
      <w:sz w:val="28"/>
    </w:rPr>
  </w:style>
  <w:style w:type="paragraph" w:customStyle="1" w:styleId="Sectiontitle">
    <w:name w:val="Section_title"/>
    <w:basedOn w:val="Normal"/>
    <w:next w:val="Normalaftertitle"/>
    <w:rsid w:val="007B459E"/>
    <w:pPr>
      <w:keepNext/>
      <w:keepLines/>
      <w:spacing w:before="480" w:after="280"/>
      <w:jc w:val="center"/>
    </w:pPr>
    <w:rPr>
      <w:b/>
      <w:sz w:val="28"/>
    </w:rPr>
  </w:style>
  <w:style w:type="paragraph" w:customStyle="1" w:styleId="Source">
    <w:name w:val="Source"/>
    <w:basedOn w:val="Normal"/>
    <w:next w:val="Normalaftertitle"/>
    <w:rsid w:val="007B459E"/>
    <w:pPr>
      <w:spacing w:before="840" w:after="200"/>
      <w:jc w:val="center"/>
    </w:pPr>
    <w:rPr>
      <w:b/>
      <w:sz w:val="28"/>
    </w:rPr>
  </w:style>
  <w:style w:type="paragraph" w:customStyle="1" w:styleId="SpecialFooter">
    <w:name w:val="Special Footer"/>
    <w:basedOn w:val="Footer"/>
    <w:rsid w:val="007B459E"/>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7B45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B459E"/>
    <w:pPr>
      <w:keepNext/>
      <w:spacing w:before="560" w:after="120"/>
      <w:jc w:val="center"/>
    </w:pPr>
    <w:rPr>
      <w:caps/>
    </w:rPr>
  </w:style>
  <w:style w:type="paragraph" w:customStyle="1" w:styleId="Tableref">
    <w:name w:val="Table_ref"/>
    <w:basedOn w:val="Normal"/>
    <w:next w:val="TabletitleBR"/>
    <w:rsid w:val="007B459E"/>
    <w:pPr>
      <w:keepNext/>
      <w:spacing w:before="0" w:after="120"/>
      <w:jc w:val="center"/>
    </w:pPr>
  </w:style>
  <w:style w:type="paragraph" w:customStyle="1" w:styleId="Title1">
    <w:name w:val="Title 1"/>
    <w:basedOn w:val="Source"/>
    <w:next w:val="Title2"/>
    <w:rsid w:val="007B459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B459E"/>
  </w:style>
  <w:style w:type="paragraph" w:customStyle="1" w:styleId="Title3">
    <w:name w:val="Title 3"/>
    <w:basedOn w:val="Title2"/>
    <w:next w:val="Title4"/>
    <w:rsid w:val="007B459E"/>
    <w:rPr>
      <w:caps w:val="0"/>
    </w:rPr>
  </w:style>
  <w:style w:type="paragraph" w:customStyle="1" w:styleId="Title4">
    <w:name w:val="Title 4"/>
    <w:basedOn w:val="Title3"/>
    <w:next w:val="Heading1"/>
    <w:rsid w:val="007B459E"/>
    <w:rPr>
      <w:b/>
    </w:rPr>
  </w:style>
  <w:style w:type="paragraph" w:customStyle="1" w:styleId="toc0">
    <w:name w:val="toc 0"/>
    <w:basedOn w:val="Normal"/>
    <w:next w:val="TOC1"/>
    <w:rsid w:val="007B459E"/>
    <w:pPr>
      <w:tabs>
        <w:tab w:val="clear" w:pos="794"/>
        <w:tab w:val="clear" w:pos="1191"/>
        <w:tab w:val="clear" w:pos="1588"/>
        <w:tab w:val="clear" w:pos="1985"/>
        <w:tab w:val="right" w:pos="9639"/>
      </w:tabs>
    </w:pPr>
    <w:rPr>
      <w:b/>
    </w:rPr>
  </w:style>
  <w:style w:type="paragraph" w:styleId="TOC1">
    <w:name w:val="toc 1"/>
    <w:basedOn w:val="Normal"/>
    <w:semiHidden/>
    <w:rsid w:val="007B459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B459E"/>
    <w:pPr>
      <w:spacing w:before="80"/>
      <w:ind w:left="1531" w:hanging="851"/>
    </w:pPr>
  </w:style>
  <w:style w:type="paragraph" w:styleId="TOC3">
    <w:name w:val="toc 3"/>
    <w:basedOn w:val="TOC2"/>
    <w:semiHidden/>
    <w:rsid w:val="007B459E"/>
  </w:style>
  <w:style w:type="paragraph" w:styleId="TOC4">
    <w:name w:val="toc 4"/>
    <w:basedOn w:val="TOC3"/>
    <w:semiHidden/>
    <w:rsid w:val="007B459E"/>
  </w:style>
  <w:style w:type="paragraph" w:styleId="TOC5">
    <w:name w:val="toc 5"/>
    <w:basedOn w:val="TOC4"/>
    <w:semiHidden/>
    <w:rsid w:val="007B459E"/>
  </w:style>
  <w:style w:type="paragraph" w:styleId="TOC6">
    <w:name w:val="toc 6"/>
    <w:basedOn w:val="TOC4"/>
    <w:semiHidden/>
    <w:rsid w:val="007B459E"/>
  </w:style>
  <w:style w:type="paragraph" w:styleId="TOC7">
    <w:name w:val="toc 7"/>
    <w:basedOn w:val="TOC4"/>
    <w:semiHidden/>
    <w:rsid w:val="007B459E"/>
  </w:style>
  <w:style w:type="paragraph" w:styleId="TOC8">
    <w:name w:val="toc 8"/>
    <w:basedOn w:val="TOC4"/>
    <w:semiHidden/>
    <w:rsid w:val="007B459E"/>
  </w:style>
  <w:style w:type="character" w:customStyle="1" w:styleId="Appdef">
    <w:name w:val="App_def"/>
    <w:basedOn w:val="DefaultParagraphFont"/>
    <w:rsid w:val="007B459E"/>
    <w:rPr>
      <w:rFonts w:ascii="Times New Roman" w:hAnsi="Times New Roman"/>
      <w:b/>
    </w:rPr>
  </w:style>
  <w:style w:type="character" w:customStyle="1" w:styleId="Appref">
    <w:name w:val="App_ref"/>
    <w:basedOn w:val="DefaultParagraphFont"/>
    <w:rsid w:val="007B459E"/>
  </w:style>
  <w:style w:type="character" w:customStyle="1" w:styleId="Artdef">
    <w:name w:val="Art_def"/>
    <w:basedOn w:val="DefaultParagraphFont"/>
    <w:rsid w:val="007B459E"/>
    <w:rPr>
      <w:rFonts w:ascii="Times New Roman" w:hAnsi="Times New Roman"/>
      <w:b/>
    </w:rPr>
  </w:style>
  <w:style w:type="character" w:customStyle="1" w:styleId="Artref">
    <w:name w:val="Art_ref"/>
    <w:basedOn w:val="DefaultParagraphFont"/>
    <w:rsid w:val="007B459E"/>
  </w:style>
  <w:style w:type="character" w:customStyle="1" w:styleId="Recdef">
    <w:name w:val="Rec_def"/>
    <w:basedOn w:val="DefaultParagraphFont"/>
    <w:rsid w:val="007B459E"/>
    <w:rPr>
      <w:b/>
    </w:rPr>
  </w:style>
  <w:style w:type="character" w:customStyle="1" w:styleId="Resdef">
    <w:name w:val="Res_def"/>
    <w:basedOn w:val="DefaultParagraphFont"/>
    <w:rsid w:val="007B459E"/>
    <w:rPr>
      <w:rFonts w:ascii="Times New Roman" w:hAnsi="Times New Roman"/>
      <w:b/>
    </w:rPr>
  </w:style>
  <w:style w:type="character" w:customStyle="1" w:styleId="Tablefreq">
    <w:name w:val="Table_freq"/>
    <w:basedOn w:val="DefaultParagraphFont"/>
    <w:rsid w:val="007B459E"/>
    <w:rPr>
      <w:b/>
      <w:color w:val="auto"/>
    </w:rPr>
  </w:style>
  <w:style w:type="paragraph" w:customStyle="1" w:styleId="FiguretitleBR">
    <w:name w:val="Figure_title_BR"/>
    <w:basedOn w:val="TabletitleBR"/>
    <w:next w:val="Figurewithouttitle"/>
    <w:rsid w:val="007B459E"/>
    <w:pPr>
      <w:keepNext w:val="0"/>
      <w:spacing w:after="480"/>
    </w:pPr>
  </w:style>
  <w:style w:type="paragraph" w:customStyle="1" w:styleId="FigureNoBR">
    <w:name w:val="Figure_No_BR"/>
    <w:basedOn w:val="Normal"/>
    <w:next w:val="FiguretitleBR"/>
    <w:rsid w:val="007B459E"/>
    <w:pPr>
      <w:keepNext/>
      <w:keepLines/>
      <w:spacing w:before="480" w:after="120"/>
      <w:jc w:val="center"/>
    </w:pPr>
    <w:rPr>
      <w:caps/>
    </w:rPr>
  </w:style>
  <w:style w:type="paragraph" w:styleId="BalloonText">
    <w:name w:val="Balloon Text"/>
    <w:basedOn w:val="Normal"/>
    <w:link w:val="BalloonTextChar"/>
    <w:rsid w:val="007B459E"/>
    <w:pPr>
      <w:spacing w:before="0"/>
    </w:pPr>
    <w:rPr>
      <w:rFonts w:ascii="Tahoma" w:hAnsi="Tahoma" w:cs="Tahoma"/>
      <w:sz w:val="16"/>
      <w:szCs w:val="16"/>
    </w:rPr>
  </w:style>
  <w:style w:type="character" w:customStyle="1" w:styleId="BalloonTextChar">
    <w:name w:val="Balloon Text Char"/>
    <w:basedOn w:val="DefaultParagraphFont"/>
    <w:link w:val="BalloonText"/>
    <w:rsid w:val="007B459E"/>
    <w:rPr>
      <w:rFonts w:ascii="Tahoma" w:hAnsi="Tahoma" w:cs="Tahoma"/>
      <w:sz w:val="16"/>
      <w:szCs w:val="16"/>
      <w:lang w:val="fr-FR" w:eastAsia="en-US"/>
    </w:rPr>
  </w:style>
  <w:style w:type="character" w:customStyle="1" w:styleId="Heading1Char">
    <w:name w:val="Heading 1 Char"/>
    <w:basedOn w:val="DefaultParagraphFont"/>
    <w:link w:val="Heading1"/>
    <w:rsid w:val="00485972"/>
    <w:rPr>
      <w:rFonts w:ascii="Times New Roman" w:hAnsi="Times New Roman"/>
      <w:b/>
      <w:sz w:val="24"/>
      <w:lang w:val="fr-FR" w:eastAsia="en-US"/>
    </w:rPr>
  </w:style>
  <w:style w:type="character" w:styleId="Hyperlink">
    <w:name w:val="Hyperlink"/>
    <w:basedOn w:val="DefaultParagraphFont"/>
    <w:uiPriority w:val="99"/>
    <w:rsid w:val="00485972"/>
    <w:rPr>
      <w:color w:val="0000FF"/>
      <w:u w:val="single"/>
    </w:rPr>
  </w:style>
  <w:style w:type="character" w:customStyle="1" w:styleId="Heading2Char">
    <w:name w:val="Heading 2 Char"/>
    <w:basedOn w:val="DefaultParagraphFont"/>
    <w:link w:val="Heading2"/>
    <w:rsid w:val="00485972"/>
    <w:rPr>
      <w:rFonts w:ascii="Times New Roman" w:hAnsi="Times New Roman"/>
      <w:b/>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485972"/>
    <w:rPr>
      <w:rFonts w:ascii="Times New Roman" w:hAnsi="Times New Roman"/>
      <w:sz w:val="24"/>
      <w:lang w:val="fr-FR" w:eastAsia="en-US"/>
    </w:rPr>
  </w:style>
  <w:style w:type="character" w:styleId="FollowedHyperlink">
    <w:name w:val="FollowedHyperlink"/>
    <w:basedOn w:val="DefaultParagraphFont"/>
    <w:semiHidden/>
    <w:unhideWhenUsed/>
    <w:rsid w:val="00892A45"/>
    <w:rPr>
      <w:color w:val="800080" w:themeColor="followedHyperlink"/>
      <w:u w:val="single"/>
    </w:rPr>
  </w:style>
  <w:style w:type="character" w:customStyle="1" w:styleId="TabletextChar">
    <w:name w:val="Table_text Char"/>
    <w:basedOn w:val="DefaultParagraphFont"/>
    <w:link w:val="Tabletext"/>
    <w:locked/>
    <w:rsid w:val="002A113E"/>
    <w:rPr>
      <w:rFonts w:ascii="Times New Roman" w:hAnsi="Times New Roman"/>
      <w:sz w:val="22"/>
      <w:lang w:val="fr-FR" w:eastAsia="en-US"/>
    </w:rPr>
  </w:style>
  <w:style w:type="character" w:customStyle="1" w:styleId="TableheadChar">
    <w:name w:val="Table_head Char"/>
    <w:basedOn w:val="DefaultParagraphFont"/>
    <w:link w:val="Tablehead"/>
    <w:rsid w:val="002A113E"/>
    <w:rPr>
      <w:rFonts w:ascii="Times New Roman" w:hAnsi="Times New Roman"/>
      <w:b/>
      <w:sz w:val="22"/>
      <w:lang w:val="fr-FR" w:eastAsia="en-US"/>
    </w:rPr>
  </w:style>
  <w:style w:type="character" w:customStyle="1" w:styleId="enumlev1Char">
    <w:name w:val="enumlev1 Char"/>
    <w:basedOn w:val="DefaultParagraphFont"/>
    <w:link w:val="enumlev1"/>
    <w:rsid w:val="006A7259"/>
    <w:rPr>
      <w:rFonts w:ascii="Times New Roman" w:hAnsi="Times New Roman"/>
      <w:sz w:val="24"/>
      <w:lang w:val="fr-FR" w:eastAsia="en-US"/>
    </w:rPr>
  </w:style>
  <w:style w:type="character" w:customStyle="1" w:styleId="Heading3Char">
    <w:name w:val="Heading 3 Char"/>
    <w:basedOn w:val="DefaultParagraphFont"/>
    <w:link w:val="Heading3"/>
    <w:locked/>
    <w:rsid w:val="006A7259"/>
    <w:rPr>
      <w:rFonts w:ascii="Times New Roman" w:hAnsi="Times New Roman"/>
      <w:b/>
      <w:sz w:val="24"/>
      <w:lang w:val="fr-FR" w:eastAsia="en-US"/>
    </w:rPr>
  </w:style>
  <w:style w:type="paragraph" w:customStyle="1" w:styleId="Reasons">
    <w:name w:val="Reasons"/>
    <w:basedOn w:val="Normal"/>
    <w:qFormat/>
    <w:rsid w:val="006A7259"/>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uiPriority w:val="59"/>
    <w:rsid w:val="0099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
    <w:name w:val="w"/>
    <w:basedOn w:val="enumlev1"/>
    <w:rsid w:val="00002B46"/>
    <w:pPr>
      <w:tabs>
        <w:tab w:val="clear" w:pos="794"/>
        <w:tab w:val="clear" w:pos="1191"/>
        <w:tab w:val="clear" w:pos="1588"/>
        <w:tab w:val="clear" w:pos="1985"/>
        <w:tab w:val="left" w:pos="567"/>
        <w:tab w:val="left" w:pos="1134"/>
        <w:tab w:val="left" w:pos="1701"/>
        <w:tab w:val="left" w:pos="2268"/>
        <w:tab w:val="left" w:pos="2835"/>
      </w:tabs>
      <w:spacing w:before="86"/>
      <w:ind w:left="567" w:hanging="567"/>
    </w:pPr>
    <w:rPr>
      <w:rFonts w:ascii="Calibri" w:hAnsi="Calibri"/>
    </w:rPr>
  </w:style>
  <w:style w:type="paragraph" w:customStyle="1" w:styleId="TableNo">
    <w:name w:val="Table_No"/>
    <w:basedOn w:val="Normal"/>
    <w:next w:val="Normal"/>
    <w:link w:val="TableNoChar"/>
    <w:rsid w:val="00D843C6"/>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Normal"/>
    <w:next w:val="Tabletext"/>
    <w:link w:val="TabletitleChar"/>
    <w:rsid w:val="00D843C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NoChar">
    <w:name w:val="Table_No Char"/>
    <w:basedOn w:val="DefaultParagraphFont"/>
    <w:link w:val="TableNo"/>
    <w:locked/>
    <w:rsid w:val="00D843C6"/>
    <w:rPr>
      <w:rFonts w:ascii="Calibri" w:hAnsi="Calibri"/>
      <w:caps/>
      <w:sz w:val="24"/>
      <w:lang w:val="fr-FR" w:eastAsia="en-US"/>
    </w:rPr>
  </w:style>
  <w:style w:type="character" w:customStyle="1" w:styleId="TabletitleChar">
    <w:name w:val="Table_title Char"/>
    <w:basedOn w:val="DefaultParagraphFont"/>
    <w:link w:val="Tabletitle"/>
    <w:locked/>
    <w:rsid w:val="00D843C6"/>
    <w:rPr>
      <w:rFonts w:ascii="Times New Roman Bold" w:hAnsi="Times New Roman Bold"/>
      <w:b/>
      <w:lang w:val="fr-FR" w:eastAsia="en-US"/>
    </w:rPr>
  </w:style>
  <w:style w:type="paragraph" w:customStyle="1" w:styleId="TableTextS5">
    <w:name w:val="Table_TextS5"/>
    <w:basedOn w:val="Normal"/>
    <w:link w:val="TableTextS5Char"/>
    <w:rsid w:val="00A20AEB"/>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A20AEB"/>
    <w:rPr>
      <w:rFonts w:ascii="Times New Roman" w:hAnsi="Times New Roman"/>
      <w:lang w:val="fr-FR" w:eastAsia="en-US"/>
    </w:rPr>
  </w:style>
  <w:style w:type="paragraph" w:customStyle="1" w:styleId="Tablehead0">
    <w:name w:val="Table head"/>
    <w:basedOn w:val="Normal"/>
    <w:rsid w:val="00A20AEB"/>
    <w:pPr>
      <w:tabs>
        <w:tab w:val="clear" w:pos="794"/>
        <w:tab w:val="clear" w:pos="1191"/>
        <w:tab w:val="clear" w:pos="1588"/>
        <w:tab w:val="clear" w:pos="1985"/>
        <w:tab w:val="left" w:pos="1134"/>
        <w:tab w:val="left" w:pos="1871"/>
        <w:tab w:val="left" w:pos="2268"/>
      </w:tabs>
      <w:jc w:val="center"/>
    </w:pPr>
    <w:rPr>
      <w:b/>
      <w:bCs/>
      <w:lang w:val="fr-CH"/>
    </w:rPr>
  </w:style>
  <w:style w:type="table" w:customStyle="1" w:styleId="TableGrid2">
    <w:name w:val="Table Grid2"/>
    <w:basedOn w:val="TableNormal"/>
    <w:next w:val="TableGrid"/>
    <w:uiPriority w:val="39"/>
    <w:rsid w:val="00614562"/>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D2163"/>
    <w:rPr>
      <w:b/>
      <w:bCs/>
      <w:i/>
      <w:iCs/>
      <w:color w:val="4F81BD" w:themeColor="accent1"/>
    </w:rPr>
  </w:style>
  <w:style w:type="paragraph" w:styleId="ListParagraph">
    <w:name w:val="List Paragraph"/>
    <w:basedOn w:val="Normal"/>
    <w:uiPriority w:val="34"/>
    <w:qFormat/>
    <w:rsid w:val="007D2163"/>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RES-R.5/fr" TargetMode="External"/><Relationship Id="rId18" Type="http://schemas.openxmlformats.org/officeDocument/2006/relationships/hyperlink" Target="http://www.itu.int/pub/R-RES-R.68/fr" TargetMode="External"/><Relationship Id="rId26" Type="http://schemas.openxmlformats.org/officeDocument/2006/relationships/hyperlink" Target="http://www.itu.int/ipr" TargetMode="External"/><Relationship Id="rId39" Type="http://schemas.openxmlformats.org/officeDocument/2006/relationships/hyperlink" Target="http://www.itu.int/en/ITU-R/space/workshops/2015-prague-small-sat/Documents/Prague%20Declaration.pdf" TargetMode="External"/><Relationship Id="rId21" Type="http://schemas.openxmlformats.org/officeDocument/2006/relationships/hyperlink" Target="http://www.itu.int/en/ITU-R/conferences/wrc/2015/irwsp/2015/Pages/default.aspx" TargetMode="External"/><Relationship Id="rId34" Type="http://schemas.openxmlformats.org/officeDocument/2006/relationships/footer" Target="footer2.xml"/><Relationship Id="rId42" Type="http://schemas.openxmlformats.org/officeDocument/2006/relationships/hyperlink" Target="http://www.itu.int/fr/ITU-R/Pages/default.aspx" TargetMode="External"/><Relationship Id="rId47" Type="http://schemas.openxmlformats.org/officeDocument/2006/relationships/hyperlink" Target="http://www.itu.int/net/pressoffice/press_releases/2015/CM04-fr.aspx" TargetMode="External"/><Relationship Id="rId50" Type="http://schemas.openxmlformats.org/officeDocument/2006/relationships/hyperlink" Target="http://www.itu.int/net/pressoffice/press_releases/2015/19-fr.aspx" TargetMode="External"/><Relationship Id="rId55" Type="http://schemas.openxmlformats.org/officeDocument/2006/relationships/hyperlink" Target="http://www.itu.int/en/newsroom/wrc15/Pages/default.aspx" TargetMode="External"/><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itu.int/pub/R-RES-R.66/fr" TargetMode="External"/><Relationship Id="rId20" Type="http://schemas.openxmlformats.org/officeDocument/2006/relationships/hyperlink" Target="http://www.itu.int/md/R15-WRC15-C-0216/" TargetMode="External"/><Relationship Id="rId29" Type="http://schemas.openxmlformats.org/officeDocument/2006/relationships/hyperlink" Target="http://www.itu.int/ITU-R/go/seminars" TargetMode="External"/><Relationship Id="rId41" Type="http://schemas.openxmlformats.org/officeDocument/2006/relationships/hyperlink" Target="http://www.itu.int/en/ITU-R/terrestrial/workshops/trainingCITEL/Pages/default.aspx" TargetMode="External"/><Relationship Id="rId54" Type="http://schemas.openxmlformats.org/officeDocument/2006/relationships/hyperlink" Target="http://www.itu.int/en/newsroom/wrc15/Pages/default.aspx"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fr/ITU-R/conferences/RA/2015/Pages/default.aspx" TargetMode="External"/><Relationship Id="rId24" Type="http://schemas.openxmlformats.org/officeDocument/2006/relationships/hyperlink" Target="http://www.itu.int/md/R00-CA-CIR-0226/en"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hyperlink" Target="https://twitter.com/ITU_R" TargetMode="External"/><Relationship Id="rId53" Type="http://schemas.openxmlformats.org/officeDocument/2006/relationships/hyperlink" Target="http://www.itu.int/net/pressoffice/press_releases/2015/47-fr.aspx" TargetMode="External"/><Relationship Id="rId58" Type="http://schemas.openxmlformats.org/officeDocument/2006/relationships/hyperlink" Target="http://www.itu.int/net/pressoffice/press_releases/2015/56-fr.aspx" TargetMode="External"/><Relationship Id="rId5" Type="http://schemas.openxmlformats.org/officeDocument/2006/relationships/footnotes" Target="footnotes.xml"/><Relationship Id="rId15" Type="http://schemas.openxmlformats.org/officeDocument/2006/relationships/hyperlink" Target="http://www.itu.int/pub/R-RES-R.65/fr" TargetMode="External"/><Relationship Id="rId23" Type="http://schemas.openxmlformats.org/officeDocument/2006/relationships/hyperlink" Target="http://www.itu.int/md/R00-CA-CIR-0226/en" TargetMode="External"/><Relationship Id="rId28" Type="http://schemas.openxmlformats.org/officeDocument/2006/relationships/hyperlink" Target="https://extranet.itu.int/brdocsearch/" TargetMode="External"/><Relationship Id="rId36" Type="http://schemas.openxmlformats.org/officeDocument/2006/relationships/header" Target="header3.xml"/><Relationship Id="rId49" Type="http://schemas.openxmlformats.org/officeDocument/2006/relationships/hyperlink" Target="http://www.itu.int/net/pressoffice/press_releases/2015/25-fr.aspx" TargetMode="External"/><Relationship Id="rId57" Type="http://schemas.openxmlformats.org/officeDocument/2006/relationships/hyperlink" Target="http://www.itu.int/net/pressoffice/press_releases/2015/49-fr.aspx" TargetMode="External"/><Relationship Id="rId61" Type="http://schemas.openxmlformats.org/officeDocument/2006/relationships/hyperlink" Target="http://www.itu.int/fr/ITU-R/Pages/default.aspx" TargetMode="External"/><Relationship Id="rId10" Type="http://schemas.openxmlformats.org/officeDocument/2006/relationships/hyperlink" Target="http://www.itu.int/fr/council/Pages/default.aspx" TargetMode="External"/><Relationship Id="rId19" Type="http://schemas.openxmlformats.org/officeDocument/2006/relationships/hyperlink" Target="http://www.itu.int/pub/R-RES-R.69/fr" TargetMode="External"/><Relationship Id="rId31" Type="http://schemas.openxmlformats.org/officeDocument/2006/relationships/header" Target="header1.xml"/><Relationship Id="rId44" Type="http://schemas.openxmlformats.org/officeDocument/2006/relationships/hyperlink" Target="https://twitter.com/hashtag/wrc15" TargetMode="External"/><Relationship Id="rId52" Type="http://schemas.openxmlformats.org/officeDocument/2006/relationships/hyperlink" Target="http://www.itu.int/net/pressoffice/press_releases/2015/27-fr.aspx" TargetMode="External"/><Relationship Id="rId60" Type="http://schemas.openxmlformats.org/officeDocument/2006/relationships/hyperlink" Target="https://twitter.com/hashtag/wrc15" TargetMode="External"/><Relationship Id="rId4" Type="http://schemas.openxmlformats.org/officeDocument/2006/relationships/webSettings" Target="webSettings.xml"/><Relationship Id="rId9" Type="http://schemas.openxmlformats.org/officeDocument/2006/relationships/hyperlink" Target="http://www.itu.int/md/R00-CA-CIR-0227/en" TargetMode="External"/><Relationship Id="rId14" Type="http://schemas.openxmlformats.org/officeDocument/2006/relationships/hyperlink" Target="http://www.itu.int/pub/R-RES-R.55/fr" TargetMode="External"/><Relationship Id="rId22" Type="http://schemas.openxmlformats.org/officeDocument/2006/relationships/hyperlink" Target="http://www.itu.int/fr/ITU-R/conferences/wrc/2015/Pages/default.aspx" TargetMode="External"/><Relationship Id="rId27" Type="http://schemas.openxmlformats.org/officeDocument/2006/relationships/hyperlink" Target="http://www.itu.int/pub/R-REG-RRX" TargetMode="External"/><Relationship Id="rId30" Type="http://schemas.openxmlformats.org/officeDocument/2006/relationships/hyperlink" Target="http://www.itu.int/ITU-R/go/seminars" TargetMode="External"/><Relationship Id="rId35" Type="http://schemas.openxmlformats.org/officeDocument/2006/relationships/footer" Target="footer3.xml"/><Relationship Id="rId43" Type="http://schemas.openxmlformats.org/officeDocument/2006/relationships/hyperlink" Target="http://www.itu.int/fr/ITU-R/Pages/default.aspx" TargetMode="External"/><Relationship Id="rId48" Type="http://schemas.openxmlformats.org/officeDocument/2006/relationships/hyperlink" Target="http://www.itu.int/net/pressoffice/press_releases/2015/08-fr.aspx" TargetMode="External"/><Relationship Id="rId56" Type="http://schemas.openxmlformats.org/officeDocument/2006/relationships/hyperlink" Target="http://www.itu.int/en/itunews/Documents/2015_ITUNews05-en.pdf" TargetMode="External"/><Relationship Id="rId8" Type="http://schemas.openxmlformats.org/officeDocument/2006/relationships/image" Target="media/image2.jpeg"/><Relationship Id="rId51" Type="http://schemas.openxmlformats.org/officeDocument/2006/relationships/hyperlink" Target="http://www.itu.int/en/ITU-R/seminars/Pages/default.aspx" TargetMode="External"/><Relationship Id="rId3" Type="http://schemas.openxmlformats.org/officeDocument/2006/relationships/settings" Target="settings.xml"/><Relationship Id="rId12" Type="http://schemas.openxmlformats.org/officeDocument/2006/relationships/hyperlink" Target="http://www.itu.int/pub/R-RES-R.4/fr" TargetMode="External"/><Relationship Id="rId17" Type="http://schemas.openxmlformats.org/officeDocument/2006/relationships/hyperlink" Target="http://www.itu.int/pub/R-RES-R.67/fr" TargetMode="External"/><Relationship Id="rId25" Type="http://schemas.openxmlformats.org/officeDocument/2006/relationships/hyperlink" Target="http://www.itu.int/oth/R0B05000019/fr" TargetMode="External"/><Relationship Id="rId33" Type="http://schemas.openxmlformats.org/officeDocument/2006/relationships/footer" Target="footer1.xml"/><Relationship Id="rId38" Type="http://schemas.openxmlformats.org/officeDocument/2006/relationships/hyperlink" Target="http://www.itu.int/ITU-R/go/seminars" TargetMode="External"/><Relationship Id="rId46" Type="http://schemas.openxmlformats.org/officeDocument/2006/relationships/hyperlink" Target="http://www.itu.int/net/pressoffice/press_releases/2015/Advisory-01-fr.aspx" TargetMode="External"/><Relationship Id="rId59" Type="http://schemas.openxmlformats.org/officeDocument/2006/relationships/hyperlink" Target="https://twitter.com/hashtag/wrc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PF_RAG16.dotm</Template>
  <TotalTime>15</TotalTime>
  <Pages>37</Pages>
  <Words>15932</Words>
  <Characters>87647</Characters>
  <Application>Microsoft Office Word</Application>
  <DocSecurity>0</DocSecurity>
  <Lines>2281</Lines>
  <Paragraphs>1141</Paragraphs>
  <ScaleCrop>false</ScaleCrop>
  <HeadingPairs>
    <vt:vector size="2" baseType="variant">
      <vt:variant>
        <vt:lpstr>Title</vt:lpstr>
      </vt:variant>
      <vt:variant>
        <vt:i4>1</vt:i4>
      </vt:variant>
    </vt:vector>
  </HeadingPairs>
  <TitlesOfParts>
    <vt:vector size="1" baseType="lpstr">
      <vt:lpstr>RAPPORT À LA VINGT-TROISIÈME RÉUNION DU GROUPE CONSULTATIF DES RADIOCOMMUNICATIONS</vt:lpstr>
    </vt:vector>
  </TitlesOfParts>
  <Manager>General Secretariat - Pool</Manager>
  <Company>International Telecommunication Union (ITU)</Company>
  <LinksUpToDate>false</LinksUpToDate>
  <CharactersWithSpaces>102664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VINGT-TROISIÈME RÉUNION DU GROUPE CONSULTATIF DES RADIOCOMMUNICATIONS</dc:title>
  <dc:subject>GROUPE CONSULTATIF DES RADIOCOMMUNICATIONS</dc:subject>
  <dc:creator>Directeur du Bureau des radiocommunications</dc:creator>
  <cp:keywords>RAG03-1</cp:keywords>
  <dc:description>Révision 1 du Document RAG16/1-F  For: _x000d_Document date: 18 avril 2016_x000d_Saved by ITU51009305 at 16:59:13 on 25/04/2016</dc:description>
  <cp:lastModifiedBy>Saxod, Nathalie</cp:lastModifiedBy>
  <cp:revision>4</cp:revision>
  <cp:lastPrinted>2016-04-06T13:36:00Z</cp:lastPrinted>
  <dcterms:created xsi:type="dcterms:W3CDTF">2016-04-25T09:24:00Z</dcterms:created>
  <dcterms:modified xsi:type="dcterms:W3CDTF">2016-04-25T14:59:00Z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Révision 1 du Document RAG16/1-F</vt:lpwstr>
  </property>
  <property fmtid="{D5CDD505-2E9C-101B-9397-08002B2CF9AE}" pid="3" name="Docdate">
    <vt:lpwstr>18 avril 2016</vt:lpwstr>
  </property>
  <property fmtid="{D5CDD505-2E9C-101B-9397-08002B2CF9AE}" pid="4" name="Docorlang">
    <vt:lpwstr>Original: anglais</vt:lpwstr>
  </property>
  <property fmtid="{D5CDD505-2E9C-101B-9397-08002B2CF9AE}" pid="5" name="Docauthor">
    <vt:lpwstr>Directeur du Bureau des radiocommunications</vt:lpwstr>
  </property>
</Properties>
</file>