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RPr="00242B8E" w:rsidTr="00D95965">
        <w:trPr>
          <w:cantSplit/>
        </w:trPr>
        <w:tc>
          <w:tcPr>
            <w:tcW w:w="1526" w:type="dxa"/>
            <w:vAlign w:val="center"/>
          </w:tcPr>
          <w:p w:rsidR="00D95965" w:rsidRPr="00242B8E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242B8E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GB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242B8E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42B8E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42B8E">
              <w:rPr>
                <w:rFonts w:ascii="Verdana" w:hAnsi="Verdana"/>
                <w:b/>
                <w:sz w:val="25"/>
                <w:szCs w:val="25"/>
              </w:rPr>
              <w:br/>
            </w:r>
            <w:r w:rsidRPr="00242B8E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42B8E">
              <w:rPr>
                <w:rFonts w:ascii="Verdana" w:hAnsi="Verdana"/>
                <w:b/>
                <w:bCs/>
                <w:sz w:val="20"/>
              </w:rPr>
              <w:t xml:space="preserve"> 10-13 mai 2016</w:t>
            </w:r>
          </w:p>
        </w:tc>
        <w:tc>
          <w:tcPr>
            <w:tcW w:w="1559" w:type="dxa"/>
          </w:tcPr>
          <w:p w:rsidR="00D95965" w:rsidRPr="00242B8E" w:rsidRDefault="00D95965" w:rsidP="00677EE5">
            <w:pPr>
              <w:shd w:val="solid" w:color="FFFFFF" w:fill="FFFFFF"/>
              <w:spacing w:before="0" w:line="240" w:lineRule="atLeast"/>
              <w:jc w:val="right"/>
            </w:pPr>
            <w:r w:rsidRPr="00242B8E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242B8E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242B8E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242B8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242B8E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242B8E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242B8E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242B8E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242B8E">
        <w:trPr>
          <w:cantSplit/>
        </w:trPr>
        <w:tc>
          <w:tcPr>
            <w:tcW w:w="6771" w:type="dxa"/>
            <w:gridSpan w:val="2"/>
            <w:vMerge w:val="restart"/>
          </w:tcPr>
          <w:p w:rsidR="002D238A" w:rsidRPr="00242B8E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242B8E" w:rsidRDefault="00D77A0C" w:rsidP="00302AE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au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302AEB" w:rsidRPr="00242B8E">
              <w:rPr>
                <w:rFonts w:ascii="Verdana" w:hAnsi="Verdana"/>
                <w:b/>
                <w:sz w:val="20"/>
              </w:rPr>
              <w:t>Document RAG16/1-F</w:t>
            </w:r>
          </w:p>
        </w:tc>
      </w:tr>
      <w:tr w:rsidR="002D238A" w:rsidRPr="00242B8E">
        <w:trPr>
          <w:cantSplit/>
        </w:trPr>
        <w:tc>
          <w:tcPr>
            <w:tcW w:w="6771" w:type="dxa"/>
            <w:gridSpan w:val="2"/>
            <w:vMerge/>
          </w:tcPr>
          <w:p w:rsidR="002D238A" w:rsidRPr="00242B8E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242B8E" w:rsidRDefault="00302AEB" w:rsidP="00302AE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42B8E">
              <w:rPr>
                <w:rFonts w:ascii="Verdana" w:hAnsi="Verdana"/>
                <w:b/>
                <w:sz w:val="20"/>
              </w:rPr>
              <w:t>18 avril 2016</w:t>
            </w:r>
          </w:p>
        </w:tc>
      </w:tr>
      <w:tr w:rsidR="002D238A" w:rsidRPr="00242B8E">
        <w:trPr>
          <w:cantSplit/>
        </w:trPr>
        <w:tc>
          <w:tcPr>
            <w:tcW w:w="6771" w:type="dxa"/>
            <w:gridSpan w:val="2"/>
            <w:vMerge/>
          </w:tcPr>
          <w:p w:rsidR="002D238A" w:rsidRPr="00242B8E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242B8E" w:rsidRDefault="00302AEB" w:rsidP="00302AE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242B8E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242B8E">
        <w:trPr>
          <w:cantSplit/>
        </w:trPr>
        <w:tc>
          <w:tcPr>
            <w:tcW w:w="9889" w:type="dxa"/>
            <w:gridSpan w:val="4"/>
          </w:tcPr>
          <w:p w:rsidR="002D238A" w:rsidRPr="00242B8E" w:rsidRDefault="00302AEB" w:rsidP="00773E5E">
            <w:pPr>
              <w:pStyle w:val="Source"/>
            </w:pPr>
            <w:bookmarkStart w:id="3" w:name="dsource" w:colFirst="0" w:colLast="0"/>
            <w:bookmarkEnd w:id="2"/>
            <w:r w:rsidRPr="00242B8E">
              <w:t xml:space="preserve">Directeur du </w:t>
            </w:r>
            <w:r w:rsidR="0037710C" w:rsidRPr="00242B8E">
              <w:t>Bureau des radiocommunications</w:t>
            </w:r>
          </w:p>
        </w:tc>
      </w:tr>
      <w:tr w:rsidR="002D238A" w:rsidRPr="00242B8E">
        <w:trPr>
          <w:cantSplit/>
        </w:trPr>
        <w:tc>
          <w:tcPr>
            <w:tcW w:w="9889" w:type="dxa"/>
            <w:gridSpan w:val="4"/>
          </w:tcPr>
          <w:p w:rsidR="002D238A" w:rsidRPr="00242B8E" w:rsidRDefault="00302AEB" w:rsidP="00773E5E">
            <w:pPr>
              <w:pStyle w:val="Title1"/>
            </w:pPr>
            <w:bookmarkStart w:id="4" w:name="dtitle1" w:colFirst="0" w:colLast="0"/>
            <w:bookmarkEnd w:id="3"/>
            <w:r w:rsidRPr="00242B8E">
              <w:t>Rapport à la vingt-troisième</w:t>
            </w:r>
            <w:r w:rsidR="0037710C" w:rsidRPr="00242B8E">
              <w:t xml:space="preserve"> réunion du groupe consultatif des radiocommunications </w:t>
            </w:r>
          </w:p>
          <w:p w:rsidR="0037710C" w:rsidRPr="00242B8E" w:rsidRDefault="0037710C" w:rsidP="0037710C">
            <w:pPr>
              <w:pStyle w:val="Title2"/>
            </w:pPr>
            <w:r w:rsidRPr="00242B8E">
              <w:t>systèmes mondiaux de communications personnelles par satellite (gmpcs)</w:t>
            </w:r>
          </w:p>
        </w:tc>
      </w:tr>
    </w:tbl>
    <w:p w:rsidR="0037710C" w:rsidRPr="00242B8E" w:rsidRDefault="0037710C" w:rsidP="0037710C">
      <w:pPr>
        <w:pStyle w:val="Normalaftertitle"/>
      </w:pPr>
      <w:bookmarkStart w:id="5" w:name="lt_pId014"/>
      <w:bookmarkEnd w:id="4"/>
      <w:r w:rsidRPr="00242B8E">
        <w:t>On trouvera dans le présent Addendum</w:t>
      </w:r>
      <w:r w:rsidRPr="00242B8E">
        <w:rPr>
          <w:color w:val="000000"/>
        </w:rPr>
        <w:t xml:space="preserve"> un récapitulatif de l'état d'avancement de la mise en oeuvre</w:t>
      </w:r>
      <w:r w:rsidRPr="00242B8E">
        <w:t xml:space="preserve"> des Arrangements relatifs au</w:t>
      </w:r>
      <w:r w:rsidR="00746566" w:rsidRPr="00242B8E">
        <w:t xml:space="preserve"> </w:t>
      </w:r>
      <w:r w:rsidRPr="00242B8E">
        <w:rPr>
          <w:color w:val="000000"/>
        </w:rPr>
        <w:t>Mémorandum d'accord (</w:t>
      </w:r>
      <w:proofErr w:type="spellStart"/>
      <w:r w:rsidRPr="00242B8E">
        <w:rPr>
          <w:color w:val="000000"/>
        </w:rPr>
        <w:t>MoU</w:t>
      </w:r>
      <w:proofErr w:type="spellEnd"/>
      <w:r w:rsidRPr="00242B8E">
        <w:rPr>
          <w:color w:val="000000"/>
        </w:rPr>
        <w:t xml:space="preserve">) sur les GMPCS et du </w:t>
      </w:r>
      <w:r w:rsidR="00746566" w:rsidRPr="00242B8E">
        <w:rPr>
          <w:color w:val="000000"/>
        </w:rPr>
        <w:t>label «GMPCS</w:t>
      </w:r>
      <w:r w:rsidR="00746566" w:rsidRPr="00242B8E">
        <w:rPr>
          <w:color w:val="000000"/>
        </w:rPr>
        <w:noBreakHyphen/>
      </w:r>
      <w:proofErr w:type="spellStart"/>
      <w:r w:rsidRPr="00242B8E">
        <w:rPr>
          <w:color w:val="000000"/>
        </w:rPr>
        <w:t>MoU</w:t>
      </w:r>
      <w:proofErr w:type="spellEnd"/>
      <w:r w:rsidRPr="00242B8E">
        <w:rPr>
          <w:color w:val="000000"/>
        </w:rPr>
        <w:t>».</w:t>
      </w:r>
      <w:bookmarkEnd w:id="5"/>
      <w:r w:rsidR="00746566" w:rsidRPr="00242B8E">
        <w:t xml:space="preserve"> </w:t>
      </w:r>
    </w:p>
    <w:p w:rsidR="0037710C" w:rsidRPr="00242B8E" w:rsidRDefault="0037710C" w:rsidP="0037710C">
      <w:pPr>
        <w:pStyle w:val="Heading1"/>
      </w:pPr>
      <w:bookmarkStart w:id="6" w:name="lt_pId015"/>
      <w:bookmarkStart w:id="7" w:name="_Toc225584396"/>
      <w:r w:rsidRPr="00242B8E">
        <w:t>1</w:t>
      </w:r>
      <w:bookmarkEnd w:id="6"/>
      <w:r w:rsidRPr="00242B8E">
        <w:tab/>
      </w:r>
      <w:bookmarkStart w:id="8" w:name="lt_pId016"/>
      <w:r w:rsidRPr="00242B8E">
        <w:t>Introduction</w:t>
      </w:r>
      <w:bookmarkEnd w:id="7"/>
      <w:bookmarkEnd w:id="8"/>
    </w:p>
    <w:p w:rsidR="0037710C" w:rsidRPr="00242B8E" w:rsidRDefault="0037710C" w:rsidP="001D7308">
      <w:bookmarkStart w:id="9" w:name="lt_pId017"/>
      <w:r w:rsidRPr="00242B8E">
        <w:t xml:space="preserve">Un </w:t>
      </w:r>
      <w:r w:rsidRPr="00242B8E">
        <w:rPr>
          <w:color w:val="000000"/>
        </w:rPr>
        <w:t>système GMPCS est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un système de communications personnelles assurant une couverture multinationale, régionale ou mondiale à partir d'une constellation de satellites accessibles depuis des petits terminaux faciles à transporter. Que les systèmes à satellites GMPCS soient</w:t>
      </w:r>
      <w:r w:rsidR="00746566" w:rsidRPr="00242B8E">
        <w:rPr>
          <w:color w:val="000000"/>
        </w:rPr>
        <w:t xml:space="preserve"> </w:t>
      </w:r>
      <w:r w:rsidR="004A1C5D" w:rsidRPr="00242B8E">
        <w:rPr>
          <w:color w:val="000000"/>
        </w:rPr>
        <w:t>géo</w:t>
      </w:r>
      <w:r w:rsidRPr="00242B8E">
        <w:rPr>
          <w:color w:val="000000"/>
        </w:rPr>
        <w:t>stationnaires ou non géostationnaires, fixes ou mobiles, à</w:t>
      </w:r>
      <w:r w:rsidR="004A1C5D" w:rsidRPr="00242B8E">
        <w:rPr>
          <w:color w:val="000000"/>
        </w:rPr>
        <w:t xml:space="preserve"> large bande ou à bande étroite</w:t>
      </w:r>
      <w:r w:rsidRPr="00242B8E">
        <w:rPr>
          <w:color w:val="000000"/>
        </w:rPr>
        <w:t xml:space="preserve"> et de portée mondiale ou régionale,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ils permettent de fournir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 xml:space="preserve">des services de télécommunication directement </w:t>
      </w:r>
      <w:r w:rsidR="004A1C5D" w:rsidRPr="00242B8E">
        <w:rPr>
          <w:color w:val="000000"/>
        </w:rPr>
        <w:t>aux</w:t>
      </w:r>
      <w:r w:rsidRPr="00242B8E">
        <w:rPr>
          <w:color w:val="000000"/>
        </w:rPr>
        <w:t xml:space="preserve"> utilisateurs finals</w:t>
      </w:r>
      <w:bookmarkEnd w:id="9"/>
      <w:r w:rsidR="00746566" w:rsidRPr="00242B8E">
        <w:rPr>
          <w:color w:val="000000"/>
        </w:rPr>
        <w:t>.</w:t>
      </w:r>
      <w:r w:rsidR="00746566" w:rsidRPr="00242B8E">
        <w:t xml:space="preserve"> </w:t>
      </w:r>
      <w:bookmarkStart w:id="10" w:name="lt_pId019"/>
      <w:r w:rsidRPr="00242B8E">
        <w:t xml:space="preserve">Les services GMPCS comprennent la </w:t>
      </w:r>
      <w:r w:rsidRPr="00242B8E">
        <w:rPr>
          <w:color w:val="000000"/>
        </w:rPr>
        <w:t>transmission dans les deux sens de signaux vocaux, de télécopie</w:t>
      </w:r>
      <w:r w:rsidR="00746566" w:rsidRPr="00242B8E">
        <w:rPr>
          <w:color w:val="000000"/>
        </w:rPr>
        <w:t>,</w:t>
      </w:r>
      <w:r w:rsidRPr="00242B8E">
        <w:rPr>
          <w:color w:val="000000"/>
        </w:rPr>
        <w:t xml:space="preserve"> de messagerie, de données et de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contenus multimédias</w:t>
      </w:r>
      <w:r w:rsidRPr="00242B8E">
        <w:t xml:space="preserve"> large bande.</w:t>
      </w:r>
      <w:r w:rsidR="00746566" w:rsidRPr="00242B8E">
        <w:t xml:space="preserve"> </w:t>
      </w:r>
      <w:r w:rsidRPr="00242B8E">
        <w:t>On trouvera des renseignements détaillés sur tous les aspects des services GMPCS, notamment des documents de référence traitant de tous les aspects réglementaires, techniques</w:t>
      </w:r>
      <w:r w:rsidR="004A1C5D" w:rsidRPr="00242B8E">
        <w:t>,</w:t>
      </w:r>
      <w:r w:rsidRPr="00242B8E">
        <w:t xml:space="preserve"> opérationnels et commerciaux</w:t>
      </w:r>
      <w:r w:rsidR="004A1C5D" w:rsidRPr="00242B8E">
        <w:t xml:space="preserve"> de ces services</w:t>
      </w:r>
      <w:r w:rsidRPr="00242B8E">
        <w:t>, dans</w:t>
      </w:r>
      <w:bookmarkEnd w:id="10"/>
      <w:r w:rsidRPr="00242B8E">
        <w:t xml:space="preserve"> l</w:t>
      </w:r>
      <w:r w:rsidR="00746566" w:rsidRPr="00242B8E">
        <w:t>'</w:t>
      </w:r>
      <w:hyperlink r:id="rId9" w:history="1">
        <w:r w:rsidR="001D7308">
          <w:rPr>
            <w:rStyle w:val="Hyperlink"/>
          </w:rPr>
          <w:t xml:space="preserve">Ouvrage </w:t>
        </w:r>
        <w:bookmarkStart w:id="11" w:name="_GoBack"/>
        <w:bookmarkEnd w:id="11"/>
        <w:r w:rsidR="001D7308">
          <w:rPr>
            <w:rStyle w:val="Hyperlink"/>
          </w:rPr>
          <w:t>d</w:t>
        </w:r>
        <w:r w:rsidR="001D7308">
          <w:rPr>
            <w:rStyle w:val="Hyperlink"/>
          </w:rPr>
          <w:t>e référence sur les GMPCS</w:t>
        </w:r>
      </w:hyperlink>
      <w:r w:rsidR="00746566" w:rsidRPr="00242B8E">
        <w:rPr>
          <w:color w:val="000000"/>
        </w:rPr>
        <w:t>.</w:t>
      </w:r>
    </w:p>
    <w:p w:rsidR="0037710C" w:rsidRPr="00242B8E" w:rsidRDefault="0037710C" w:rsidP="0037710C">
      <w:pPr>
        <w:pStyle w:val="Heading1"/>
      </w:pPr>
      <w:bookmarkStart w:id="12" w:name="lt_pId021"/>
      <w:bookmarkStart w:id="13" w:name="_Toc225584397"/>
      <w:r w:rsidRPr="00242B8E">
        <w:t>2</w:t>
      </w:r>
      <w:bookmarkEnd w:id="12"/>
      <w:r w:rsidRPr="00242B8E">
        <w:tab/>
      </w:r>
      <w:bookmarkStart w:id="14" w:name="lt_pId022"/>
      <w:r w:rsidR="00746566" w:rsidRPr="00242B8E">
        <w:t>R</w:t>
      </w:r>
      <w:r w:rsidR="00746206">
        <w:t>ô</w:t>
      </w:r>
      <w:r w:rsidRPr="00242B8E">
        <w:t xml:space="preserve">le </w:t>
      </w:r>
      <w:bookmarkEnd w:id="13"/>
      <w:bookmarkEnd w:id="14"/>
      <w:r w:rsidRPr="00242B8E">
        <w:t>de l</w:t>
      </w:r>
      <w:r w:rsidR="00746566" w:rsidRPr="00242B8E">
        <w:t>'</w:t>
      </w:r>
      <w:r w:rsidRPr="00242B8E">
        <w:t>UIT</w:t>
      </w:r>
    </w:p>
    <w:p w:rsidR="0037710C" w:rsidRPr="00242B8E" w:rsidRDefault="00746566" w:rsidP="004A1C5D">
      <w:bookmarkStart w:id="15" w:name="lt_pId023"/>
      <w:r w:rsidRPr="00242B8E">
        <w:t>A</w:t>
      </w:r>
      <w:r w:rsidR="0037710C" w:rsidRPr="00242B8E">
        <w:t xml:space="preserve"> l</w:t>
      </w:r>
      <w:r w:rsidRPr="00242B8E">
        <w:t>'</w:t>
      </w:r>
      <w:r w:rsidR="0037710C" w:rsidRPr="00242B8E">
        <w:t xml:space="preserve">occasion du premier </w:t>
      </w:r>
      <w:hyperlink r:id="rId10" w:history="1">
        <w:r w:rsidR="0037710C" w:rsidRPr="00242B8E">
          <w:rPr>
            <w:rStyle w:val="Hyperlink"/>
          </w:rPr>
          <w:t>Forum mondial des politiques de télécommunication</w:t>
        </w:r>
      </w:hyperlink>
      <w:r w:rsidR="0037710C" w:rsidRPr="00242B8E">
        <w:t xml:space="preserve"> (FMPT) </w:t>
      </w:r>
      <w:r w:rsidR="004A1C5D" w:rsidRPr="00242B8E">
        <w:t>tenu</w:t>
      </w:r>
      <w:r w:rsidR="0037710C" w:rsidRPr="00242B8E">
        <w:t xml:space="preserve"> à Genève en octobre 1996, 129 </w:t>
      </w:r>
      <w:proofErr w:type="spellStart"/>
      <w:r w:rsidRPr="00242B8E">
        <w:t>E</w:t>
      </w:r>
      <w:r w:rsidR="0037710C" w:rsidRPr="00242B8E">
        <w:t>tats</w:t>
      </w:r>
      <w:proofErr w:type="spellEnd"/>
      <w:r w:rsidR="0037710C" w:rsidRPr="00242B8E">
        <w:t xml:space="preserve"> Membres et 70 Membres de Secteur de l</w:t>
      </w:r>
      <w:r w:rsidRPr="00242B8E">
        <w:t>'</w:t>
      </w:r>
      <w:r w:rsidR="0037710C" w:rsidRPr="00242B8E">
        <w:t>UIT ont examiné les questions de politique et de réglementation relatives à</w:t>
      </w:r>
      <w:r w:rsidRPr="00242B8E">
        <w:t xml:space="preserve"> </w:t>
      </w:r>
      <w:r w:rsidR="0037710C" w:rsidRPr="00242B8E">
        <w:rPr>
          <w:color w:val="000000"/>
        </w:rPr>
        <w:t xml:space="preserve">la mise en </w:t>
      </w:r>
      <w:r w:rsidRPr="00242B8E">
        <w:rPr>
          <w:color w:val="000000"/>
        </w:rPr>
        <w:t>oe</w:t>
      </w:r>
      <w:r w:rsidR="0037710C" w:rsidRPr="00242B8E">
        <w:rPr>
          <w:color w:val="000000"/>
        </w:rPr>
        <w:t>uvre à bref délai des services GMPCS</w:t>
      </w:r>
      <w:bookmarkEnd w:id="15"/>
      <w:r w:rsidR="00D77A0C">
        <w:rPr>
          <w:color w:val="000000"/>
        </w:rPr>
        <w:t>.</w:t>
      </w:r>
      <w:r w:rsidRPr="00242B8E">
        <w:t xml:space="preserve"> </w:t>
      </w:r>
      <w:bookmarkStart w:id="16" w:name="lt_pId024"/>
      <w:r w:rsidR="0037710C" w:rsidRPr="00242B8E">
        <w:t xml:space="preserve">Le FMPT a formulé cinq </w:t>
      </w:r>
      <w:r w:rsidR="004A1C5D" w:rsidRPr="00242B8E">
        <w:t>A</w:t>
      </w:r>
      <w:r w:rsidR="0037710C" w:rsidRPr="00242B8E">
        <w:t xml:space="preserve">vis sur les principes et enjeux </w:t>
      </w:r>
      <w:r w:rsidR="004A1C5D" w:rsidRPr="00242B8E">
        <w:t>relatifs à</w:t>
      </w:r>
      <w:r w:rsidR="0037710C" w:rsidRPr="00242B8E">
        <w:t xml:space="preserve"> la mise en </w:t>
      </w:r>
      <w:r w:rsidRPr="00242B8E">
        <w:t>oe</w:t>
      </w:r>
      <w:r w:rsidR="0037710C" w:rsidRPr="00242B8E">
        <w:t>uvre des services</w:t>
      </w:r>
      <w:r w:rsidRPr="00242B8E">
        <w:t xml:space="preserve"> </w:t>
      </w:r>
      <w:r w:rsidR="0037710C" w:rsidRPr="00242B8E">
        <w:t>GMPCS</w:t>
      </w:r>
      <w:bookmarkEnd w:id="16"/>
      <w:r w:rsidR="004A1C5D" w:rsidRPr="00242B8E">
        <w:t>.</w:t>
      </w:r>
    </w:p>
    <w:p w:rsidR="0037710C" w:rsidRPr="00242B8E" w:rsidRDefault="004A1C5D" w:rsidP="004A1C5D">
      <w:bookmarkStart w:id="17" w:name="lt_pId025"/>
      <w:r w:rsidRPr="00242B8E">
        <w:rPr>
          <w:color w:val="000000"/>
        </w:rPr>
        <w:t xml:space="preserve">Dans l'Avis </w:t>
      </w:r>
      <w:r w:rsidR="00D77A0C" w:rsidRPr="00242B8E">
        <w:rPr>
          <w:color w:val="000000"/>
        </w:rPr>
        <w:t>N</w:t>
      </w:r>
      <w:r w:rsidRPr="00242B8E">
        <w:rPr>
          <w:color w:val="000000"/>
        </w:rPr>
        <w:t>° </w:t>
      </w:r>
      <w:r w:rsidR="0037710C" w:rsidRPr="00242B8E">
        <w:rPr>
          <w:color w:val="000000"/>
        </w:rPr>
        <w:t>2,</w:t>
      </w:r>
      <w:r w:rsidR="00746566" w:rsidRPr="00242B8E">
        <w:rPr>
          <w:color w:val="000000"/>
        </w:rPr>
        <w:t xml:space="preserve"> </w:t>
      </w:r>
      <w:r w:rsidR="0037710C" w:rsidRPr="00242B8E">
        <w:rPr>
          <w:color w:val="000000"/>
        </w:rPr>
        <w:t xml:space="preserve">les </w:t>
      </w:r>
      <w:r w:rsidR="00D77A0C" w:rsidRPr="00242B8E">
        <w:rPr>
          <w:color w:val="000000"/>
        </w:rPr>
        <w:t>A</w:t>
      </w:r>
      <w:r w:rsidR="0037710C" w:rsidRPr="00242B8E">
        <w:rPr>
          <w:color w:val="000000"/>
        </w:rPr>
        <w:t xml:space="preserve">dministrations étaient invitées à faciliter la mise en </w:t>
      </w:r>
      <w:r w:rsidR="00746566" w:rsidRPr="00242B8E">
        <w:rPr>
          <w:color w:val="000000"/>
        </w:rPr>
        <w:t>oe</w:t>
      </w:r>
      <w:r w:rsidR="0037710C" w:rsidRPr="00242B8E">
        <w:rPr>
          <w:color w:val="000000"/>
        </w:rPr>
        <w:t xml:space="preserve">uvre à bref délai des services GMPCS et à coopérer au niveau international en vue d'élaborer des politiques visant à faciliter la mise en </w:t>
      </w:r>
      <w:r w:rsidR="00746566" w:rsidRPr="00242B8E">
        <w:rPr>
          <w:color w:val="000000"/>
        </w:rPr>
        <w:t>oe</w:t>
      </w:r>
      <w:r w:rsidR="0037710C" w:rsidRPr="00242B8E">
        <w:rPr>
          <w:color w:val="000000"/>
        </w:rPr>
        <w:t>uvre des GMPCS et de les harmoniser.</w:t>
      </w:r>
      <w:bookmarkEnd w:id="17"/>
      <w:r w:rsidR="0037710C" w:rsidRPr="00242B8E">
        <w:t xml:space="preserve"> </w:t>
      </w:r>
    </w:p>
    <w:p w:rsidR="00746566" w:rsidRPr="00242B8E" w:rsidRDefault="0037710C" w:rsidP="004A1C5D">
      <w:pPr>
        <w:keepLines/>
        <w:rPr>
          <w:color w:val="000000"/>
        </w:rPr>
      </w:pPr>
      <w:bookmarkStart w:id="18" w:name="lt_pId026"/>
      <w:r w:rsidRPr="00242B8E">
        <w:rPr>
          <w:color w:val="000000"/>
        </w:rPr>
        <w:lastRenderedPageBreak/>
        <w:t xml:space="preserve">Conformément à l'Avis </w:t>
      </w:r>
      <w:r w:rsidR="00D77A0C" w:rsidRPr="00242B8E">
        <w:rPr>
          <w:color w:val="000000"/>
        </w:rPr>
        <w:t>N</w:t>
      </w:r>
      <w:r w:rsidR="004A1C5D" w:rsidRPr="00242B8E">
        <w:rPr>
          <w:color w:val="000000"/>
        </w:rPr>
        <w:t>° </w:t>
      </w:r>
      <w:r w:rsidRPr="00242B8E">
        <w:rPr>
          <w:color w:val="000000"/>
        </w:rPr>
        <w:t xml:space="preserve">4, </w:t>
      </w:r>
      <w:r w:rsidR="004A1C5D" w:rsidRPr="00242B8E">
        <w:rPr>
          <w:color w:val="000000"/>
        </w:rPr>
        <w:t>il a été reconnu qu'</w:t>
      </w:r>
      <w:r w:rsidRPr="00242B8E">
        <w:rPr>
          <w:color w:val="000000"/>
        </w:rPr>
        <w:t xml:space="preserve">étant donné que certains systèmes GMPCS fonctionnaient déjà et que d'autres seraient mis en service dès 1998, des mesures devaient être prises d'urgence en vue de faciliter la circulation à l'échelle mondiale et l'itinérance transfrontalière des terminaux. Par ailleurs, il était reconnu dans l'Avis </w:t>
      </w:r>
      <w:r w:rsidR="00D77A0C" w:rsidRPr="00242B8E">
        <w:rPr>
          <w:color w:val="000000"/>
        </w:rPr>
        <w:t>N</w:t>
      </w:r>
      <w:r w:rsidR="004A1C5D" w:rsidRPr="00242B8E">
        <w:rPr>
          <w:color w:val="000000"/>
        </w:rPr>
        <w:t>° </w:t>
      </w:r>
      <w:r w:rsidRPr="00242B8E">
        <w:rPr>
          <w:color w:val="000000"/>
        </w:rPr>
        <w:t xml:space="preserve">4 que la mise en </w:t>
      </w:r>
      <w:r w:rsidR="00746566" w:rsidRPr="00242B8E">
        <w:rPr>
          <w:color w:val="000000"/>
        </w:rPr>
        <w:t>oe</w:t>
      </w:r>
      <w:r w:rsidRPr="00242B8E">
        <w:rPr>
          <w:color w:val="000000"/>
        </w:rPr>
        <w:t>uvre rapide des services GMPCS serait facilitée par l'élaboration concertée d'un Mémorandum d'accord sur les GMPCS</w:t>
      </w:r>
      <w:r w:rsidR="000158AE" w:rsidRPr="00242B8E">
        <w:rPr>
          <w:color w:val="000000"/>
        </w:rPr>
        <w:t xml:space="preserve"> (GMPCS</w:t>
      </w:r>
      <w:r w:rsidR="000158AE" w:rsidRPr="00242B8E">
        <w:rPr>
          <w:color w:val="000000"/>
        </w:rPr>
        <w:noBreakHyphen/>
      </w:r>
      <w:proofErr w:type="spellStart"/>
      <w:r w:rsidR="000158AE" w:rsidRPr="00242B8E">
        <w:rPr>
          <w:color w:val="000000"/>
        </w:rPr>
        <w:t>MoU</w:t>
      </w:r>
      <w:proofErr w:type="spellEnd"/>
      <w:r w:rsidR="000158AE" w:rsidRPr="00242B8E">
        <w:rPr>
          <w:color w:val="000000"/>
        </w:rPr>
        <w:t>)</w:t>
      </w:r>
      <w:r w:rsidR="00242B8E" w:rsidRPr="00242B8E">
        <w:rPr>
          <w:color w:val="000000"/>
        </w:rPr>
        <w:t>, qui</w:t>
      </w:r>
      <w:r w:rsidRPr="00242B8E">
        <w:rPr>
          <w:color w:val="000000"/>
        </w:rPr>
        <w:t xml:space="preserve"> servirait de cadre aux arrangements visant à faciliter la circulation à l'échelle mondiale et l'itinérance transfrontalière des terminaux GMPCS.</w:t>
      </w:r>
      <w:bookmarkEnd w:id="18"/>
      <w:r w:rsidRPr="00242B8E">
        <w:rPr>
          <w:color w:val="000000"/>
        </w:rPr>
        <w:t xml:space="preserve"> </w:t>
      </w:r>
      <w:bookmarkStart w:id="19" w:name="lt_pId028"/>
    </w:p>
    <w:p w:rsidR="0037710C" w:rsidRPr="00242B8E" w:rsidRDefault="0037710C" w:rsidP="009A101D">
      <w:r w:rsidRPr="00242B8E">
        <w:t>Après le</w:t>
      </w:r>
      <w:r w:rsidR="00746566" w:rsidRPr="00242B8E">
        <w:t xml:space="preserve"> </w:t>
      </w:r>
      <w:r w:rsidRPr="00242B8E">
        <w:t>FMPT</w:t>
      </w:r>
      <w:r w:rsidR="00746566" w:rsidRPr="00242B8E">
        <w:t>,</w:t>
      </w:r>
      <w:r w:rsidRPr="00242B8E">
        <w:t xml:space="preserve"> le Secrétaire général de l</w:t>
      </w:r>
      <w:r w:rsidR="00746566" w:rsidRPr="00242B8E">
        <w:t>'</w:t>
      </w:r>
      <w:r w:rsidRPr="00242B8E">
        <w:t>UIT a convoqué</w:t>
      </w:r>
      <w:r w:rsidR="00746566" w:rsidRPr="00242B8E">
        <w:t xml:space="preserve"> </w:t>
      </w:r>
      <w:r w:rsidRPr="00242B8E">
        <w:rPr>
          <w:color w:val="000000"/>
        </w:rPr>
        <w:t xml:space="preserve">un Groupe informel comprenant des </w:t>
      </w:r>
      <w:r w:rsidR="000158AE" w:rsidRPr="00242B8E">
        <w:rPr>
          <w:color w:val="000000"/>
        </w:rPr>
        <w:t>a</w:t>
      </w:r>
      <w:r w:rsidRPr="00242B8E">
        <w:rPr>
          <w:color w:val="000000"/>
        </w:rPr>
        <w:t>dministra</w:t>
      </w:r>
      <w:r w:rsidR="000158AE" w:rsidRPr="00242B8E">
        <w:rPr>
          <w:color w:val="000000"/>
        </w:rPr>
        <w:t>tions ainsi que</w:t>
      </w:r>
      <w:r w:rsidRPr="00242B8E">
        <w:rPr>
          <w:color w:val="000000"/>
        </w:rPr>
        <w:t xml:space="preserve"> des opérateurs, des fournisseurs de services et des constructeurs de terminaux GMPCS</w:t>
      </w:r>
      <w:r w:rsidR="000158AE" w:rsidRPr="00242B8E">
        <w:rPr>
          <w:color w:val="000000"/>
        </w:rPr>
        <w:t>.</w:t>
      </w:r>
      <w:r w:rsidRPr="00242B8E">
        <w:t xml:space="preserve"> </w:t>
      </w:r>
      <w:bookmarkEnd w:id="19"/>
      <w:r w:rsidRPr="00242B8E">
        <w:t>En collaboration et avec l</w:t>
      </w:r>
      <w:r w:rsidR="00746566" w:rsidRPr="00242B8E">
        <w:t>'</w:t>
      </w:r>
      <w:r w:rsidRPr="00242B8E">
        <w:t>appui du Secrétariat général de l</w:t>
      </w:r>
      <w:r w:rsidR="00746566" w:rsidRPr="00242B8E">
        <w:t>'</w:t>
      </w:r>
      <w:r w:rsidR="000158AE" w:rsidRPr="00242B8E">
        <w:t>UIT, c</w:t>
      </w:r>
      <w:r w:rsidRPr="00242B8E">
        <w:t>e Groupe</w:t>
      </w:r>
      <w:bookmarkStart w:id="20" w:name="lt_pId029"/>
      <w:r w:rsidR="00746566" w:rsidRPr="00242B8E">
        <w:t xml:space="preserve"> </w:t>
      </w:r>
      <w:r w:rsidRPr="00242B8E">
        <w:rPr>
          <w:color w:val="000000"/>
        </w:rPr>
        <w:t xml:space="preserve">a établi la version définitive du </w:t>
      </w:r>
      <w:hyperlink r:id="rId11" w:history="1">
        <w:r w:rsidRPr="00242B8E">
          <w:rPr>
            <w:rStyle w:val="Hyperlink"/>
          </w:rPr>
          <w:t>Mémorandum d'accord sur les GMPCS</w:t>
        </w:r>
      </w:hyperlink>
      <w:r w:rsidR="00746566" w:rsidRPr="00242B8E">
        <w:rPr>
          <w:color w:val="000000"/>
        </w:rPr>
        <w:t>,</w:t>
      </w:r>
      <w:r w:rsidRPr="00242B8E">
        <w:rPr>
          <w:color w:val="000000"/>
        </w:rPr>
        <w:t xml:space="preserve"> puis a adopté les </w:t>
      </w:r>
      <w:hyperlink r:id="rId12" w:history="1">
        <w:r w:rsidR="00FB649C" w:rsidRPr="00242B8E">
          <w:rPr>
            <w:rStyle w:val="Hyperlink"/>
          </w:rPr>
          <w:t>A</w:t>
        </w:r>
        <w:r w:rsidRPr="00242B8E">
          <w:rPr>
            <w:rStyle w:val="Hyperlink"/>
          </w:rPr>
          <w:t>rrangements relatifs</w:t>
        </w:r>
        <w:r w:rsidR="00FB649C" w:rsidRPr="00242B8E">
          <w:rPr>
            <w:rStyle w:val="Hyperlink"/>
          </w:rPr>
          <w:t xml:space="preserve"> à ce Mémorandum d'accord</w:t>
        </w:r>
      </w:hyperlink>
      <w:r w:rsidRPr="00242B8E">
        <w:rPr>
          <w:color w:val="000000"/>
        </w:rPr>
        <w:t>.</w:t>
      </w:r>
      <w:bookmarkEnd w:id="20"/>
      <w:r w:rsidR="00746566" w:rsidRPr="00242B8E">
        <w:t xml:space="preserve"> </w:t>
      </w:r>
      <w:bookmarkStart w:id="21" w:name="lt_pId030"/>
      <w:r w:rsidRPr="00242B8E">
        <w:t xml:space="preserve">Ces </w:t>
      </w:r>
      <w:r w:rsidR="00FB649C" w:rsidRPr="00242B8E">
        <w:t>A</w:t>
      </w:r>
      <w:r w:rsidRPr="00242B8E">
        <w:t>rrangements fournissent un cadre pour l</w:t>
      </w:r>
      <w:r w:rsidR="00746566" w:rsidRPr="00242B8E">
        <w:t>'</w:t>
      </w:r>
      <w:r w:rsidR="00FB649C" w:rsidRPr="00242B8E">
        <w:t>homologation, un</w:t>
      </w:r>
      <w:r w:rsidRPr="00242B8E">
        <w:t xml:space="preserve"> </w:t>
      </w:r>
      <w:r w:rsidRPr="00242B8E">
        <w:rPr>
          <w:color w:val="000000"/>
        </w:rPr>
        <w:t>régime d'octroi de licences simplifié,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identification (</w:t>
      </w:r>
      <w:r w:rsidR="008857BA">
        <w:rPr>
          <w:color w:val="000000"/>
        </w:rPr>
        <w:t xml:space="preserve">le </w:t>
      </w:r>
      <w:r w:rsidRPr="00242B8E">
        <w:rPr>
          <w:color w:val="000000"/>
        </w:rPr>
        <w:t>marquage),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accès aux données sur le trafic et les recommandations douanières concernant la libre circulation des terminaux GMPCS</w:t>
      </w:r>
      <w:r w:rsidR="00746566" w:rsidRPr="00242B8E">
        <w:t>.</w:t>
      </w:r>
      <w:bookmarkEnd w:id="21"/>
      <w:r w:rsidRPr="00242B8E">
        <w:t xml:space="preserve"> Enfin, le Groupe a approuvé les procédures applicables à la mise en </w:t>
      </w:r>
      <w:r w:rsidR="00746566" w:rsidRPr="00242B8E">
        <w:t>oe</w:t>
      </w:r>
      <w:r w:rsidRPr="00242B8E">
        <w:t xml:space="preserve">uvre des </w:t>
      </w:r>
      <w:r w:rsidR="00D77A0C" w:rsidRPr="00242B8E">
        <w:t>A</w:t>
      </w:r>
      <w:r w:rsidRPr="00242B8E">
        <w:t>rrangements relatifs au</w:t>
      </w:r>
      <w:r w:rsidRPr="00242B8E">
        <w:rPr>
          <w:color w:val="000000"/>
        </w:rPr>
        <w:t xml:space="preserve"> Mémorandum d'accord sur les</w:t>
      </w:r>
      <w:r w:rsidR="00746566" w:rsidRPr="00242B8E">
        <w:rPr>
          <w:color w:val="000000"/>
        </w:rPr>
        <w:t xml:space="preserve"> </w:t>
      </w:r>
      <w:bookmarkStart w:id="22" w:name="lt_pId031"/>
      <w:r w:rsidRPr="00242B8E">
        <w:t>GMPCS</w:t>
      </w:r>
      <w:bookmarkEnd w:id="22"/>
      <w:r w:rsidR="00746566" w:rsidRPr="00242B8E">
        <w:t>.</w:t>
      </w:r>
      <w:r w:rsidRPr="00242B8E">
        <w:t xml:space="preserve"> Ces procédures comprennent principalement des procédures de notification et de mise en </w:t>
      </w:r>
      <w:r w:rsidR="00746566" w:rsidRPr="00242B8E">
        <w:t>oe</w:t>
      </w:r>
      <w:r w:rsidRPr="00242B8E">
        <w:t>uvre ainsi qu</w:t>
      </w:r>
      <w:r w:rsidR="00746566" w:rsidRPr="00242B8E">
        <w:t>'</w:t>
      </w:r>
      <w:r w:rsidRPr="00242B8E">
        <w:t>une décision relative</w:t>
      </w:r>
      <w:r w:rsidR="00746566" w:rsidRPr="00242B8E">
        <w:t xml:space="preserve"> </w:t>
      </w:r>
      <w:bookmarkStart w:id="23" w:name="lt_pId032"/>
      <w:r w:rsidR="00347C08" w:rsidRPr="00242B8E">
        <w:rPr>
          <w:color w:val="000000"/>
        </w:rPr>
        <w:t>au label «GMPCS</w:t>
      </w:r>
      <w:r w:rsidR="00347C08" w:rsidRPr="00242B8E">
        <w:rPr>
          <w:color w:val="000000"/>
        </w:rPr>
        <w:noBreakHyphen/>
      </w:r>
      <w:proofErr w:type="spellStart"/>
      <w:r w:rsidRPr="00242B8E">
        <w:rPr>
          <w:color w:val="000000"/>
        </w:rPr>
        <w:t>MoU</w:t>
      </w:r>
      <w:proofErr w:type="spellEnd"/>
      <w:r w:rsidRPr="00242B8E">
        <w:rPr>
          <w:color w:val="000000"/>
        </w:rPr>
        <w:t>»</w:t>
      </w:r>
      <w:bookmarkEnd w:id="23"/>
      <w:r w:rsidR="00746566" w:rsidRPr="00242B8E">
        <w:rPr>
          <w:color w:val="000000"/>
        </w:rPr>
        <w:t>.</w:t>
      </w:r>
      <w:r w:rsidRPr="00242B8E">
        <w:t xml:space="preserve"> Depuis lors, les </w:t>
      </w:r>
      <w:r w:rsidR="009A101D" w:rsidRPr="00242B8E">
        <w:t>A</w:t>
      </w:r>
      <w:r w:rsidRPr="00242B8E">
        <w:t>rrangements et les</w:t>
      </w:r>
      <w:r w:rsidR="00746566" w:rsidRPr="00242B8E">
        <w:t xml:space="preserve"> </w:t>
      </w:r>
      <w:r w:rsidR="009A101D" w:rsidRPr="00242B8E">
        <w:t>P</w:t>
      </w:r>
      <w:r w:rsidRPr="00242B8E">
        <w:t>rocédures ont été modifiés le 7</w:t>
      </w:r>
      <w:r w:rsidR="009A101D" w:rsidRPr="00242B8E">
        <w:t> </w:t>
      </w:r>
      <w:r w:rsidRPr="00242B8E">
        <w:t>juin</w:t>
      </w:r>
      <w:r w:rsidR="009A101D" w:rsidRPr="00242B8E">
        <w:t> </w:t>
      </w:r>
      <w:r w:rsidRPr="00242B8E">
        <w:t>2003</w:t>
      </w:r>
      <w:r w:rsidR="00746566" w:rsidRPr="00242B8E">
        <w:t>.</w:t>
      </w:r>
    </w:p>
    <w:p w:rsidR="0037710C" w:rsidRPr="00242B8E" w:rsidRDefault="0037710C" w:rsidP="00D77A0C">
      <w:bookmarkStart w:id="24" w:name="lt_pId034"/>
      <w:r w:rsidRPr="00242B8E">
        <w:t>En mai 1998, le Conseil de l</w:t>
      </w:r>
      <w:r w:rsidR="00746566" w:rsidRPr="00242B8E">
        <w:t>'</w:t>
      </w:r>
      <w:r w:rsidRPr="00242B8E">
        <w:t xml:space="preserve">UIT a adopté la </w:t>
      </w:r>
      <w:hyperlink r:id="rId13" w:history="1">
        <w:r w:rsidRPr="00242B8E">
          <w:rPr>
            <w:rStyle w:val="Hyperlink"/>
          </w:rPr>
          <w:t>Résolution 1116</w:t>
        </w:r>
      </w:hyperlink>
      <w:r w:rsidRPr="00242B8E">
        <w:t>,</w:t>
      </w:r>
      <w:r w:rsidR="00746566" w:rsidRPr="00242B8E">
        <w:t xml:space="preserve"> </w:t>
      </w:r>
      <w:r w:rsidRPr="00242B8E">
        <w:rPr>
          <w:color w:val="000000"/>
        </w:rPr>
        <w:t>par laquelle il a autorisé le Secrétaire général de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UIT à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 xml:space="preserve">faire office de dépositaire du Mémorandum d'accord sur les GMPCS </w:t>
      </w:r>
      <w:r w:rsidRPr="00242B8E">
        <w:t xml:space="preserve">ainsi que </w:t>
      </w:r>
      <w:r w:rsidRPr="00242B8E">
        <w:rPr>
          <w:color w:val="000000"/>
        </w:rPr>
        <w:t>l'utilisation du sigle «UIT» dans le label «GMPCS-</w:t>
      </w:r>
      <w:proofErr w:type="spellStart"/>
      <w:r w:rsidRPr="00242B8E">
        <w:rPr>
          <w:color w:val="000000"/>
        </w:rPr>
        <w:t>MoU</w:t>
      </w:r>
      <w:proofErr w:type="spellEnd"/>
      <w:r w:rsidRPr="00242B8E">
        <w:rPr>
          <w:color w:val="000000"/>
        </w:rPr>
        <w:t>», afin de faciliter la libre circulation des terminaux</w:t>
      </w:r>
      <w:r w:rsidR="00746566" w:rsidRPr="00242B8E">
        <w:t xml:space="preserve"> </w:t>
      </w:r>
      <w:r w:rsidRPr="00242B8E">
        <w:t>GMPCS</w:t>
      </w:r>
      <w:bookmarkEnd w:id="24"/>
      <w:r w:rsidR="009A101D" w:rsidRPr="00242B8E">
        <w:t>.</w:t>
      </w:r>
      <w:r w:rsidR="00746566" w:rsidRPr="00242B8E">
        <w:t xml:space="preserve"> </w:t>
      </w:r>
      <w:r w:rsidRPr="00242B8E">
        <w:t>Le Secrétariat général de l</w:t>
      </w:r>
      <w:r w:rsidR="00746566" w:rsidRPr="00242B8E">
        <w:t>'</w:t>
      </w:r>
      <w:r w:rsidRPr="00242B8E">
        <w:t>UIT met à disposition la</w:t>
      </w:r>
      <w:r w:rsidR="00746566" w:rsidRPr="00242B8E">
        <w:t xml:space="preserve"> </w:t>
      </w:r>
      <w:bookmarkStart w:id="25" w:name="lt_pId035"/>
      <w:r w:rsidRPr="00242B8E">
        <w:rPr>
          <w:color w:val="000000"/>
        </w:rPr>
        <w:t xml:space="preserve">liste des </w:t>
      </w:r>
      <w:hyperlink r:id="rId14" w:history="1">
        <w:r w:rsidR="00E90CBA" w:rsidRPr="00242B8E">
          <w:rPr>
            <w:rStyle w:val="Hyperlink"/>
          </w:rPr>
          <w:t>S</w:t>
        </w:r>
        <w:r w:rsidRPr="00242B8E">
          <w:rPr>
            <w:rStyle w:val="Hyperlink"/>
          </w:rPr>
          <w:t>ignataires du Mémorandum d'accord sur les GMPCS</w:t>
        </w:r>
      </w:hyperlink>
      <w:r w:rsidR="00746566" w:rsidRPr="00242B8E">
        <w:rPr>
          <w:color w:val="000000"/>
        </w:rPr>
        <w:t>,</w:t>
      </w:r>
      <w:r w:rsidRPr="00242B8E">
        <w:t xml:space="preserve"> y compris des </w:t>
      </w:r>
      <w:hyperlink r:id="rId15" w:history="1">
        <w:r w:rsidR="00D77A0C" w:rsidRPr="00242B8E">
          <w:rPr>
            <w:rStyle w:val="Hyperlink"/>
          </w:rPr>
          <w:t>A</w:t>
        </w:r>
        <w:r w:rsidRPr="00242B8E">
          <w:rPr>
            <w:rStyle w:val="Hyperlink"/>
          </w:rPr>
          <w:t>dministrations</w:t>
        </w:r>
      </w:hyperlink>
      <w:r w:rsidRPr="00242B8E">
        <w:t xml:space="preserve"> (</w:t>
      </w:r>
      <w:proofErr w:type="spellStart"/>
      <w:r w:rsidR="00746566" w:rsidRPr="00242B8E">
        <w:t>E</w:t>
      </w:r>
      <w:r w:rsidRPr="00242B8E">
        <w:t>tats</w:t>
      </w:r>
      <w:proofErr w:type="spellEnd"/>
      <w:r w:rsidRPr="00242B8E">
        <w:t xml:space="preserve"> Membres de l</w:t>
      </w:r>
      <w:r w:rsidR="00746566" w:rsidRPr="00242B8E">
        <w:t>'</w:t>
      </w:r>
      <w:r w:rsidRPr="00242B8E">
        <w:t>UIT).</w:t>
      </w:r>
      <w:bookmarkEnd w:id="25"/>
      <w:r w:rsidR="00746566" w:rsidRPr="00242B8E">
        <w:t xml:space="preserve"> </w:t>
      </w:r>
      <w:r w:rsidRPr="00242B8E">
        <w:t>En outre, il</w:t>
      </w:r>
      <w:r w:rsidR="00746566" w:rsidRPr="00242B8E">
        <w:t xml:space="preserve"> </w:t>
      </w:r>
      <w:r w:rsidRPr="00242B8E">
        <w:t xml:space="preserve">tient à jour le </w:t>
      </w:r>
      <w:hyperlink r:id="rId16" w:history="1">
        <w:r w:rsidRPr="00242B8E">
          <w:rPr>
            <w:rStyle w:val="Hyperlink"/>
          </w:rPr>
          <w:t>registre des lettres d</w:t>
        </w:r>
        <w:r w:rsidR="00746566" w:rsidRPr="00242B8E">
          <w:rPr>
            <w:rStyle w:val="Hyperlink"/>
          </w:rPr>
          <w:t>'</w:t>
        </w:r>
        <w:r w:rsidRPr="00242B8E">
          <w:rPr>
            <w:rStyle w:val="Hyperlink"/>
          </w:rPr>
          <w:t>homologation</w:t>
        </w:r>
      </w:hyperlink>
      <w:r w:rsidRPr="00242B8E">
        <w:t xml:space="preserve"> utilisées </w:t>
      </w:r>
      <w:r w:rsidR="008857BA">
        <w:t>par</w:t>
      </w:r>
      <w:r w:rsidRPr="00242B8E">
        <w:t xml:space="preserve"> les </w:t>
      </w:r>
      <w:r w:rsidR="00D77A0C" w:rsidRPr="00242B8E">
        <w:t>A</w:t>
      </w:r>
      <w:r w:rsidRPr="00242B8E">
        <w:t>dministrations et</w:t>
      </w:r>
      <w:r w:rsidR="009A101D" w:rsidRPr="00242B8E">
        <w:t xml:space="preserve">/ou les </w:t>
      </w:r>
      <w:r w:rsidR="00D77A0C" w:rsidRPr="00242B8E">
        <w:t>A</w:t>
      </w:r>
      <w:r w:rsidRPr="00242B8E">
        <w:t>utorités compétentes</w:t>
      </w:r>
      <w:r w:rsidR="00746566" w:rsidRPr="00242B8E">
        <w:t xml:space="preserve"> </w:t>
      </w:r>
      <w:bookmarkStart w:id="26" w:name="lt_pId036"/>
      <w:r w:rsidRPr="00242B8E">
        <w:t>(</w:t>
      </w:r>
      <w:r w:rsidR="009A101D" w:rsidRPr="00242B8E">
        <w:t>t</w:t>
      </w:r>
      <w:r w:rsidRPr="00242B8E">
        <w:t>oute organisation ayant compétence pour les questions réglementaires traitées dans les Arrangements</w:t>
      </w:r>
      <w:r w:rsidR="00746566" w:rsidRPr="00242B8E">
        <w:t>)</w:t>
      </w:r>
      <w:r w:rsidRPr="00242B8E">
        <w:t xml:space="preserve"> </w:t>
      </w:r>
      <w:r w:rsidR="009A101D" w:rsidRPr="00242B8E">
        <w:t xml:space="preserve">pour l'homologation des terminaux qui </w:t>
      </w:r>
      <w:r w:rsidRPr="00242B8E">
        <w:t xml:space="preserve">auront </w:t>
      </w:r>
      <w:r w:rsidR="009A101D" w:rsidRPr="00242B8E">
        <w:t xml:space="preserve">été </w:t>
      </w:r>
      <w:r w:rsidRPr="00242B8E">
        <w:t>notifié</w:t>
      </w:r>
      <w:r w:rsidR="009A101D" w:rsidRPr="00242B8E">
        <w:t>s</w:t>
      </w:r>
      <w:r w:rsidRPr="00242B8E">
        <w:t xml:space="preserve"> à l</w:t>
      </w:r>
      <w:r w:rsidR="00746566" w:rsidRPr="00242B8E">
        <w:t>'</w:t>
      </w:r>
      <w:r w:rsidRPr="00242B8E">
        <w:t xml:space="preserve">UIT </w:t>
      </w:r>
      <w:r w:rsidR="008857BA">
        <w:t>et le</w:t>
      </w:r>
      <w:r w:rsidRPr="00242B8E">
        <w:t xml:space="preserve"> registre des types de terminaux, une fois que les administrations et/ou les Autorités compétentes auront notifié à l</w:t>
      </w:r>
      <w:r w:rsidR="00746566" w:rsidRPr="00242B8E">
        <w:t>'</w:t>
      </w:r>
      <w:r w:rsidRPr="00242B8E">
        <w:t>UIT que leurs terminaux ont été homologués.</w:t>
      </w:r>
      <w:bookmarkStart w:id="27" w:name="lt_pId037"/>
      <w:bookmarkEnd w:id="26"/>
      <w:r w:rsidRPr="00242B8E">
        <w:t xml:space="preserve"> Le Secrétariat général de l</w:t>
      </w:r>
      <w:r w:rsidR="00746566" w:rsidRPr="00242B8E">
        <w:t>'</w:t>
      </w:r>
      <w:r w:rsidRPr="00242B8E">
        <w:t xml:space="preserve">UIT fournit des renseignements actualisés sur la mise en </w:t>
      </w:r>
      <w:r w:rsidR="00746566" w:rsidRPr="00242B8E">
        <w:t>oe</w:t>
      </w:r>
      <w:r w:rsidRPr="00242B8E">
        <w:t xml:space="preserve">uvre des </w:t>
      </w:r>
      <w:r w:rsidR="009A101D" w:rsidRPr="00242B8E">
        <w:t>A</w:t>
      </w:r>
      <w:r w:rsidRPr="00242B8E">
        <w:t>rrangements relatifs au</w:t>
      </w:r>
      <w:r w:rsidR="00746566" w:rsidRPr="00242B8E">
        <w:t xml:space="preserve"> </w:t>
      </w:r>
      <w:r w:rsidRPr="00242B8E">
        <w:t>Mémorandum</w:t>
      </w:r>
      <w:r w:rsidR="00746566" w:rsidRPr="00242B8E">
        <w:t xml:space="preserve"> </w:t>
      </w:r>
      <w:r w:rsidRPr="00242B8E">
        <w:t>d</w:t>
      </w:r>
      <w:r w:rsidR="00746566" w:rsidRPr="00242B8E">
        <w:t>'</w:t>
      </w:r>
      <w:r w:rsidRPr="00242B8E">
        <w:t>accord sur les</w:t>
      </w:r>
      <w:bookmarkStart w:id="28" w:name="lt_pId038"/>
      <w:bookmarkEnd w:id="27"/>
      <w:r w:rsidR="009A101D" w:rsidRPr="00242B8E">
        <w:t xml:space="preserve"> GMPCS</w:t>
      </w:r>
      <w:r w:rsidRPr="00242B8E">
        <w:t>. Ces renseignements comprennent</w:t>
      </w:r>
      <w:r w:rsidR="00347C08" w:rsidRPr="00242B8E">
        <w:t>:</w:t>
      </w:r>
      <w:bookmarkEnd w:id="28"/>
      <w:r w:rsidR="00746566" w:rsidRPr="00242B8E">
        <w:t xml:space="preserve"> </w:t>
      </w:r>
    </w:p>
    <w:p w:rsidR="0037710C" w:rsidRPr="00242B8E" w:rsidRDefault="00347C08" w:rsidP="00347C08">
      <w:pPr>
        <w:pStyle w:val="enumlev1"/>
      </w:pPr>
      <w:bookmarkStart w:id="29" w:name="lt_pId039"/>
      <w:r w:rsidRPr="00242B8E">
        <w:t>•</w:t>
      </w:r>
      <w:r w:rsidRPr="00242B8E">
        <w:tab/>
      </w:r>
      <w:r w:rsidR="0037710C" w:rsidRPr="00242B8E">
        <w:t xml:space="preserve">une liste des entités appliquant </w:t>
      </w:r>
      <w:r w:rsidR="0037710C" w:rsidRPr="00242B8E">
        <w:rPr>
          <w:color w:val="000000"/>
        </w:rPr>
        <w:t>tout ou partie des Arrangements</w:t>
      </w:r>
      <w:r w:rsidR="0037710C" w:rsidRPr="00242B8E">
        <w:t>;</w:t>
      </w:r>
      <w:bookmarkEnd w:id="29"/>
      <w:r w:rsidR="00746566" w:rsidRPr="00242B8E">
        <w:t xml:space="preserve"> </w:t>
      </w:r>
    </w:p>
    <w:p w:rsidR="0037710C" w:rsidRPr="00242B8E" w:rsidRDefault="00347C08" w:rsidP="00347C08">
      <w:pPr>
        <w:pStyle w:val="enumlev1"/>
      </w:pPr>
      <w:bookmarkStart w:id="30" w:name="lt_pId040"/>
      <w:r w:rsidRPr="00242B8E">
        <w:t>•</w:t>
      </w:r>
      <w:r w:rsidRPr="00242B8E">
        <w:tab/>
      </w:r>
      <w:r w:rsidR="0037710C" w:rsidRPr="00242B8E">
        <w:t xml:space="preserve">une liste des systèmes GMPCS </w:t>
      </w:r>
      <w:r w:rsidR="0037710C" w:rsidRPr="00242B8E">
        <w:rPr>
          <w:color w:val="000000"/>
        </w:rPr>
        <w:t>agréés</w:t>
      </w:r>
      <w:r w:rsidR="0037710C" w:rsidRPr="00242B8E">
        <w:t xml:space="preserve"> dans chaque pays</w:t>
      </w:r>
      <w:r w:rsidR="00746566" w:rsidRPr="00242B8E">
        <w:t>;</w:t>
      </w:r>
      <w:bookmarkEnd w:id="30"/>
      <w:r w:rsidR="00746566" w:rsidRPr="00242B8E">
        <w:t xml:space="preserve"> </w:t>
      </w:r>
    </w:p>
    <w:p w:rsidR="0037710C" w:rsidRPr="00242B8E" w:rsidRDefault="00347C08" w:rsidP="00347C08">
      <w:pPr>
        <w:pStyle w:val="enumlev1"/>
      </w:pPr>
      <w:bookmarkStart w:id="31" w:name="lt_pId041"/>
      <w:r w:rsidRPr="00242B8E">
        <w:t>•</w:t>
      </w:r>
      <w:r w:rsidRPr="00242B8E">
        <w:tab/>
      </w:r>
      <w:r w:rsidR="0037710C" w:rsidRPr="00242B8E">
        <w:t>une liste des</w:t>
      </w:r>
      <w:r w:rsidR="00746566" w:rsidRPr="00242B8E">
        <w:t xml:space="preserve"> </w:t>
      </w:r>
      <w:hyperlink r:id="rId17" w:history="1">
        <w:r w:rsidR="0037710C" w:rsidRPr="00242B8E">
          <w:rPr>
            <w:rStyle w:val="Hyperlink"/>
          </w:rPr>
          <w:t>terminaux GM</w:t>
        </w:r>
        <w:r w:rsidRPr="00242B8E">
          <w:rPr>
            <w:rStyle w:val="Hyperlink"/>
          </w:rPr>
          <w:t>PCS enregistrés auprès de l'UIT</w:t>
        </w:r>
      </w:hyperlink>
      <w:r w:rsidR="00746566" w:rsidRPr="00242B8E">
        <w:rPr>
          <w:color w:val="000000"/>
        </w:rPr>
        <w:t>,</w:t>
      </w:r>
      <w:r w:rsidR="0037710C" w:rsidRPr="00242B8E">
        <w:rPr>
          <w:color w:val="000000"/>
        </w:rPr>
        <w:t xml:space="preserve"> avec indication </w:t>
      </w:r>
      <w:r w:rsidR="0037710C" w:rsidRPr="00242B8E">
        <w:t>de leur statut dans chaque pays.</w:t>
      </w:r>
      <w:bookmarkEnd w:id="31"/>
    </w:p>
    <w:p w:rsidR="0037710C" w:rsidRPr="00242B8E" w:rsidRDefault="0037710C" w:rsidP="0037710C">
      <w:pPr>
        <w:pStyle w:val="Heading1"/>
      </w:pPr>
      <w:bookmarkStart w:id="32" w:name="lt_pId042"/>
      <w:bookmarkStart w:id="33" w:name="_Toc225584398"/>
      <w:r w:rsidRPr="00242B8E">
        <w:t>3</w:t>
      </w:r>
      <w:bookmarkEnd w:id="32"/>
      <w:r w:rsidRPr="00242B8E">
        <w:tab/>
      </w:r>
      <w:bookmarkEnd w:id="33"/>
      <w:r w:rsidRPr="00242B8E">
        <w:t>Homologation</w:t>
      </w:r>
      <w:r w:rsidR="00746566" w:rsidRPr="00242B8E">
        <w:t xml:space="preserve"> </w:t>
      </w:r>
      <w:r w:rsidRPr="00242B8E">
        <w:t>des terminaux</w:t>
      </w:r>
    </w:p>
    <w:p w:rsidR="0037710C" w:rsidRPr="008857BA" w:rsidRDefault="0037710C" w:rsidP="0037710C">
      <w:pPr>
        <w:rPr>
          <w:color w:val="000000"/>
        </w:rPr>
      </w:pPr>
      <w:bookmarkStart w:id="34" w:name="lt_pId044"/>
      <w:r w:rsidRPr="00242B8E">
        <w:rPr>
          <w:color w:val="000000"/>
        </w:rPr>
        <w:t>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homologation est le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processus qui permet d'évaluer la conformité des terminaux GMPCS aux prescriptions techniques réglementaires. Ces prescriptions techniques sont surtout destinées à faire en sorte que les terminaux GMPCS ne nuisent pas aux réseaux, aux utilisateurs des GMPCS, à d'autres utilisateurs ou à d'autres équipements. Différentes procédures (allant de l'essai obligatoire en présence des parties intéressées à une déclaration du constructeur) peuvent exister</w:t>
      </w:r>
      <w:bookmarkEnd w:id="34"/>
      <w:r w:rsidR="008857BA">
        <w:rPr>
          <w:color w:val="000000"/>
        </w:rPr>
        <w:t>.</w:t>
      </w:r>
      <w:r w:rsidR="00746566" w:rsidRPr="008857BA">
        <w:rPr>
          <w:color w:val="000000"/>
        </w:rPr>
        <w:t xml:space="preserve"> </w:t>
      </w:r>
    </w:p>
    <w:p w:rsidR="0037710C" w:rsidRPr="00242B8E" w:rsidRDefault="0037710C" w:rsidP="0037710C">
      <w:bookmarkStart w:id="35" w:name="lt_pId047"/>
      <w:r w:rsidRPr="00242B8E">
        <w:rPr>
          <w:color w:val="000000"/>
        </w:rPr>
        <w:t>Les terminaux GMPCS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doivent satisfaire aux prescriptions suivantes (ci-après dénommées «principales prescriptions»):</w:t>
      </w:r>
      <w:bookmarkEnd w:id="35"/>
      <w:r w:rsidR="00746566" w:rsidRPr="00242B8E">
        <w:rPr>
          <w:color w:val="000000"/>
        </w:rPr>
        <w:t xml:space="preserve"> </w:t>
      </w:r>
    </w:p>
    <w:p w:rsidR="0037710C" w:rsidRPr="00242B8E" w:rsidRDefault="0046120E" w:rsidP="0046120E">
      <w:pPr>
        <w:pStyle w:val="enumlev1"/>
      </w:pPr>
      <w:bookmarkStart w:id="36" w:name="lt_pId048"/>
      <w:r w:rsidRPr="00242B8E">
        <w:t>i)</w:t>
      </w:r>
      <w:r w:rsidRPr="00242B8E">
        <w:tab/>
        <w:t>s</w:t>
      </w:r>
      <w:r w:rsidR="0037710C" w:rsidRPr="00242B8E">
        <w:t>écurité</w:t>
      </w:r>
      <w:r w:rsidR="00746566" w:rsidRPr="00242B8E">
        <w:t>;</w:t>
      </w:r>
      <w:bookmarkEnd w:id="36"/>
    </w:p>
    <w:p w:rsidR="0037710C" w:rsidRPr="00242B8E" w:rsidRDefault="0046120E" w:rsidP="0046120E">
      <w:pPr>
        <w:pStyle w:val="enumlev1"/>
      </w:pPr>
      <w:bookmarkStart w:id="37" w:name="lt_pId050"/>
      <w:r w:rsidRPr="00242B8E">
        <w:rPr>
          <w:color w:val="000000"/>
        </w:rPr>
        <w:t>ii)</w:t>
      </w:r>
      <w:r w:rsidRPr="00242B8E">
        <w:rPr>
          <w:color w:val="000000"/>
        </w:rPr>
        <w:tab/>
        <w:t>c</w:t>
      </w:r>
      <w:r w:rsidR="0037710C" w:rsidRPr="00242B8E">
        <w:rPr>
          <w:color w:val="000000"/>
        </w:rPr>
        <w:t xml:space="preserve">ompatibilité électromagnétique (CEM); </w:t>
      </w:r>
      <w:bookmarkEnd w:id="37"/>
      <w:r w:rsidR="0037710C" w:rsidRPr="00242B8E">
        <w:t xml:space="preserve">et </w:t>
      </w:r>
    </w:p>
    <w:p w:rsidR="0037710C" w:rsidRPr="00242B8E" w:rsidRDefault="0046120E" w:rsidP="0046120E">
      <w:pPr>
        <w:pStyle w:val="enumlev1"/>
      </w:pPr>
      <w:bookmarkStart w:id="38" w:name="lt_pId051"/>
      <w:r w:rsidRPr="00242B8E">
        <w:rPr>
          <w:color w:val="000000"/>
        </w:rPr>
        <w:lastRenderedPageBreak/>
        <w:t>iii)</w:t>
      </w:r>
      <w:r w:rsidRPr="00242B8E">
        <w:rPr>
          <w:color w:val="000000"/>
        </w:rPr>
        <w:tab/>
        <w:t>u</w:t>
      </w:r>
      <w:r w:rsidR="0037710C" w:rsidRPr="00242B8E">
        <w:rPr>
          <w:color w:val="000000"/>
        </w:rPr>
        <w:t>tilisation efficace des ressources orbites/spectre, y compris l'examen des aspects liés aux</w:t>
      </w:r>
      <w:r w:rsidR="00746566" w:rsidRPr="00242B8E">
        <w:rPr>
          <w:color w:val="000000"/>
        </w:rPr>
        <w:t xml:space="preserve"> </w:t>
      </w:r>
      <w:r w:rsidR="0037710C" w:rsidRPr="00242B8E">
        <w:rPr>
          <w:color w:val="000000"/>
        </w:rPr>
        <w:t xml:space="preserve">perturbations </w:t>
      </w:r>
      <w:r w:rsidR="0037710C" w:rsidRPr="00242B8E">
        <w:t>électromagnétiques</w:t>
      </w:r>
      <w:r w:rsidR="00746566" w:rsidRPr="00242B8E">
        <w:t xml:space="preserve"> </w:t>
      </w:r>
      <w:r w:rsidR="0037710C" w:rsidRPr="00242B8E">
        <w:t>(EMI)</w:t>
      </w:r>
      <w:bookmarkEnd w:id="38"/>
      <w:r w:rsidRPr="00242B8E">
        <w:t>.</w:t>
      </w:r>
    </w:p>
    <w:p w:rsidR="0037710C" w:rsidRPr="00242B8E" w:rsidRDefault="0037710C" w:rsidP="0037710C">
      <w:bookmarkStart w:id="39" w:name="lt_pId052"/>
      <w:r w:rsidRPr="00242B8E">
        <w:rPr>
          <w:color w:val="000000"/>
        </w:rPr>
        <w:t>L'observation des principales prescriptions ci-dessus peut être démontrée, à la discrétion de l'Administration et/ou de l'autorité compétente concernée, par la conformité aux Recommandations de l'UIT-R, aux normes internationales, régionales ou nationales ou aux spécifications techniques pertinentes</w:t>
      </w:r>
      <w:r w:rsidR="00746566" w:rsidRPr="00242B8E">
        <w:rPr>
          <w:color w:val="000000"/>
        </w:rPr>
        <w:t>.</w:t>
      </w:r>
      <w:bookmarkStart w:id="40" w:name="lt_pId053"/>
      <w:bookmarkEnd w:id="39"/>
      <w:r w:rsidRPr="00242B8E">
        <w:rPr>
          <w:color w:val="000000"/>
        </w:rPr>
        <w:t xml:space="preserve"> On citera par exemple la Recommandation UIT-R M.1343: </w:t>
      </w:r>
      <w:r w:rsidR="009A101D" w:rsidRPr="00242B8E">
        <w:rPr>
          <w:color w:val="000000"/>
        </w:rPr>
        <w:t>«</w:t>
      </w:r>
      <w:r w:rsidRPr="00242B8E">
        <w:rPr>
          <w:color w:val="000000"/>
        </w:rPr>
        <w:t>Caractéristiques techniques essentielles des stations terriennes mobiles des systèmes mondiaux du service mobile à satellites non géostationnaires fonctionnant dans la bande 1-3 GHz</w:t>
      </w:r>
      <w:r w:rsidR="009A101D" w:rsidRPr="00242B8E">
        <w:rPr>
          <w:color w:val="000000"/>
        </w:rPr>
        <w:t>»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et la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 xml:space="preserve">Recommandation UIT-R M.1480: </w:t>
      </w:r>
      <w:r w:rsidR="009A101D" w:rsidRPr="00242B8E">
        <w:rPr>
          <w:color w:val="000000"/>
        </w:rPr>
        <w:t>«</w:t>
      </w:r>
      <w:r w:rsidRPr="00242B8E">
        <w:rPr>
          <w:color w:val="000000"/>
        </w:rPr>
        <w:t xml:space="preserve">Caractéristiques techniques essentielles des stations terriennes mobiles des systèmes mobiles à satellites géostationnaires qui mettent en oeuvre les </w:t>
      </w:r>
      <w:r w:rsidR="009A101D" w:rsidRPr="00242B8E">
        <w:rPr>
          <w:color w:val="000000"/>
        </w:rPr>
        <w:t>A</w:t>
      </w:r>
      <w:r w:rsidRPr="00242B8E">
        <w:rPr>
          <w:color w:val="000000"/>
        </w:rPr>
        <w:t xml:space="preserve">rrangements relatifs au </w:t>
      </w:r>
      <w:r w:rsidR="009A101D" w:rsidRPr="00242B8E">
        <w:rPr>
          <w:color w:val="000000"/>
        </w:rPr>
        <w:t>M</w:t>
      </w:r>
      <w:r w:rsidRPr="00242B8E">
        <w:rPr>
          <w:color w:val="000000"/>
        </w:rPr>
        <w:t>émorandum d'accord sur les communications personnelles mobiles mondiales par satellite (GMPCS) dans des parties de la bande de fréquences entre 1 et 3 GHz</w:t>
      </w:r>
      <w:bookmarkEnd w:id="40"/>
      <w:r w:rsidR="009A101D" w:rsidRPr="00242B8E">
        <w:rPr>
          <w:color w:val="000000"/>
        </w:rPr>
        <w:t>»</w:t>
      </w:r>
      <w:r w:rsidR="00746566" w:rsidRPr="00242B8E">
        <w:rPr>
          <w:color w:val="000000"/>
        </w:rPr>
        <w:t xml:space="preserve">. </w:t>
      </w:r>
    </w:p>
    <w:p w:rsidR="0037710C" w:rsidRPr="00242B8E" w:rsidRDefault="0037710C" w:rsidP="0037710C">
      <w:pPr>
        <w:pStyle w:val="Heading1"/>
      </w:pPr>
      <w:bookmarkStart w:id="41" w:name="lt_pId054"/>
      <w:bookmarkStart w:id="42" w:name="_Toc225584399"/>
      <w:r w:rsidRPr="00242B8E">
        <w:t>4</w:t>
      </w:r>
      <w:bookmarkEnd w:id="41"/>
      <w:r w:rsidRPr="00242B8E">
        <w:tab/>
      </w:r>
      <w:bookmarkStart w:id="43" w:name="lt_pId055"/>
      <w:r w:rsidR="00966A6E" w:rsidRPr="00242B8E">
        <w:rPr>
          <w:color w:val="000000"/>
        </w:rPr>
        <w:t>Octroi de licences pour l</w:t>
      </w:r>
      <w:r w:rsidRPr="00242B8E">
        <w:rPr>
          <w:color w:val="000000"/>
        </w:rPr>
        <w:t>'exploitation</w:t>
      </w:r>
      <w:r w:rsidRPr="00242B8E">
        <w:t xml:space="preserve"> </w:t>
      </w:r>
      <w:bookmarkEnd w:id="42"/>
      <w:bookmarkEnd w:id="43"/>
      <w:r w:rsidRPr="00242B8E">
        <w:t>des terminaux</w:t>
      </w:r>
    </w:p>
    <w:p w:rsidR="0037710C" w:rsidRPr="00242B8E" w:rsidRDefault="00B0745A" w:rsidP="0037710C">
      <w:pPr>
        <w:rPr>
          <w:color w:val="000000"/>
        </w:rPr>
      </w:pPr>
      <w:bookmarkStart w:id="44" w:name="lt_pId056"/>
      <w:r>
        <w:rPr>
          <w:color w:val="000000"/>
        </w:rPr>
        <w:t xml:space="preserve">Il est recommandé aux </w:t>
      </w:r>
      <w:r w:rsidR="00D77A0C">
        <w:rPr>
          <w:color w:val="000000"/>
        </w:rPr>
        <w:t>A</w:t>
      </w:r>
      <w:r w:rsidR="0037710C" w:rsidRPr="00242B8E">
        <w:rPr>
          <w:color w:val="000000"/>
        </w:rPr>
        <w:t xml:space="preserve">dministrations et/ou aux </w:t>
      </w:r>
      <w:r w:rsidR="00D77A0C" w:rsidRPr="00242B8E">
        <w:rPr>
          <w:color w:val="000000"/>
        </w:rPr>
        <w:t>A</w:t>
      </w:r>
      <w:r w:rsidR="0037710C" w:rsidRPr="00242B8E">
        <w:rPr>
          <w:color w:val="000000"/>
        </w:rPr>
        <w:t>utorités compétentes qui auront appliqué les</w:t>
      </w:r>
      <w:r w:rsidR="00746566" w:rsidRPr="00242B8E">
        <w:rPr>
          <w:color w:val="000000"/>
        </w:rPr>
        <w:t xml:space="preserve"> </w:t>
      </w:r>
      <w:r w:rsidR="0037710C" w:rsidRPr="00242B8E">
        <w:rPr>
          <w:color w:val="000000"/>
        </w:rPr>
        <w:t xml:space="preserve">Arrangements de ne pas demander de licences individuelles pour les terminaux GMPCS, à condition: </w:t>
      </w:r>
    </w:p>
    <w:p w:rsidR="0037710C" w:rsidRPr="00242B8E" w:rsidRDefault="0037710C" w:rsidP="00966A6E">
      <w:pPr>
        <w:pStyle w:val="enumlev1"/>
      </w:pPr>
      <w:r w:rsidRPr="00242B8E">
        <w:t>a)</w:t>
      </w:r>
      <w:r w:rsidR="00746566" w:rsidRPr="00242B8E">
        <w:tab/>
      </w:r>
      <w:r w:rsidRPr="00242B8E">
        <w:t>que ces terminaux fonctionnent dans les bandes de fréquences que l</w:t>
      </w:r>
      <w:r w:rsidR="00746566" w:rsidRPr="00242B8E">
        <w:t>'</w:t>
      </w:r>
      <w:r w:rsidR="00D77A0C" w:rsidRPr="00242B8E">
        <w:t>A</w:t>
      </w:r>
      <w:r w:rsidRPr="00242B8E">
        <w:t>dministration</w:t>
      </w:r>
      <w:r w:rsidR="00746566" w:rsidRPr="00242B8E">
        <w:t xml:space="preserve"> </w:t>
      </w:r>
      <w:r w:rsidRPr="00242B8E">
        <w:t>et/ou l</w:t>
      </w:r>
      <w:r w:rsidR="00746566" w:rsidRPr="00242B8E">
        <w:t>'</w:t>
      </w:r>
      <w:r w:rsidR="00D77A0C" w:rsidRPr="00242B8E">
        <w:t>A</w:t>
      </w:r>
      <w:r w:rsidRPr="00242B8E">
        <w:t>utorité</w:t>
      </w:r>
      <w:r w:rsidR="00746566" w:rsidRPr="00242B8E">
        <w:t xml:space="preserve"> </w:t>
      </w:r>
      <w:r w:rsidRPr="00242B8E">
        <w:t>compétente en question aur</w:t>
      </w:r>
      <w:r w:rsidR="00966A6E" w:rsidRPr="00242B8E">
        <w:t>a</w:t>
      </w:r>
      <w:r w:rsidRPr="00242B8E">
        <w:t xml:space="preserve"> prévues à cet effet;</w:t>
      </w:r>
    </w:p>
    <w:p w:rsidR="0037710C" w:rsidRPr="00242B8E" w:rsidRDefault="00746566" w:rsidP="00746566">
      <w:pPr>
        <w:pStyle w:val="enumlev1"/>
      </w:pPr>
      <w:r w:rsidRPr="00242B8E">
        <w:t>b)</w:t>
      </w:r>
      <w:r w:rsidRPr="00242B8E">
        <w:tab/>
      </w:r>
      <w:r w:rsidR="0037710C" w:rsidRPr="00242B8E">
        <w:t xml:space="preserve">que le service GMPCS dans lequel fonctionnent les terminaux </w:t>
      </w:r>
      <w:r w:rsidR="00966A6E" w:rsidRPr="00242B8E">
        <w:t xml:space="preserve">GMPCS </w:t>
      </w:r>
      <w:r w:rsidR="0037710C" w:rsidRPr="00242B8E">
        <w:t>ait été autorisé</w:t>
      </w:r>
      <w:r w:rsidR="00966A6E" w:rsidRPr="00242B8E">
        <w:t>, le cas échéant,</w:t>
      </w:r>
      <w:r w:rsidR="0037710C" w:rsidRPr="00242B8E">
        <w:t xml:space="preserve"> en vertu des législations et/ou des réglementations nationales;</w:t>
      </w:r>
    </w:p>
    <w:p w:rsidR="0037710C" w:rsidRPr="00242B8E" w:rsidRDefault="00746566" w:rsidP="00746566">
      <w:pPr>
        <w:pStyle w:val="enumlev1"/>
      </w:pPr>
      <w:r w:rsidRPr="00242B8E">
        <w:t>c)</w:t>
      </w:r>
      <w:r w:rsidRPr="00242B8E">
        <w:tab/>
      </w:r>
      <w:r w:rsidR="0037710C" w:rsidRPr="00242B8E">
        <w:t xml:space="preserve">que les transmissions des terminaux GMPCS soient du ressort opérationnel de l'opérateur du système </w:t>
      </w:r>
      <w:r w:rsidR="00966A6E" w:rsidRPr="00242B8E">
        <w:t xml:space="preserve">GMPCS </w:t>
      </w:r>
      <w:r w:rsidR="0037710C" w:rsidRPr="00242B8E">
        <w:t xml:space="preserve">ou du fournisseur de services GMPCS; </w:t>
      </w:r>
    </w:p>
    <w:p w:rsidR="0037710C" w:rsidRPr="00242B8E" w:rsidRDefault="0037710C" w:rsidP="00746566">
      <w:pPr>
        <w:pStyle w:val="enumlev1"/>
      </w:pPr>
      <w:r w:rsidRPr="00242B8E">
        <w:t>d)</w:t>
      </w:r>
      <w:r w:rsidR="00746566" w:rsidRPr="00242B8E">
        <w:tab/>
      </w:r>
      <w:r w:rsidRPr="00242B8E">
        <w:t>que les terminaux GMPCS soient conformes aux principales prescriptions indiquées dans les</w:t>
      </w:r>
      <w:r w:rsidR="00746566" w:rsidRPr="00242B8E">
        <w:t xml:space="preserve"> </w:t>
      </w:r>
      <w:r w:rsidRPr="00242B8E">
        <w:t xml:space="preserve">Arrangements; et </w:t>
      </w:r>
    </w:p>
    <w:p w:rsidR="0037710C" w:rsidRPr="00242B8E" w:rsidRDefault="00746566" w:rsidP="00746566">
      <w:pPr>
        <w:pStyle w:val="enumlev1"/>
      </w:pPr>
      <w:r w:rsidRPr="00242B8E">
        <w:t>e)</w:t>
      </w:r>
      <w:r w:rsidRPr="00242B8E">
        <w:tab/>
      </w:r>
      <w:r w:rsidR="0037710C" w:rsidRPr="00242B8E">
        <w:t>que les mesures nécessaires soient prises pour éviter les brouillages préjudiciables entre services.</w:t>
      </w:r>
      <w:bookmarkEnd w:id="44"/>
      <w:r w:rsidRPr="00242B8E">
        <w:rPr>
          <w:highlight w:val="yellow"/>
        </w:rPr>
        <w:t xml:space="preserve"> </w:t>
      </w:r>
    </w:p>
    <w:p w:rsidR="0037710C" w:rsidRPr="00242B8E" w:rsidRDefault="00966A6E" w:rsidP="00966A6E">
      <w:pPr>
        <w:rPr>
          <w:b/>
          <w:bCs/>
        </w:rPr>
      </w:pPr>
      <w:bookmarkStart w:id="45" w:name="lt_pId068"/>
      <w:r w:rsidRPr="00242B8E">
        <w:rPr>
          <w:color w:val="000000"/>
        </w:rPr>
        <w:t xml:space="preserve">Il est recommandé aux </w:t>
      </w:r>
      <w:r w:rsidR="00D77A0C" w:rsidRPr="00242B8E">
        <w:rPr>
          <w:color w:val="000000"/>
        </w:rPr>
        <w:t>A</w:t>
      </w:r>
      <w:r w:rsidR="0037710C" w:rsidRPr="00242B8E">
        <w:rPr>
          <w:color w:val="000000"/>
        </w:rPr>
        <w:t xml:space="preserve">dministrations et/ou aux </w:t>
      </w:r>
      <w:r w:rsidR="00D77A0C" w:rsidRPr="00242B8E">
        <w:rPr>
          <w:color w:val="000000"/>
        </w:rPr>
        <w:t>A</w:t>
      </w:r>
      <w:r w:rsidR="0037710C" w:rsidRPr="00242B8E">
        <w:rPr>
          <w:color w:val="000000"/>
        </w:rPr>
        <w:t>utorités compétentes appliquant les</w:t>
      </w:r>
      <w:r w:rsidR="00746566" w:rsidRPr="00242B8E">
        <w:rPr>
          <w:color w:val="000000"/>
        </w:rPr>
        <w:t xml:space="preserve"> </w:t>
      </w:r>
      <w:r w:rsidR="0037710C" w:rsidRPr="00242B8E">
        <w:rPr>
          <w:color w:val="000000"/>
        </w:rPr>
        <w:t>Arrangements d'autoriser la circulation et l'utilisation des terminaux GMPCS, monomode (</w:t>
      </w:r>
      <w:r w:rsidRPr="00242B8E">
        <w:rPr>
          <w:color w:val="000000"/>
        </w:rPr>
        <w:t>t</w:t>
      </w:r>
      <w:r w:rsidR="0037710C" w:rsidRPr="00242B8E">
        <w:rPr>
          <w:color w:val="000000"/>
        </w:rPr>
        <w:t>erminal ne pouvant fonctionner qu'avec un seul système GMPCS) ou multimode (</w:t>
      </w:r>
      <w:r w:rsidRPr="00242B8E">
        <w:rPr>
          <w:color w:val="000000"/>
        </w:rPr>
        <w:t>t</w:t>
      </w:r>
      <w:r w:rsidR="0037710C" w:rsidRPr="00242B8E">
        <w:rPr>
          <w:color w:val="000000"/>
        </w:rPr>
        <w:t>erminal pouvant fonctionner avec un système GMPCS ainsi qu'avec un ou plusieurs autres systèmes GMPCS ou systèmes mobiles de Terre), à condition qu'il ait été démontré que ces terminaux répondent aux prescriptions essentielles énoncées dans les</w:t>
      </w:r>
      <w:r w:rsidR="00746566" w:rsidRPr="00242B8E">
        <w:rPr>
          <w:color w:val="000000"/>
        </w:rPr>
        <w:t xml:space="preserve"> </w:t>
      </w:r>
      <w:r w:rsidR="0037710C" w:rsidRPr="00242B8E">
        <w:rPr>
          <w:color w:val="000000"/>
        </w:rPr>
        <w:t xml:space="preserve">Arrangements, ce que peut attester la présence du label </w:t>
      </w:r>
      <w:r w:rsidR="00746566" w:rsidRPr="00242B8E">
        <w:rPr>
          <w:color w:val="000000"/>
        </w:rPr>
        <w:t>«</w:t>
      </w:r>
      <w:r w:rsidR="0037710C" w:rsidRPr="00242B8E">
        <w:rPr>
          <w:color w:val="000000"/>
        </w:rPr>
        <w:t>GMPCS-</w:t>
      </w:r>
      <w:proofErr w:type="spellStart"/>
      <w:r w:rsidR="0037710C" w:rsidRPr="00242B8E">
        <w:rPr>
          <w:color w:val="000000"/>
        </w:rPr>
        <w:t>MoU</w:t>
      </w:r>
      <w:proofErr w:type="spellEnd"/>
      <w:r w:rsidR="0037710C" w:rsidRPr="00242B8E">
        <w:rPr>
          <w:color w:val="000000"/>
        </w:rPr>
        <w:t>» ou d'un autre signe distinctif reconnu</w:t>
      </w:r>
      <w:bookmarkEnd w:id="45"/>
      <w:r w:rsidR="00746566" w:rsidRPr="00242B8E">
        <w:t>.</w:t>
      </w:r>
    </w:p>
    <w:p w:rsidR="0037710C" w:rsidRPr="00242B8E" w:rsidRDefault="0037710C" w:rsidP="0037710C">
      <w:pPr>
        <w:pStyle w:val="Heading1"/>
        <w:rPr>
          <w:bCs/>
          <w:highlight w:val="cyan"/>
        </w:rPr>
      </w:pPr>
      <w:bookmarkStart w:id="46" w:name="lt_pId069"/>
      <w:bookmarkStart w:id="47" w:name="_Toc225584400"/>
      <w:r w:rsidRPr="00242B8E">
        <w:t>5</w:t>
      </w:r>
      <w:bookmarkEnd w:id="46"/>
      <w:r w:rsidRPr="00242B8E">
        <w:tab/>
      </w:r>
      <w:bookmarkStart w:id="48" w:name="lt_pId071"/>
      <w:bookmarkEnd w:id="47"/>
      <w:r w:rsidRPr="00242B8E">
        <w:rPr>
          <w:color w:val="000000"/>
        </w:rPr>
        <w:t xml:space="preserve">Label </w:t>
      </w:r>
      <w:r w:rsidR="005350EE" w:rsidRPr="00242B8E">
        <w:rPr>
          <w:color w:val="000000"/>
        </w:rPr>
        <w:t>«</w:t>
      </w:r>
      <w:r w:rsidR="00FD4555" w:rsidRPr="00242B8E">
        <w:rPr>
          <w:color w:val="000000"/>
        </w:rPr>
        <w:t>GMPCS-</w:t>
      </w:r>
      <w:proofErr w:type="spellStart"/>
      <w:r w:rsidRPr="00242B8E">
        <w:rPr>
          <w:color w:val="000000"/>
        </w:rPr>
        <w:t>MoU</w:t>
      </w:r>
      <w:proofErr w:type="spellEnd"/>
      <w:r w:rsidR="005350EE" w:rsidRPr="00242B8E">
        <w:rPr>
          <w:color w:val="000000"/>
        </w:rPr>
        <w:t>»</w:t>
      </w:r>
      <w:r w:rsidRPr="00242B8E">
        <w:rPr>
          <w:bCs/>
          <w:highlight w:val="cyan"/>
        </w:rPr>
        <w:t xml:space="preserve"> </w:t>
      </w:r>
    </w:p>
    <w:p w:rsidR="0037710C" w:rsidRPr="00242B8E" w:rsidRDefault="0037710C" w:rsidP="00FD4555">
      <w:pPr>
        <w:rPr>
          <w:highlight w:val="yellow"/>
        </w:rPr>
      </w:pPr>
      <w:r w:rsidRPr="00242B8E">
        <w:t xml:space="preserve">Le label </w:t>
      </w:r>
      <w:r w:rsidR="00FD4555" w:rsidRPr="00242B8E">
        <w:t>«</w:t>
      </w:r>
      <w:r w:rsidRPr="00242B8E">
        <w:t>GMPCS</w:t>
      </w:r>
      <w:r w:rsidR="00FD4555" w:rsidRPr="00242B8E">
        <w:t>-</w:t>
      </w:r>
      <w:proofErr w:type="spellStart"/>
      <w:r w:rsidRPr="00242B8E">
        <w:t>MoU</w:t>
      </w:r>
      <w:proofErr w:type="spellEnd"/>
      <w:r w:rsidR="00FD4555" w:rsidRPr="00242B8E">
        <w:t>»</w:t>
      </w:r>
      <w:r w:rsidRPr="00242B8E">
        <w:t xml:space="preserve"> est un</w:t>
      </w:r>
      <w:r w:rsidR="00746566" w:rsidRPr="00242B8E">
        <w:t xml:space="preserve"> </w:t>
      </w:r>
      <w:r w:rsidRPr="00242B8E">
        <w:t>label établi d'un commun accord par les Signataires du Mémorandum d'accord sur les GMPCS, pouvant être apposé aux terminaux GMPCS conformes aux</w:t>
      </w:r>
      <w:r w:rsidR="00746566" w:rsidRPr="00242B8E">
        <w:t xml:space="preserve"> </w:t>
      </w:r>
      <w:r w:rsidRPr="00242B8E">
        <w:t>Arrangements.</w:t>
      </w:r>
      <w:bookmarkStart w:id="49" w:name="lt_pId072"/>
      <w:bookmarkEnd w:id="48"/>
      <w:r w:rsidRPr="00242B8E">
        <w:t xml:space="preserve"> Le marquage des terminaux GMPCS est déterminant pour faciliter la c</w:t>
      </w:r>
      <w:r w:rsidR="00DB5423" w:rsidRPr="00242B8E">
        <w:t>irculation de ces terminaux par-</w:t>
      </w:r>
      <w:r w:rsidRPr="00242B8E">
        <w:t xml:space="preserve">delà des frontières nationales et donc assurer un service GMPCS transparent et fiable à tous les utilisateurs finals. L'utilisation du label </w:t>
      </w:r>
      <w:r w:rsidR="00FD4555" w:rsidRPr="00242B8E">
        <w:t>«</w:t>
      </w:r>
      <w:r w:rsidRPr="00242B8E">
        <w:t>GMPCS-</w:t>
      </w:r>
      <w:proofErr w:type="spellStart"/>
      <w:r w:rsidRPr="00242B8E">
        <w:t>MoU</w:t>
      </w:r>
      <w:proofErr w:type="spellEnd"/>
      <w:r w:rsidR="00FD4555" w:rsidRPr="00242B8E">
        <w:t>»</w:t>
      </w:r>
      <w:r w:rsidRPr="00242B8E">
        <w:t xml:space="preserve"> n'implique aucunement une homologation globale, y compris par l'UIT.</w:t>
      </w:r>
    </w:p>
    <w:bookmarkEnd w:id="49"/>
    <w:p w:rsidR="0037710C" w:rsidRPr="00242B8E" w:rsidRDefault="0037710C" w:rsidP="00FD4555">
      <w:r w:rsidRPr="00242B8E">
        <w:t xml:space="preserve">Le label </w:t>
      </w:r>
      <w:r w:rsidR="00D77A0C">
        <w:t>«</w:t>
      </w:r>
      <w:r w:rsidRPr="00242B8E">
        <w:t>GMPCS-</w:t>
      </w:r>
      <w:proofErr w:type="spellStart"/>
      <w:r w:rsidRPr="00242B8E">
        <w:t>MoU</w:t>
      </w:r>
      <w:proofErr w:type="spellEnd"/>
      <w:r w:rsidR="00D77A0C">
        <w:t>»</w:t>
      </w:r>
      <w:r w:rsidRPr="00242B8E">
        <w:t xml:space="preserve"> est composé du texte suivant (en anglais </w:t>
      </w:r>
      <w:r w:rsidR="005350EE" w:rsidRPr="00242B8E">
        <w:t>uniquement): les lettres «GMPCS</w:t>
      </w:r>
      <w:r w:rsidR="005350EE" w:rsidRPr="00242B8E">
        <w:noBreakHyphen/>
      </w:r>
      <w:proofErr w:type="spellStart"/>
      <w:r w:rsidRPr="00242B8E">
        <w:t>MoU</w:t>
      </w:r>
      <w:proofErr w:type="spellEnd"/>
      <w:r w:rsidRPr="00242B8E">
        <w:t>», suivies du sigle «ITU», lui-même suivi du mot «</w:t>
      </w:r>
      <w:proofErr w:type="spellStart"/>
      <w:r w:rsidRPr="00242B8E">
        <w:t>Registry</w:t>
      </w:r>
      <w:proofErr w:type="spellEnd"/>
      <w:r w:rsidRPr="00242B8E">
        <w:t xml:space="preserve">». Le format de ce label </w:t>
      </w:r>
      <w:r w:rsidR="00FD4555" w:rsidRPr="00242B8E">
        <w:t>a été</w:t>
      </w:r>
      <w:r w:rsidRPr="00242B8E">
        <w:t xml:space="preserve"> déterminé par le Secrétaire général de l'UIT en concertation avec les représentants des Signataires</w:t>
      </w:r>
      <w:r w:rsidR="00D77A0C">
        <w:t xml:space="preserve"> (voir la </w:t>
      </w:r>
      <w:r w:rsidR="00D77A0C" w:rsidRPr="00D77A0C">
        <w:rPr>
          <w:b/>
          <w:bCs/>
        </w:rPr>
        <w:t>Figure 1</w:t>
      </w:r>
      <w:r w:rsidR="00D77A0C">
        <w:t>)</w:t>
      </w:r>
      <w:r w:rsidRPr="00242B8E">
        <w:t xml:space="preserve">. L'UIT a protégé le sigle «ITU» dans le cadre de la Convention de </w:t>
      </w:r>
      <w:r w:rsidRPr="00242B8E">
        <w:lastRenderedPageBreak/>
        <w:t>Paris et doit donc autoriser son utilisation dan</w:t>
      </w:r>
      <w:r w:rsidR="00FD4555" w:rsidRPr="00242B8E">
        <w:t xml:space="preserve">s le label </w:t>
      </w:r>
      <w:r w:rsidR="00D77A0C">
        <w:t>«</w:t>
      </w:r>
      <w:r w:rsidR="00FD4555" w:rsidRPr="00242B8E">
        <w:t>GMPCS-</w:t>
      </w:r>
      <w:proofErr w:type="spellStart"/>
      <w:r w:rsidR="00FD4555" w:rsidRPr="00242B8E">
        <w:t>MoU</w:t>
      </w:r>
      <w:proofErr w:type="spellEnd"/>
      <w:r w:rsidR="00D77A0C">
        <w:t>»</w:t>
      </w:r>
      <w:r w:rsidR="00FD4555" w:rsidRPr="00242B8E">
        <w:t>. On a élaboré</w:t>
      </w:r>
      <w:r w:rsidRPr="00242B8E">
        <w:t xml:space="preserve"> et adopt</w:t>
      </w:r>
      <w:r w:rsidR="00FD4555" w:rsidRPr="00242B8E">
        <w:t>é</w:t>
      </w:r>
      <w:r w:rsidRPr="00242B8E">
        <w:t xml:space="preserve"> des </w:t>
      </w:r>
      <w:r w:rsidR="00FD4555" w:rsidRPr="00242B8E">
        <w:t xml:space="preserve">accords </w:t>
      </w:r>
      <w:r w:rsidRPr="00242B8E">
        <w:t xml:space="preserve">permettant de garantir l'approbation et la compréhension </w:t>
      </w:r>
      <w:r w:rsidR="00FD4555" w:rsidRPr="00242B8E">
        <w:t xml:space="preserve">par les opérateurs et les constructeurs </w:t>
      </w:r>
      <w:r w:rsidRPr="00242B8E">
        <w:t xml:space="preserve">des conditions dans lesquelles l'UIT autorisera l'utilisation de ce sigle. Ces </w:t>
      </w:r>
      <w:r w:rsidR="00FD4555" w:rsidRPr="00242B8E">
        <w:t xml:space="preserve">accords portent </w:t>
      </w:r>
      <w:r w:rsidRPr="00242B8E">
        <w:t>sur les droits, obligations et responsabilités de toutes les parties concernées ainsi que sur un mécanisme de règlement des différends.</w:t>
      </w:r>
      <w:r w:rsidR="00746566" w:rsidRPr="00242B8E">
        <w:rPr>
          <w:rFonts w:ascii="Calibri" w:hAnsi="Calibri"/>
          <w:color w:val="800000"/>
        </w:rPr>
        <w:t xml:space="preserve"> </w:t>
      </w:r>
    </w:p>
    <w:p w:rsidR="0037710C" w:rsidRPr="00242B8E" w:rsidRDefault="0037710C" w:rsidP="00D77A0C">
      <w:pPr>
        <w:pStyle w:val="FigureNotitle"/>
      </w:pPr>
      <w:bookmarkStart w:id="50" w:name="lt_pId080"/>
      <w:bookmarkStart w:id="51" w:name="_Ref224114297"/>
      <w:r w:rsidRPr="00242B8E">
        <w:t xml:space="preserve">Figure </w:t>
      </w:r>
      <w:r w:rsidRPr="00242B8E">
        <w:fldChar w:fldCharType="begin"/>
      </w:r>
      <w:r w:rsidRPr="00242B8E">
        <w:instrText xml:space="preserve"> SEQ Figure \* ARABIC </w:instrText>
      </w:r>
      <w:r w:rsidRPr="00242B8E">
        <w:fldChar w:fldCharType="separate"/>
      </w:r>
      <w:r w:rsidR="00DA0D5C">
        <w:rPr>
          <w:noProof/>
        </w:rPr>
        <w:t>1</w:t>
      </w:r>
      <w:bookmarkEnd w:id="50"/>
      <w:r w:rsidRPr="00242B8E">
        <w:fldChar w:fldCharType="end"/>
      </w:r>
      <w:bookmarkStart w:id="52" w:name="lt_pId081"/>
      <w:bookmarkEnd w:id="51"/>
      <w:r w:rsidR="00746566" w:rsidRPr="00242B8E">
        <w:t xml:space="preserve"> – </w:t>
      </w:r>
      <w:r w:rsidRPr="00242B8E">
        <w:t xml:space="preserve">Label </w:t>
      </w:r>
      <w:r w:rsidR="00D77A0C">
        <w:t>«</w:t>
      </w:r>
      <w:r w:rsidRPr="00242B8E">
        <w:t>GMPCS-</w:t>
      </w:r>
      <w:proofErr w:type="spellStart"/>
      <w:r w:rsidRPr="00242B8E">
        <w:t>MoU</w:t>
      </w:r>
      <w:bookmarkEnd w:id="52"/>
      <w:proofErr w:type="spellEnd"/>
      <w:r w:rsidR="00D77A0C">
        <w:t>»</w:t>
      </w:r>
    </w:p>
    <w:p w:rsidR="0037710C" w:rsidRPr="00242B8E" w:rsidRDefault="0037710C" w:rsidP="00FD4555">
      <w:pPr>
        <w:pStyle w:val="Figure"/>
      </w:pPr>
      <w:r w:rsidRPr="00242B8E">
        <w:rPr>
          <w:noProof/>
          <w:lang w:val="en-GB" w:eastAsia="zh-CN"/>
        </w:rPr>
        <w:drawing>
          <wp:inline distT="0" distB="0" distL="0" distR="0" wp14:anchorId="79FC602E" wp14:editId="6202C49D">
            <wp:extent cx="2811780" cy="242672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2" cy="24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0C" w:rsidRPr="00242B8E" w:rsidRDefault="0037710C" w:rsidP="0037710C">
      <w:pPr>
        <w:pStyle w:val="Heading1"/>
      </w:pPr>
      <w:bookmarkStart w:id="53" w:name="lt_pId082"/>
      <w:r w:rsidRPr="00242B8E">
        <w:t>6</w:t>
      </w:r>
      <w:bookmarkEnd w:id="53"/>
      <w:r w:rsidRPr="00242B8E">
        <w:tab/>
      </w:r>
      <w:bookmarkStart w:id="54" w:name="lt_pId083"/>
      <w:r w:rsidRPr="00242B8E">
        <w:t>Gestion du</w:t>
      </w:r>
      <w:r w:rsidR="00746566" w:rsidRPr="00242B8E">
        <w:t xml:space="preserve"> </w:t>
      </w:r>
      <w:bookmarkEnd w:id="54"/>
      <w:r w:rsidRPr="00242B8E">
        <w:rPr>
          <w:color w:val="000000"/>
        </w:rPr>
        <w:t>projet relatif au Mémorandum d'accord sur les GMPCS</w:t>
      </w:r>
    </w:p>
    <w:p w:rsidR="0037710C" w:rsidRPr="00242B8E" w:rsidRDefault="0037710C" w:rsidP="0037710C">
      <w:bookmarkStart w:id="55" w:name="lt_pId084"/>
      <w:r w:rsidRPr="00242B8E">
        <w:t>En mai 2011, l</w:t>
      </w:r>
      <w:r w:rsidR="00746566" w:rsidRPr="00242B8E">
        <w:t>'</w:t>
      </w:r>
      <w:r w:rsidRPr="00242B8E">
        <w:t>ancien Secrétaire général a demandé à l</w:t>
      </w:r>
      <w:r w:rsidR="00746566" w:rsidRPr="00242B8E">
        <w:t>'</w:t>
      </w:r>
      <w:r w:rsidRPr="00242B8E">
        <w:t>Unité des affaires juridiques d</w:t>
      </w:r>
      <w:r w:rsidR="00746566" w:rsidRPr="00242B8E">
        <w:t>'</w:t>
      </w:r>
      <w:r w:rsidRPr="00242B8E">
        <w:t>assumer les responsabilités de gestion concernant le projet relatif au</w:t>
      </w:r>
      <w:r w:rsidR="00746566" w:rsidRPr="00242B8E">
        <w:t xml:space="preserve"> </w:t>
      </w:r>
      <w:r w:rsidRPr="00242B8E">
        <w:t>Mémorandum</w:t>
      </w:r>
      <w:r w:rsidR="00746566" w:rsidRPr="00242B8E">
        <w:t xml:space="preserve"> </w:t>
      </w:r>
      <w:r w:rsidRPr="00242B8E">
        <w:t>d</w:t>
      </w:r>
      <w:r w:rsidR="00746566" w:rsidRPr="00242B8E">
        <w:t>'</w:t>
      </w:r>
      <w:r w:rsidRPr="00242B8E">
        <w:t xml:space="preserve">accord sur les </w:t>
      </w:r>
      <w:r w:rsidRPr="00242B8E">
        <w:rPr>
          <w:color w:val="000000"/>
        </w:rPr>
        <w:t>GMPCS,</w:t>
      </w:r>
      <w:r w:rsidR="00746566" w:rsidRPr="00242B8E">
        <w:t xml:space="preserve"> </w:t>
      </w:r>
      <w:r w:rsidRPr="00242B8E">
        <w:t>qui était auparavant confiées au Département de la planification stratégique et des relations avec les Membres.</w:t>
      </w:r>
      <w:bookmarkEnd w:id="55"/>
      <w:r w:rsidR="00746566" w:rsidRPr="00242B8E">
        <w:t xml:space="preserve"> </w:t>
      </w:r>
    </w:p>
    <w:p w:rsidR="0037710C" w:rsidRPr="00242B8E" w:rsidRDefault="0037710C" w:rsidP="00FD4555">
      <w:bookmarkStart w:id="56" w:name="lt_pId085"/>
      <w:r w:rsidRPr="00242B8E">
        <w:t>Dernièrement, l</w:t>
      </w:r>
      <w:r w:rsidR="00746566" w:rsidRPr="00242B8E">
        <w:t>'</w:t>
      </w:r>
      <w:r w:rsidRPr="00242B8E">
        <w:t>Unité des affaires juridiques</w:t>
      </w:r>
      <w:r w:rsidR="00746566" w:rsidRPr="00242B8E">
        <w:t xml:space="preserve"> </w:t>
      </w:r>
      <w:r w:rsidRPr="00242B8E">
        <w:t>a constaté que les demandes d</w:t>
      </w:r>
      <w:r w:rsidR="00746566" w:rsidRPr="00242B8E">
        <w:t>'</w:t>
      </w:r>
      <w:r w:rsidRPr="00242B8E">
        <w:t>enregistrement des terminaux</w:t>
      </w:r>
      <w:r w:rsidR="00746566" w:rsidRPr="00242B8E">
        <w:t xml:space="preserve"> </w:t>
      </w:r>
      <w:r w:rsidRPr="00242B8E">
        <w:t>GMPCS et</w:t>
      </w:r>
      <w:r w:rsidR="00746566" w:rsidRPr="00242B8E">
        <w:t xml:space="preserve"> </w:t>
      </w:r>
      <w:r w:rsidRPr="00242B8E">
        <w:t xml:space="preserve">la mise en </w:t>
      </w:r>
      <w:r w:rsidR="00746566" w:rsidRPr="00242B8E">
        <w:t>oe</w:t>
      </w:r>
      <w:r w:rsidRPr="00242B8E">
        <w:t>uvre du Mémorandum d</w:t>
      </w:r>
      <w:r w:rsidR="00746566" w:rsidRPr="00242B8E">
        <w:t>'</w:t>
      </w:r>
      <w:r w:rsidRPr="00242B8E">
        <w:t>accord sur les GMPCS donnaient lieu à un nombre croissant</w:t>
      </w:r>
      <w:r w:rsidR="00746566" w:rsidRPr="00242B8E">
        <w:t xml:space="preserve"> </w:t>
      </w:r>
      <w:r w:rsidRPr="00242B8E">
        <w:t>de questions/problèmes</w:t>
      </w:r>
      <w:r w:rsidR="00FD4555" w:rsidRPr="00242B8E">
        <w:t xml:space="preserve"> techniques</w:t>
      </w:r>
      <w:r w:rsidR="00746566" w:rsidRPr="00242B8E">
        <w:t>,</w:t>
      </w:r>
      <w:r w:rsidR="00FD4555" w:rsidRPr="00242B8E">
        <w:t xml:space="preserve"> qui nécessitaient de plus en plus </w:t>
      </w:r>
      <w:r w:rsidRPr="00242B8E">
        <w:t>des consultations techniques avec</w:t>
      </w:r>
      <w:r w:rsidR="00746566" w:rsidRPr="00242B8E">
        <w:t xml:space="preserve"> </w:t>
      </w:r>
      <w:r w:rsidRPr="00242B8E">
        <w:rPr>
          <w:color w:val="000000"/>
        </w:rPr>
        <w:t>le Département des Commissions d'études du BR (BR/SGD) pour traiter comme il se doit les demandes susmentionnées</w:t>
      </w:r>
      <w:bookmarkEnd w:id="56"/>
      <w:r w:rsidRPr="00242B8E">
        <w:rPr>
          <w:color w:val="000000"/>
        </w:rPr>
        <w:t>. En outre, il se peut que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évolution technique récente/les nouvelles technologies concernant les terminaux/systèmes à satellites influent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sur</w:t>
      </w:r>
      <w:r w:rsidR="00746566" w:rsidRPr="00242B8E">
        <w:rPr>
          <w:color w:val="000000"/>
        </w:rPr>
        <w:t xml:space="preserve"> </w:t>
      </w:r>
      <w:bookmarkStart w:id="57" w:name="lt_pId086"/>
      <w:r w:rsidRPr="00242B8E">
        <w:t>la portée et la gestion future/à l</w:t>
      </w:r>
      <w:r w:rsidR="00746566" w:rsidRPr="00242B8E">
        <w:t>'</w:t>
      </w:r>
      <w:r w:rsidRPr="00242B8E">
        <w:t>échelle mondiale du projet</w:t>
      </w:r>
      <w:r w:rsidR="00746566" w:rsidRPr="00242B8E">
        <w:t xml:space="preserve"> </w:t>
      </w:r>
      <w:r w:rsidRPr="00242B8E">
        <w:t>GMPCS</w:t>
      </w:r>
      <w:r w:rsidR="00746566" w:rsidRPr="00242B8E">
        <w:t>,</w:t>
      </w:r>
      <w:r w:rsidRPr="00242B8E">
        <w:t xml:space="preserve"> et se traduisent par un élargissemen</w:t>
      </w:r>
      <w:r w:rsidR="00FD4555" w:rsidRPr="00242B8E">
        <w:t>t possible/potentiel de sa portée/son</w:t>
      </w:r>
      <w:r w:rsidRPr="00242B8E">
        <w:t xml:space="preserve"> champ d</w:t>
      </w:r>
      <w:r w:rsidR="00746566" w:rsidRPr="00242B8E">
        <w:t>'</w:t>
      </w:r>
      <w:r w:rsidRPr="00242B8E">
        <w:t>application initial, pour qu</w:t>
      </w:r>
      <w:r w:rsidR="00746566" w:rsidRPr="00242B8E">
        <w:t>'</w:t>
      </w:r>
      <w:r w:rsidRPr="00242B8E">
        <w:t>il englobe d</w:t>
      </w:r>
      <w:r w:rsidR="00746566" w:rsidRPr="00242B8E">
        <w:t>'</w:t>
      </w:r>
      <w:r w:rsidRPr="00242B8E">
        <w:t>autres systèmes à satellites et des conditions d</w:t>
      </w:r>
      <w:r w:rsidR="00746566" w:rsidRPr="00242B8E">
        <w:t>'</w:t>
      </w:r>
      <w:r w:rsidRPr="00242B8E">
        <w:t>exploitation additionnelles.</w:t>
      </w:r>
      <w:bookmarkEnd w:id="57"/>
      <w:r w:rsidR="00746566" w:rsidRPr="00242B8E">
        <w:t xml:space="preserve"> </w:t>
      </w:r>
    </w:p>
    <w:p w:rsidR="0037710C" w:rsidRPr="00242B8E" w:rsidRDefault="0037710C" w:rsidP="00FD4555">
      <w:bookmarkStart w:id="58" w:name="lt_pId087"/>
      <w:r w:rsidRPr="00242B8E">
        <w:t>Compte tenu de ce qui précède, la gestion du projet relatif au</w:t>
      </w:r>
      <w:r w:rsidR="00746566" w:rsidRPr="00242B8E">
        <w:t xml:space="preserve"> </w:t>
      </w:r>
      <w:r w:rsidRPr="00242B8E">
        <w:t>Mémorandum</w:t>
      </w:r>
      <w:r w:rsidR="00746566" w:rsidRPr="00242B8E">
        <w:t xml:space="preserve"> </w:t>
      </w:r>
      <w:r w:rsidRPr="00242B8E">
        <w:t>d</w:t>
      </w:r>
      <w:r w:rsidR="00746566" w:rsidRPr="00242B8E">
        <w:t>'</w:t>
      </w:r>
      <w:r w:rsidRPr="00242B8E">
        <w:t>accord sur les GMPCS</w:t>
      </w:r>
      <w:r w:rsidR="00746566" w:rsidRPr="00242B8E">
        <w:t xml:space="preserve"> </w:t>
      </w:r>
      <w:r w:rsidRPr="00242B8E">
        <w:t>a été confiée au</w:t>
      </w:r>
      <w:r w:rsidR="00746566" w:rsidRPr="00242B8E">
        <w:t xml:space="preserve"> </w:t>
      </w:r>
      <w:r w:rsidRPr="00242B8E">
        <w:t>BR/SGD.</w:t>
      </w:r>
      <w:bookmarkEnd w:id="58"/>
      <w:r w:rsidRPr="00242B8E">
        <w:t xml:space="preserve"> L</w:t>
      </w:r>
      <w:r w:rsidR="00746566" w:rsidRPr="00242B8E">
        <w:t>'</w:t>
      </w:r>
      <w:r w:rsidR="00FD4555" w:rsidRPr="00242B8E">
        <w:t>U</w:t>
      </w:r>
      <w:r w:rsidRPr="00242B8E">
        <w:t xml:space="preserve">nité des affaires juridiques </w:t>
      </w:r>
      <w:r w:rsidR="00FD4555" w:rsidRPr="00242B8E">
        <w:t>se tient</w:t>
      </w:r>
      <w:r w:rsidRPr="00242B8E">
        <w:t xml:space="preserve"> à la disposition du </w:t>
      </w:r>
      <w:r w:rsidR="00FD4555" w:rsidRPr="00242B8E">
        <w:t>BR/SGD</w:t>
      </w:r>
      <w:r w:rsidRPr="00242B8E">
        <w:t xml:space="preserve"> au cas où celui-ci aurait besoin d</w:t>
      </w:r>
      <w:r w:rsidR="00746566" w:rsidRPr="00242B8E">
        <w:t>'</w:t>
      </w:r>
      <w:r w:rsidRPr="00242B8E">
        <w:t>un avis juridique</w:t>
      </w:r>
      <w:r w:rsidR="00746566" w:rsidRPr="00242B8E">
        <w:t>.</w:t>
      </w:r>
      <w:bookmarkStart w:id="59" w:name="lt_pId089"/>
      <w:r w:rsidRPr="00242B8E">
        <w:t xml:space="preserve"> Les fonctions</w:t>
      </w:r>
      <w:r w:rsidR="00746566" w:rsidRPr="00242B8E">
        <w:t xml:space="preserve"> </w:t>
      </w:r>
      <w:r w:rsidRPr="00242B8E">
        <w:t xml:space="preserve">relatives aux logiciels/à la base de données </w:t>
      </w:r>
      <w:r w:rsidR="00FD4555" w:rsidRPr="00242B8E">
        <w:t>ainsi</w:t>
      </w:r>
      <w:r w:rsidRPr="00242B8E">
        <w:t xml:space="preserve"> </w:t>
      </w:r>
      <w:r w:rsidR="00FD4555" w:rsidRPr="00242B8E">
        <w:t>qu'</w:t>
      </w:r>
      <w:r w:rsidRPr="00242B8E">
        <w:t>à l</w:t>
      </w:r>
      <w:r w:rsidR="00746566" w:rsidRPr="00242B8E">
        <w:t>'</w:t>
      </w:r>
      <w:r w:rsidRPr="00242B8E">
        <w:t>appui financier</w:t>
      </w:r>
      <w:r w:rsidR="00746566" w:rsidRPr="00242B8E">
        <w:t xml:space="preserve"> </w:t>
      </w:r>
      <w:r w:rsidRPr="00242B8E">
        <w:t>continuent d</w:t>
      </w:r>
      <w:r w:rsidR="00746566" w:rsidRPr="00242B8E">
        <w:t>'</w:t>
      </w:r>
      <w:r w:rsidRPr="00242B8E">
        <w:t>être assurées respectivement par le Département des services informatiques et le Département de la gestion des ressources financières.</w:t>
      </w:r>
      <w:bookmarkEnd w:id="59"/>
    </w:p>
    <w:p w:rsidR="0037710C" w:rsidRPr="00242B8E" w:rsidRDefault="0037710C" w:rsidP="00DB5423">
      <w:bookmarkStart w:id="60" w:name="lt_pId090"/>
      <w:r w:rsidRPr="00242B8E">
        <w:t>Les mesures à prendre pour enregistrer un nouveau type de terminal</w:t>
      </w:r>
      <w:r w:rsidR="00DB5423" w:rsidRPr="00242B8E">
        <w:t xml:space="preserve"> sont décrites dans le Chapitre </w:t>
      </w:r>
      <w:r w:rsidRPr="00242B8E">
        <w:t>2, Section I, § 8</w:t>
      </w:r>
      <w:r w:rsidR="00746566" w:rsidRPr="00242B8E">
        <w:t xml:space="preserve"> </w:t>
      </w:r>
      <w:r w:rsidRPr="00242B8E">
        <w:t>des</w:t>
      </w:r>
      <w:r w:rsidR="00746566" w:rsidRPr="00242B8E">
        <w:t xml:space="preserve"> </w:t>
      </w:r>
      <w:r w:rsidR="00DB5423" w:rsidRPr="00242B8E">
        <w:t>«</w:t>
      </w:r>
      <w:hyperlink r:id="rId19" w:history="1">
        <w:r w:rsidRPr="00242B8E">
          <w:rPr>
            <w:rStyle w:val="Hyperlink"/>
          </w:rPr>
          <w:t xml:space="preserve">Arrangements élaborés conformément au Mémorandum d'accord sur les GMPCS en vue de faciliter la mise en </w:t>
        </w:r>
        <w:r w:rsidR="00746566" w:rsidRPr="00242B8E">
          <w:rPr>
            <w:rStyle w:val="Hyperlink"/>
          </w:rPr>
          <w:t>oe</w:t>
        </w:r>
        <w:r w:rsidRPr="00242B8E">
          <w:rPr>
            <w:rStyle w:val="Hyperlink"/>
          </w:rPr>
          <w:t>uvre et le développement des communications personnelles mobiles par satellite (GMPCS) et</w:t>
        </w:r>
        <w:r w:rsidR="00FD4555" w:rsidRPr="00242B8E">
          <w:rPr>
            <w:rStyle w:val="Hyperlink"/>
          </w:rPr>
          <w:t xml:space="preserve"> des</w:t>
        </w:r>
        <w:r w:rsidR="00746566" w:rsidRPr="00242B8E">
          <w:rPr>
            <w:rStyle w:val="Hyperlink"/>
          </w:rPr>
          <w:t xml:space="preserve"> </w:t>
        </w:r>
        <w:r w:rsidR="00FD4555" w:rsidRPr="00242B8E">
          <w:rPr>
            <w:rStyle w:val="Hyperlink"/>
          </w:rPr>
          <w:t>P</w:t>
        </w:r>
        <w:r w:rsidRPr="00242B8E">
          <w:rPr>
            <w:rStyle w:val="Hyperlink"/>
          </w:rPr>
          <w:t xml:space="preserve">rocédures de notification et de mise en </w:t>
        </w:r>
        <w:r w:rsidR="00746566" w:rsidRPr="00242B8E">
          <w:rPr>
            <w:rStyle w:val="Hyperlink"/>
          </w:rPr>
          <w:t>oe</w:t>
        </w:r>
        <w:r w:rsidRPr="00242B8E">
          <w:rPr>
            <w:rStyle w:val="Hyperlink"/>
          </w:rPr>
          <w:t>uvre des</w:t>
        </w:r>
        <w:r w:rsidR="00FD4555" w:rsidRPr="00242B8E">
          <w:rPr>
            <w:rStyle w:val="Hyperlink"/>
          </w:rPr>
          <w:t>dits</w:t>
        </w:r>
        <w:r w:rsidRPr="00242B8E">
          <w:rPr>
            <w:rStyle w:val="Hyperlink"/>
          </w:rPr>
          <w:t xml:space="preserve"> </w:t>
        </w:r>
        <w:r w:rsidR="00FD4555" w:rsidRPr="00242B8E">
          <w:rPr>
            <w:rStyle w:val="Hyperlink"/>
          </w:rPr>
          <w:t>A</w:t>
        </w:r>
        <w:r w:rsidRPr="00242B8E">
          <w:rPr>
            <w:rStyle w:val="Hyperlink"/>
          </w:rPr>
          <w:t>rrangements</w:t>
        </w:r>
      </w:hyperlink>
      <w:r w:rsidR="00DB5423" w:rsidRPr="00242B8E">
        <w:t xml:space="preserve">» </w:t>
      </w:r>
      <w:r w:rsidRPr="00242B8E">
        <w:t>en date du 7 juin 2003</w:t>
      </w:r>
      <w:r w:rsidR="00746566" w:rsidRPr="00242B8E">
        <w:t xml:space="preserve"> </w:t>
      </w:r>
      <w:r w:rsidRPr="00242B8E">
        <w:t>(Arrangements et</w:t>
      </w:r>
      <w:r w:rsidR="00746566" w:rsidRPr="00242B8E">
        <w:t xml:space="preserve"> </w:t>
      </w:r>
      <w:r w:rsidRPr="00242B8E">
        <w:t>Procédures).</w:t>
      </w:r>
      <w:bookmarkEnd w:id="60"/>
    </w:p>
    <w:p w:rsidR="0037710C" w:rsidRPr="00242B8E" w:rsidRDefault="0037710C" w:rsidP="00FD4555">
      <w:pPr>
        <w:keepNext/>
        <w:keepLines/>
      </w:pPr>
      <w:bookmarkStart w:id="61" w:name="lt_pId091"/>
      <w:r w:rsidRPr="00242B8E">
        <w:lastRenderedPageBreak/>
        <w:t xml:space="preserve">Le Secrétaire général a reçu les </w:t>
      </w:r>
      <w:r w:rsidRPr="00242B8E">
        <w:rPr>
          <w:color w:val="000000"/>
        </w:rPr>
        <w:t xml:space="preserve">lettres suivantes concernant la mise en </w:t>
      </w:r>
      <w:r w:rsidR="00746566" w:rsidRPr="00242B8E">
        <w:rPr>
          <w:color w:val="000000"/>
        </w:rPr>
        <w:t>oe</w:t>
      </w:r>
      <w:r w:rsidRPr="00242B8E">
        <w:rPr>
          <w:color w:val="000000"/>
        </w:rPr>
        <w:t>uvre</w:t>
      </w:r>
      <w:r w:rsidRPr="00242B8E">
        <w:t>:</w:t>
      </w:r>
      <w:bookmarkEnd w:id="61"/>
      <w:r w:rsidRPr="00242B8E">
        <w:t xml:space="preserve"> </w:t>
      </w:r>
    </w:p>
    <w:p w:rsidR="0037710C" w:rsidRPr="00242B8E" w:rsidRDefault="00DB5423" w:rsidP="00DB5423">
      <w:pPr>
        <w:pStyle w:val="enumlev1"/>
      </w:pPr>
      <w:bookmarkStart w:id="62" w:name="lt_pId092"/>
      <w:r w:rsidRPr="00242B8E">
        <w:t>•</w:t>
      </w:r>
      <w:r w:rsidRPr="00242B8E">
        <w:tab/>
      </w:r>
      <w:r w:rsidR="0037710C" w:rsidRPr="00242B8E">
        <w:t>lettres des opérateurs de systèmes GMPCS</w:t>
      </w:r>
      <w:bookmarkEnd w:id="62"/>
      <w:r w:rsidR="00FD4555" w:rsidRPr="00242B8E">
        <w:t>;</w:t>
      </w:r>
    </w:p>
    <w:p w:rsidR="0037710C" w:rsidRPr="00242B8E" w:rsidRDefault="00DB5423" w:rsidP="00DB5423">
      <w:pPr>
        <w:pStyle w:val="enumlev1"/>
      </w:pPr>
      <w:bookmarkStart w:id="63" w:name="lt_pId094"/>
      <w:r w:rsidRPr="00242B8E">
        <w:t>•</w:t>
      </w:r>
      <w:r w:rsidRPr="00242B8E">
        <w:tab/>
      </w:r>
      <w:r w:rsidR="0037710C" w:rsidRPr="00242B8E">
        <w:t>lettres des constructeurs de terminaux GMPCS</w:t>
      </w:r>
      <w:r w:rsidRPr="00242B8E">
        <w:t>;</w:t>
      </w:r>
    </w:p>
    <w:p w:rsidR="0037710C" w:rsidRPr="00242B8E" w:rsidRDefault="00DB5423" w:rsidP="00DB5423">
      <w:pPr>
        <w:pStyle w:val="enumlev1"/>
      </w:pPr>
      <w:r w:rsidRPr="00242B8E">
        <w:t>•</w:t>
      </w:r>
      <w:r w:rsidRPr="00242B8E">
        <w:tab/>
        <w:t>l</w:t>
      </w:r>
      <w:r w:rsidR="0037710C" w:rsidRPr="00242B8E">
        <w:t>ettres d'homologation émanant d</w:t>
      </w:r>
      <w:r w:rsidR="00746566" w:rsidRPr="00242B8E">
        <w:t>'</w:t>
      </w:r>
      <w:r w:rsidR="00B649A7" w:rsidRPr="00242B8E">
        <w:t>une ou plusieurs a</w:t>
      </w:r>
      <w:r w:rsidR="0037710C" w:rsidRPr="00242B8E">
        <w:t>dministrations</w:t>
      </w:r>
      <w:bookmarkEnd w:id="63"/>
      <w:r w:rsidRPr="00242B8E">
        <w:t>.</w:t>
      </w:r>
    </w:p>
    <w:p w:rsidR="0037710C" w:rsidRPr="00242B8E" w:rsidRDefault="0037710C" w:rsidP="0037710C">
      <w:bookmarkStart w:id="64" w:name="lt_pId095"/>
      <w:r w:rsidRPr="00242B8E">
        <w:t xml:space="preserve">Après avoir analysé et confirmé que les procédures ont été mises en </w:t>
      </w:r>
      <w:r w:rsidR="00746566" w:rsidRPr="00242B8E">
        <w:t>oe</w:t>
      </w:r>
      <w:r w:rsidRPr="00242B8E">
        <w:t>uvre comme il se doit, le Secrétaire général de</w:t>
      </w:r>
      <w:r w:rsidR="00746566" w:rsidRPr="00242B8E">
        <w:t xml:space="preserve"> </w:t>
      </w:r>
      <w:r w:rsidRPr="00242B8E">
        <w:t>l</w:t>
      </w:r>
      <w:r w:rsidR="00746566" w:rsidRPr="00242B8E">
        <w:t>'</w:t>
      </w:r>
      <w:r w:rsidRPr="00242B8E">
        <w:t xml:space="preserve">UIT </w:t>
      </w:r>
      <w:r w:rsidRPr="00242B8E">
        <w:rPr>
          <w:color w:val="000000"/>
        </w:rPr>
        <w:t>accuse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réception des lettres des constructeurs de terminaux GMPCS</w:t>
      </w:r>
      <w:r w:rsidR="00B649A7" w:rsidRPr="00242B8E">
        <w:t xml:space="preserve"> et les informe</w:t>
      </w:r>
      <w:r w:rsidRPr="00242B8E">
        <w:t xml:space="preserve"> que toutes les lettres demandées ont été reçues, afin que le constructeur </w:t>
      </w:r>
      <w:bookmarkEnd w:id="64"/>
      <w:r w:rsidRPr="00242B8E">
        <w:rPr>
          <w:color w:val="000000"/>
        </w:rPr>
        <w:t xml:space="preserve">de terminaux GMPCS puisse apposer le label </w:t>
      </w:r>
      <w:r w:rsidR="00B649A7" w:rsidRPr="00242B8E">
        <w:rPr>
          <w:color w:val="000000"/>
        </w:rPr>
        <w:t>«</w:t>
      </w:r>
      <w:r w:rsidRPr="00242B8E">
        <w:rPr>
          <w:color w:val="000000"/>
        </w:rPr>
        <w:t>GMPCS-</w:t>
      </w:r>
      <w:proofErr w:type="spellStart"/>
      <w:r w:rsidRPr="00242B8E">
        <w:rPr>
          <w:color w:val="000000"/>
        </w:rPr>
        <w:t>MoU</w:t>
      </w:r>
      <w:proofErr w:type="spellEnd"/>
      <w:r w:rsidR="00B649A7" w:rsidRPr="00242B8E">
        <w:rPr>
          <w:color w:val="000000"/>
        </w:rPr>
        <w:t>»</w:t>
      </w:r>
      <w:r w:rsidRPr="00242B8E">
        <w:rPr>
          <w:color w:val="000000"/>
        </w:rPr>
        <w:t xml:space="preserve"> sur le terminal</w:t>
      </w:r>
      <w:r w:rsidR="00DB5423" w:rsidRPr="00242B8E">
        <w:rPr>
          <w:color w:val="000000"/>
        </w:rPr>
        <w:t>.</w:t>
      </w:r>
    </w:p>
    <w:p w:rsidR="0037710C" w:rsidRPr="00242B8E" w:rsidRDefault="0037710C" w:rsidP="0037710C">
      <w:bookmarkStart w:id="65" w:name="lt_pId096"/>
      <w:r w:rsidRPr="00242B8E">
        <w:t>Conformément aux Arrangements et aux Procédures, lorsqu</w:t>
      </w:r>
      <w:r w:rsidR="00746566" w:rsidRPr="00242B8E">
        <w:t>'</w:t>
      </w:r>
      <w:r w:rsidRPr="00242B8E">
        <w:t xml:space="preserve">un constructeur </w:t>
      </w:r>
      <w:r w:rsidRPr="00242B8E">
        <w:rPr>
          <w:color w:val="000000"/>
        </w:rPr>
        <w:t>de terminaux GMPCS notifie pour la première fois un nouveau terminal à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UIT, il doit également signer et envoyer au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Secrétaire général de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UIT</w:t>
      </w:r>
      <w:bookmarkEnd w:id="65"/>
      <w:r w:rsidR="00DB5423" w:rsidRPr="00242B8E">
        <w:rPr>
          <w:color w:val="000000"/>
        </w:rPr>
        <w:t>:</w:t>
      </w:r>
    </w:p>
    <w:p w:rsidR="0037710C" w:rsidRPr="00242B8E" w:rsidRDefault="00951964" w:rsidP="00951964">
      <w:pPr>
        <w:pStyle w:val="enumlev1"/>
      </w:pPr>
      <w:bookmarkStart w:id="66" w:name="lt_pId097"/>
      <w:r w:rsidRPr="00242B8E">
        <w:t>•</w:t>
      </w:r>
      <w:r w:rsidRPr="00242B8E">
        <w:tab/>
        <w:t>l</w:t>
      </w:r>
      <w:r w:rsidR="0037710C" w:rsidRPr="00242B8E">
        <w:t>e Mémorandum d'accord sur les GMPCS</w:t>
      </w:r>
      <w:bookmarkEnd w:id="66"/>
      <w:r w:rsidRPr="00242B8E">
        <w:t>;</w:t>
      </w:r>
    </w:p>
    <w:p w:rsidR="0037710C" w:rsidRPr="00242B8E" w:rsidRDefault="00951964" w:rsidP="00AE28BD">
      <w:pPr>
        <w:pStyle w:val="enumlev1"/>
      </w:pPr>
      <w:bookmarkStart w:id="67" w:name="lt_pId098"/>
      <w:r w:rsidRPr="00242B8E">
        <w:t>•</w:t>
      </w:r>
      <w:r w:rsidRPr="00242B8E">
        <w:tab/>
      </w:r>
      <w:r w:rsidR="0037710C" w:rsidRPr="00242B8E">
        <w:t>l</w:t>
      </w:r>
      <w:r w:rsidR="00746566" w:rsidRPr="00242B8E">
        <w:t>'</w:t>
      </w:r>
      <w:r w:rsidR="0037710C" w:rsidRPr="00242B8E">
        <w:t>accord d</w:t>
      </w:r>
      <w:r w:rsidR="00746566" w:rsidRPr="00242B8E">
        <w:t>'</w:t>
      </w:r>
      <w:r w:rsidR="0037710C" w:rsidRPr="00242B8E">
        <w:t>autorisation conclu</w:t>
      </w:r>
      <w:r w:rsidR="00746566" w:rsidRPr="00242B8E">
        <w:t xml:space="preserve"> </w:t>
      </w:r>
      <w:r w:rsidR="0037710C" w:rsidRPr="00242B8E">
        <w:t>avec le constructeur de terminaux</w:t>
      </w:r>
      <w:r w:rsidR="00746566" w:rsidRPr="00242B8E">
        <w:t xml:space="preserve"> </w:t>
      </w:r>
      <w:r w:rsidR="0037710C" w:rsidRPr="00242B8E">
        <w:t>GMPCS visé</w:t>
      </w:r>
      <w:r w:rsidR="00746566" w:rsidRPr="00242B8E">
        <w:t xml:space="preserve"> </w:t>
      </w:r>
      <w:r w:rsidR="00B649A7" w:rsidRPr="00242B8E">
        <w:t>au</w:t>
      </w:r>
      <w:r w:rsidR="00D77A0C">
        <w:t xml:space="preserve"> </w:t>
      </w:r>
      <w:r w:rsidR="00B649A7" w:rsidRPr="00242B8E">
        <w:t>§ </w:t>
      </w:r>
      <w:r w:rsidR="0037710C" w:rsidRPr="00242B8E">
        <w:t>5</w:t>
      </w:r>
      <w:r w:rsidR="00746566" w:rsidRPr="00242B8E">
        <w:t xml:space="preserve"> </w:t>
      </w:r>
      <w:r w:rsidR="00AE28BD" w:rsidRPr="00242B8E">
        <w:t>ci</w:t>
      </w:r>
      <w:r w:rsidR="00AE28BD" w:rsidRPr="00242B8E">
        <w:noBreakHyphen/>
      </w:r>
      <w:r w:rsidR="0037710C" w:rsidRPr="00242B8E">
        <w:t>dessus, en vue d</w:t>
      </w:r>
      <w:r w:rsidR="00746566" w:rsidRPr="00242B8E">
        <w:t>'</w:t>
      </w:r>
      <w:r w:rsidR="0037710C" w:rsidRPr="00242B8E">
        <w:t>autoriser le constructeur de terminaux</w:t>
      </w:r>
      <w:r w:rsidR="00746566" w:rsidRPr="00242B8E">
        <w:t xml:space="preserve"> </w:t>
      </w:r>
      <w:r w:rsidR="0037710C" w:rsidRPr="00242B8E">
        <w:t>GMPCS à utiliser le</w:t>
      </w:r>
      <w:r w:rsidR="00AE28BD" w:rsidRPr="00242B8E">
        <w:t xml:space="preserve"> sigle «</w:t>
      </w:r>
      <w:r w:rsidR="0037710C" w:rsidRPr="00242B8E">
        <w:t>UIT</w:t>
      </w:r>
      <w:r w:rsidR="00AE28BD" w:rsidRPr="00242B8E">
        <w:t>»</w:t>
      </w:r>
      <w:r w:rsidR="0037710C" w:rsidRPr="00242B8E">
        <w:t xml:space="preserve"> dans le label </w:t>
      </w:r>
      <w:r w:rsidR="00DA0D5C">
        <w:t>«</w:t>
      </w:r>
      <w:r w:rsidR="0037710C" w:rsidRPr="00242B8E">
        <w:t>GMPCS-</w:t>
      </w:r>
      <w:proofErr w:type="spellStart"/>
      <w:r w:rsidR="0037710C" w:rsidRPr="00242B8E">
        <w:t>MoU</w:t>
      </w:r>
      <w:proofErr w:type="spellEnd"/>
      <w:r w:rsidR="00DA0D5C">
        <w:t>»</w:t>
      </w:r>
      <w:r w:rsidR="0037710C" w:rsidRPr="00242B8E">
        <w:t xml:space="preserve"> apposé sur les terminaux enregistrés auprès de l</w:t>
      </w:r>
      <w:r w:rsidR="00746566" w:rsidRPr="00242B8E">
        <w:t>'</w:t>
      </w:r>
      <w:r w:rsidR="0037710C" w:rsidRPr="00242B8E">
        <w:t>UIT</w:t>
      </w:r>
      <w:bookmarkEnd w:id="67"/>
      <w:r w:rsidR="00AE28BD" w:rsidRPr="00242B8E">
        <w:t>.</w:t>
      </w:r>
    </w:p>
    <w:p w:rsidR="0037710C" w:rsidRPr="00242B8E" w:rsidRDefault="0037710C" w:rsidP="0037710C">
      <w:bookmarkStart w:id="68" w:name="lt_pId099"/>
      <w:r w:rsidRPr="00242B8E">
        <w:rPr>
          <w:color w:val="000000"/>
        </w:rPr>
        <w:t>Le Secrétaire général de l'UIT envoie au</w:t>
      </w:r>
      <w:r w:rsidR="00746566" w:rsidRPr="00242B8E">
        <w:t xml:space="preserve"> </w:t>
      </w:r>
      <w:r w:rsidRPr="00242B8E">
        <w:rPr>
          <w:color w:val="000000"/>
        </w:rPr>
        <w:t>constructeur de terminaux GMPCS une lettre accusant réception du texte original signé du Mémorandum d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accord sur les GMPCS et signe également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accord d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autorisation conclu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avec le</w:t>
      </w:r>
      <w:r w:rsidR="00746566" w:rsidRPr="00242B8E">
        <w:t xml:space="preserve"> </w:t>
      </w:r>
      <w:r w:rsidRPr="00242B8E">
        <w:t>constructeur de terminaux</w:t>
      </w:r>
      <w:r w:rsidR="00746566" w:rsidRPr="00242B8E">
        <w:t xml:space="preserve"> </w:t>
      </w:r>
      <w:r w:rsidRPr="00242B8E">
        <w:t>GMPCS</w:t>
      </w:r>
      <w:bookmarkEnd w:id="68"/>
      <w:r w:rsidR="00AE28BD" w:rsidRPr="00242B8E">
        <w:t>.</w:t>
      </w:r>
    </w:p>
    <w:p w:rsidR="0037710C" w:rsidRPr="00242B8E" w:rsidRDefault="0037710C" w:rsidP="0037710C">
      <w:pPr>
        <w:pStyle w:val="Heading1"/>
      </w:pPr>
      <w:bookmarkStart w:id="69" w:name="lt_pId100"/>
      <w:r w:rsidRPr="00242B8E">
        <w:t>7</w:t>
      </w:r>
      <w:bookmarkEnd w:id="69"/>
      <w:r w:rsidRPr="00242B8E">
        <w:tab/>
        <w:t>Nombre de terminaux enregistrés</w:t>
      </w:r>
    </w:p>
    <w:p w:rsidR="0037710C" w:rsidRPr="00242B8E" w:rsidRDefault="0037710C" w:rsidP="00CA3800">
      <w:pPr>
        <w:spacing w:after="120"/>
        <w:rPr>
          <w:szCs w:val="24"/>
        </w:rPr>
      </w:pPr>
      <w:bookmarkStart w:id="70" w:name="lt_pId102"/>
      <w:r w:rsidRPr="00242B8E">
        <w:rPr>
          <w:szCs w:val="24"/>
        </w:rPr>
        <w:t xml:space="preserve">Le nombre de terminaux enregistrés </w:t>
      </w:r>
      <w:r w:rsidRPr="00242B8E">
        <w:rPr>
          <w:color w:val="000000"/>
        </w:rPr>
        <w:t>par an par</w:t>
      </w:r>
      <w:r w:rsidRPr="00242B8E">
        <w:rPr>
          <w:szCs w:val="24"/>
        </w:rPr>
        <w:t xml:space="preserve"> l</w:t>
      </w:r>
      <w:r w:rsidR="00746566" w:rsidRPr="00242B8E">
        <w:rPr>
          <w:szCs w:val="24"/>
        </w:rPr>
        <w:t>'</w:t>
      </w:r>
      <w:r w:rsidRPr="00242B8E">
        <w:rPr>
          <w:szCs w:val="24"/>
        </w:rPr>
        <w:t>UIT</w:t>
      </w:r>
      <w:r w:rsidR="00746566" w:rsidRPr="00242B8E">
        <w:rPr>
          <w:szCs w:val="24"/>
        </w:rPr>
        <w:t xml:space="preserve"> </w:t>
      </w:r>
      <w:r w:rsidRPr="00242B8E">
        <w:rPr>
          <w:szCs w:val="24"/>
        </w:rPr>
        <w:t>est indiqué dans le tableau ci-dessous</w:t>
      </w:r>
      <w:bookmarkEnd w:id="70"/>
      <w:r w:rsidR="00AE28BD" w:rsidRPr="00242B8E">
        <w:rPr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801"/>
      </w:tblGrid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head"/>
              <w:spacing w:before="30" w:after="30"/>
            </w:pPr>
            <w:r w:rsidRPr="00242B8E">
              <w:t>Année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head"/>
              <w:spacing w:before="30" w:after="30"/>
            </w:pPr>
            <w:r w:rsidRPr="00242B8E">
              <w:t>Nombre de terminaux</w:t>
            </w:r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1" w:name="lt_pId105"/>
            <w:r w:rsidRPr="00242B8E">
              <w:t>2016</w:t>
            </w:r>
            <w:bookmarkEnd w:id="71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2" w:name="lt_pId106"/>
            <w:r w:rsidRPr="00242B8E">
              <w:t>2</w:t>
            </w:r>
            <w:bookmarkEnd w:id="72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3" w:name="lt_pId107"/>
            <w:r w:rsidRPr="00242B8E">
              <w:t>2015</w:t>
            </w:r>
            <w:bookmarkEnd w:id="73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4" w:name="lt_pId108"/>
            <w:r w:rsidRPr="00242B8E">
              <w:t>4</w:t>
            </w:r>
            <w:bookmarkEnd w:id="74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5" w:name="lt_pId109"/>
            <w:r w:rsidRPr="00242B8E">
              <w:t>2014</w:t>
            </w:r>
            <w:bookmarkEnd w:id="75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6" w:name="lt_pId110"/>
            <w:r w:rsidRPr="00242B8E">
              <w:t>10</w:t>
            </w:r>
            <w:bookmarkEnd w:id="76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7" w:name="lt_pId111"/>
            <w:r w:rsidRPr="00242B8E">
              <w:t>2013</w:t>
            </w:r>
            <w:bookmarkEnd w:id="77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8" w:name="lt_pId112"/>
            <w:r w:rsidRPr="00242B8E">
              <w:t>6</w:t>
            </w:r>
            <w:bookmarkEnd w:id="78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79" w:name="lt_pId113"/>
            <w:r w:rsidRPr="00242B8E">
              <w:t>2012</w:t>
            </w:r>
            <w:bookmarkEnd w:id="79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0" w:name="lt_pId114"/>
            <w:r w:rsidRPr="00242B8E">
              <w:t>2</w:t>
            </w:r>
            <w:bookmarkEnd w:id="80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1" w:name="lt_pId115"/>
            <w:r w:rsidRPr="00242B8E">
              <w:t>2011</w:t>
            </w:r>
            <w:bookmarkEnd w:id="81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2" w:name="lt_pId116"/>
            <w:r w:rsidRPr="00242B8E">
              <w:t>4</w:t>
            </w:r>
            <w:bookmarkEnd w:id="82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3" w:name="lt_pId117"/>
            <w:r w:rsidRPr="00242B8E">
              <w:t>2010</w:t>
            </w:r>
            <w:bookmarkEnd w:id="83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4" w:name="lt_pId118"/>
            <w:r w:rsidRPr="00242B8E">
              <w:t>4</w:t>
            </w:r>
            <w:bookmarkEnd w:id="84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5" w:name="lt_pId119"/>
            <w:r w:rsidRPr="00242B8E">
              <w:t>2009</w:t>
            </w:r>
            <w:bookmarkEnd w:id="85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6" w:name="lt_pId120"/>
            <w:r w:rsidRPr="00242B8E">
              <w:t>6</w:t>
            </w:r>
            <w:bookmarkEnd w:id="86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7" w:name="lt_pId121"/>
            <w:r w:rsidRPr="00242B8E">
              <w:t>2008</w:t>
            </w:r>
            <w:bookmarkEnd w:id="87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8" w:name="lt_pId122"/>
            <w:r w:rsidRPr="00242B8E">
              <w:t>5</w:t>
            </w:r>
            <w:bookmarkEnd w:id="88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89" w:name="lt_pId123"/>
            <w:r w:rsidRPr="00242B8E">
              <w:t>2007</w:t>
            </w:r>
            <w:bookmarkEnd w:id="89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0" w:name="lt_pId124"/>
            <w:r w:rsidRPr="00242B8E">
              <w:t>3</w:t>
            </w:r>
            <w:bookmarkEnd w:id="90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1" w:name="lt_pId125"/>
            <w:r w:rsidRPr="00242B8E">
              <w:t>2006</w:t>
            </w:r>
            <w:bookmarkEnd w:id="91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2" w:name="lt_pId126"/>
            <w:r w:rsidRPr="00242B8E">
              <w:t>7</w:t>
            </w:r>
            <w:bookmarkEnd w:id="92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3" w:name="lt_pId127"/>
            <w:r w:rsidRPr="00242B8E">
              <w:t>2005</w:t>
            </w:r>
            <w:bookmarkEnd w:id="93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4" w:name="lt_pId128"/>
            <w:r w:rsidRPr="00242B8E">
              <w:t>3</w:t>
            </w:r>
            <w:bookmarkEnd w:id="94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5" w:name="lt_pId129"/>
            <w:r w:rsidRPr="00242B8E">
              <w:t>2004</w:t>
            </w:r>
            <w:bookmarkEnd w:id="95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D77A0C" w:rsidP="00CA3800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6" w:name="lt_pId131"/>
            <w:r w:rsidRPr="00242B8E">
              <w:t>2003</w:t>
            </w:r>
            <w:bookmarkEnd w:id="96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7" w:name="lt_pId132"/>
            <w:r w:rsidRPr="00242B8E">
              <w:t>2</w:t>
            </w:r>
            <w:bookmarkEnd w:id="97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8" w:name="lt_pId133"/>
            <w:r w:rsidRPr="00242B8E">
              <w:t>2002</w:t>
            </w:r>
            <w:bookmarkEnd w:id="98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99" w:name="lt_pId134"/>
            <w:r w:rsidRPr="00242B8E">
              <w:t>2</w:t>
            </w:r>
            <w:bookmarkEnd w:id="99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0" w:name="lt_pId135"/>
            <w:r w:rsidRPr="00242B8E">
              <w:t>2001</w:t>
            </w:r>
            <w:bookmarkEnd w:id="100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1" w:name="lt_pId136"/>
            <w:r w:rsidRPr="00242B8E">
              <w:t>2</w:t>
            </w:r>
            <w:bookmarkEnd w:id="101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2" w:name="lt_pId137"/>
            <w:r w:rsidRPr="00242B8E">
              <w:t>2000</w:t>
            </w:r>
            <w:bookmarkEnd w:id="102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3" w:name="lt_pId138"/>
            <w:r w:rsidRPr="00242B8E">
              <w:t>6</w:t>
            </w:r>
            <w:bookmarkEnd w:id="103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4" w:name="lt_pId139"/>
            <w:r w:rsidRPr="00242B8E">
              <w:t>1999</w:t>
            </w:r>
            <w:bookmarkEnd w:id="104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5" w:name="lt_pId140"/>
            <w:r w:rsidRPr="00242B8E">
              <w:t>12</w:t>
            </w:r>
            <w:bookmarkEnd w:id="105"/>
          </w:p>
        </w:tc>
      </w:tr>
      <w:tr w:rsidR="0037710C" w:rsidRPr="00242B8E" w:rsidTr="00004559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6" w:name="lt_pId141"/>
            <w:r w:rsidRPr="00242B8E">
              <w:t>1998</w:t>
            </w:r>
            <w:bookmarkEnd w:id="106"/>
          </w:p>
        </w:tc>
        <w:tc>
          <w:tcPr>
            <w:tcW w:w="1801" w:type="dxa"/>
            <w:shd w:val="clear" w:color="auto" w:fill="auto"/>
            <w:vAlign w:val="center"/>
          </w:tcPr>
          <w:p w:rsidR="0037710C" w:rsidRPr="00242B8E" w:rsidRDefault="0037710C" w:rsidP="00CA3800">
            <w:pPr>
              <w:pStyle w:val="Tabletext"/>
              <w:spacing w:before="30" w:after="30"/>
              <w:jc w:val="center"/>
            </w:pPr>
            <w:bookmarkStart w:id="107" w:name="lt_pId142"/>
            <w:r w:rsidRPr="00242B8E">
              <w:t>5</w:t>
            </w:r>
            <w:bookmarkEnd w:id="107"/>
          </w:p>
        </w:tc>
      </w:tr>
    </w:tbl>
    <w:p w:rsidR="0037710C" w:rsidRPr="00242B8E" w:rsidRDefault="0037710C" w:rsidP="0037710C">
      <w:pPr>
        <w:pStyle w:val="Heading1"/>
      </w:pPr>
      <w:bookmarkStart w:id="108" w:name="lt_pId143"/>
      <w:bookmarkStart w:id="109" w:name="_Toc225584401"/>
      <w:r w:rsidRPr="00242B8E">
        <w:lastRenderedPageBreak/>
        <w:t>8</w:t>
      </w:r>
      <w:bookmarkEnd w:id="108"/>
      <w:r w:rsidRPr="00242B8E">
        <w:tab/>
      </w:r>
      <w:bookmarkStart w:id="110" w:name="lt_pId144"/>
      <w:r w:rsidRPr="00242B8E">
        <w:t>Conclusion</w:t>
      </w:r>
      <w:bookmarkEnd w:id="109"/>
      <w:bookmarkEnd w:id="110"/>
    </w:p>
    <w:p w:rsidR="0037710C" w:rsidRPr="00242B8E" w:rsidRDefault="0037710C" w:rsidP="00B649A7">
      <w:bookmarkStart w:id="111" w:name="lt_pId145"/>
      <w:r w:rsidRPr="00242B8E">
        <w:t xml:space="preserve">La mise en </w:t>
      </w:r>
      <w:r w:rsidR="00746566" w:rsidRPr="00242B8E">
        <w:t>oe</w:t>
      </w:r>
      <w:r w:rsidRPr="00242B8E">
        <w:t>uvre des Arrangements relatifs au</w:t>
      </w:r>
      <w:r w:rsidR="00746566" w:rsidRPr="00242B8E">
        <w:t xml:space="preserve"> </w:t>
      </w:r>
      <w:r w:rsidRPr="00242B8E">
        <w:t>Mémorandum</w:t>
      </w:r>
      <w:r w:rsidR="00746566" w:rsidRPr="00242B8E">
        <w:t xml:space="preserve"> </w:t>
      </w:r>
      <w:r w:rsidRPr="00242B8E">
        <w:t>d</w:t>
      </w:r>
      <w:r w:rsidR="00746566" w:rsidRPr="00242B8E">
        <w:t>'</w:t>
      </w:r>
      <w:r w:rsidRPr="00242B8E">
        <w:t xml:space="preserve">accord sur les GMPCS et le label </w:t>
      </w:r>
      <w:r w:rsidR="00B649A7" w:rsidRPr="00242B8E">
        <w:t>«</w:t>
      </w:r>
      <w:r w:rsidRPr="00242B8E">
        <w:t>GMPCS-</w:t>
      </w:r>
      <w:proofErr w:type="spellStart"/>
      <w:r w:rsidRPr="00242B8E">
        <w:t>MoU</w:t>
      </w:r>
      <w:proofErr w:type="spellEnd"/>
      <w:r w:rsidR="00B649A7" w:rsidRPr="00242B8E">
        <w:t>»</w:t>
      </w:r>
      <w:r w:rsidRPr="00242B8E">
        <w:t xml:space="preserve"> ont largement contribué à faciliter</w:t>
      </w:r>
      <w:r w:rsidRPr="00242B8E">
        <w:rPr>
          <w:color w:val="000000"/>
        </w:rPr>
        <w:t xml:space="preserve"> la circulation à l'échelle mondiale et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itinérance transfrontière</w:t>
      </w:r>
      <w:r w:rsidR="00746566" w:rsidRPr="00242B8E">
        <w:t xml:space="preserve"> </w:t>
      </w:r>
      <w:r w:rsidRPr="00242B8E">
        <w:rPr>
          <w:color w:val="000000"/>
        </w:rPr>
        <w:t>des terminaux</w:t>
      </w:r>
      <w:r w:rsidRPr="00242B8E">
        <w:t xml:space="preserve"> GMPCS</w:t>
      </w:r>
      <w:r w:rsidR="00B649A7" w:rsidRPr="00242B8E">
        <w:rPr>
          <w:color w:val="000000"/>
        </w:rPr>
        <w:t xml:space="preserve"> ainsi que</w:t>
      </w:r>
      <w:r w:rsidRPr="00242B8E">
        <w:rPr>
          <w:color w:val="000000"/>
        </w:rPr>
        <w:t xml:space="preserve"> la mise en </w:t>
      </w:r>
      <w:r w:rsidR="00746566" w:rsidRPr="00242B8E">
        <w:rPr>
          <w:color w:val="000000"/>
        </w:rPr>
        <w:t>oe</w:t>
      </w:r>
      <w:r w:rsidRPr="00242B8E">
        <w:rPr>
          <w:color w:val="000000"/>
        </w:rPr>
        <w:t>uvre à bref délai des services GMPCS</w:t>
      </w:r>
      <w:bookmarkEnd w:id="111"/>
      <w:r w:rsidR="00746566" w:rsidRPr="00242B8E">
        <w:t>.</w:t>
      </w:r>
      <w:r w:rsidRPr="00242B8E">
        <w:t xml:space="preserve"> Les </w:t>
      </w:r>
      <w:r w:rsidR="00B649A7" w:rsidRPr="00242B8E">
        <w:t>A</w:t>
      </w:r>
      <w:r w:rsidRPr="00242B8E">
        <w:t>rrangements élaborés en ce qui concerne l</w:t>
      </w:r>
      <w:r w:rsidR="00746566" w:rsidRPr="00242B8E">
        <w:t>'</w:t>
      </w:r>
      <w:r w:rsidRPr="00242B8E">
        <w:t>homologation, l</w:t>
      </w:r>
      <w:r w:rsidR="00B649A7" w:rsidRPr="00242B8E">
        <w:rPr>
          <w:color w:val="000000"/>
        </w:rPr>
        <w:t xml:space="preserve">e régime </w:t>
      </w:r>
      <w:r w:rsidRPr="00242B8E">
        <w:rPr>
          <w:color w:val="000000"/>
        </w:rPr>
        <w:t>de licences simplifié</w:t>
      </w:r>
      <w:r w:rsidR="00746566" w:rsidRPr="00242B8E">
        <w:rPr>
          <w:color w:val="000000"/>
        </w:rPr>
        <w:t>,</w:t>
      </w:r>
      <w:r w:rsidR="00AE28BD" w:rsidRPr="00242B8E">
        <w:rPr>
          <w:color w:val="000000"/>
        </w:rPr>
        <w:t xml:space="preserve"> </w:t>
      </w:r>
      <w:r w:rsidRPr="00242B8E">
        <w:rPr>
          <w:color w:val="000000"/>
        </w:rPr>
        <w:t>le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marquage, l</w:t>
      </w:r>
      <w:r w:rsidR="00746566" w:rsidRPr="00242B8E">
        <w:rPr>
          <w:color w:val="000000"/>
        </w:rPr>
        <w:t>'</w:t>
      </w:r>
      <w:r w:rsidRPr="00242B8E">
        <w:rPr>
          <w:color w:val="000000"/>
        </w:rPr>
        <w:t>accès aux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données sur le trafic et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les</w:t>
      </w:r>
      <w:r w:rsidR="00746566" w:rsidRPr="00242B8E">
        <w:rPr>
          <w:color w:val="000000"/>
        </w:rPr>
        <w:t xml:space="preserve"> </w:t>
      </w:r>
      <w:r w:rsidRPr="00242B8E">
        <w:rPr>
          <w:color w:val="000000"/>
        </w:rPr>
        <w:t>recommandations douanières relatives à la libre circulation des terminaux GMPCS</w:t>
      </w:r>
      <w:r w:rsidRPr="00242B8E">
        <w:t xml:space="preserve"> se sont révélés très efficaces.</w:t>
      </w:r>
    </w:p>
    <w:p w:rsidR="0037710C" w:rsidRPr="00242B8E" w:rsidRDefault="0037710C" w:rsidP="0037710C"/>
    <w:p w:rsidR="00AE28BD" w:rsidRPr="00242B8E" w:rsidRDefault="00AE28BD" w:rsidP="00004559">
      <w:pPr>
        <w:pStyle w:val="Reasons"/>
        <w:rPr>
          <w:lang w:val="fr-FR"/>
        </w:rPr>
      </w:pPr>
    </w:p>
    <w:p w:rsidR="00AE28BD" w:rsidRPr="00242B8E" w:rsidRDefault="00AE28BD">
      <w:pPr>
        <w:jc w:val="center"/>
      </w:pPr>
      <w:r w:rsidRPr="00242B8E">
        <w:t>______________</w:t>
      </w:r>
    </w:p>
    <w:p w:rsidR="00AE28BD" w:rsidRPr="00242B8E" w:rsidRDefault="00AE28BD" w:rsidP="0037710C"/>
    <w:sectPr w:rsidR="00AE28BD" w:rsidRPr="00242B8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59" w:rsidRDefault="00004559">
      <w:r>
        <w:separator/>
      </w:r>
    </w:p>
  </w:endnote>
  <w:endnote w:type="continuationSeparator" w:id="0">
    <w:p w:rsidR="00004559" w:rsidRDefault="000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9" w:rsidRDefault="00004559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A0D5C">
      <w:rPr>
        <w:lang w:val="en-US"/>
      </w:rPr>
      <w:t>P:\FRA\ITU-R\AG\RAG\RAG16\000\001ADD03F.docx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7308">
      <w:t>26.04.16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D5C">
      <w:t>25.04.16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9" w:rsidRDefault="00004559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A0D5C">
      <w:rPr>
        <w:lang w:val="en-US"/>
      </w:rPr>
      <w:t>P:\FRA\ITU-R\AG\RAG\RAG16\000\001ADD03F.docx</w:t>
    </w:r>
    <w:r>
      <w:rPr>
        <w:lang w:val="en-US"/>
      </w:rPr>
      <w:fldChar w:fldCharType="end"/>
    </w:r>
    <w:r>
      <w:rPr>
        <w:lang w:val="en-US"/>
      </w:rPr>
      <w:t xml:space="preserve"> (397279)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7308">
      <w:t>26.04.16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D5C">
      <w:t>25.04.16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9" w:rsidRPr="00004559" w:rsidRDefault="00004559" w:rsidP="00004559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A0D5C">
      <w:rPr>
        <w:lang w:val="en-US"/>
      </w:rPr>
      <w:t>P:\FRA\ITU-R\AG\RAG\RAG16\000\001ADD03F.docx</w:t>
    </w:r>
    <w:r>
      <w:rPr>
        <w:lang w:val="en-US"/>
      </w:rPr>
      <w:fldChar w:fldCharType="end"/>
    </w:r>
    <w:r>
      <w:rPr>
        <w:lang w:val="en-US"/>
      </w:rPr>
      <w:t xml:space="preserve"> (397279)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7308">
      <w:t>26.04.16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0D5C">
      <w:t>25.04.16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59" w:rsidRDefault="00004559">
      <w:r>
        <w:t>____________________</w:t>
      </w:r>
    </w:p>
  </w:footnote>
  <w:footnote w:type="continuationSeparator" w:id="0">
    <w:p w:rsidR="00004559" w:rsidRDefault="0000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9" w:rsidRDefault="00004559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9" w:rsidRDefault="00004559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D7308">
      <w:rPr>
        <w:noProof/>
      </w:rPr>
      <w:t>6</w:t>
    </w:r>
    <w:r>
      <w:rPr>
        <w:noProof/>
      </w:rPr>
      <w:fldChar w:fldCharType="end"/>
    </w:r>
  </w:p>
  <w:p w:rsidR="00004559" w:rsidRDefault="00D77A0C" w:rsidP="00EC0F12">
    <w:pPr>
      <w:pStyle w:val="Header"/>
      <w:rPr>
        <w:lang w:val="es-ES"/>
      </w:rPr>
    </w:pPr>
    <w:r>
      <w:rPr>
        <w:lang w:val="es-ES"/>
      </w:rPr>
      <w:t>RAG16/1(Add.</w:t>
    </w:r>
    <w:r w:rsidR="00004559">
      <w:rPr>
        <w:lang w:val="es-ES"/>
      </w:rPr>
      <w:t>3)-F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5CB"/>
    <w:multiLevelType w:val="multilevel"/>
    <w:tmpl w:val="399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B770C"/>
    <w:multiLevelType w:val="hybridMultilevel"/>
    <w:tmpl w:val="AE9285B0"/>
    <w:lvl w:ilvl="0" w:tplc="DAEE86C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5BA7D4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7E4676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40643B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8AC4FAF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396E43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210DA0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B6CAF9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2B4A42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B"/>
    <w:rsid w:val="00004559"/>
    <w:rsid w:val="000158AE"/>
    <w:rsid w:val="000C06D8"/>
    <w:rsid w:val="00140AE6"/>
    <w:rsid w:val="001D7308"/>
    <w:rsid w:val="00242B8E"/>
    <w:rsid w:val="002D238A"/>
    <w:rsid w:val="00302AEB"/>
    <w:rsid w:val="00347C08"/>
    <w:rsid w:val="0037710C"/>
    <w:rsid w:val="003A6CEE"/>
    <w:rsid w:val="003D3E37"/>
    <w:rsid w:val="0046120E"/>
    <w:rsid w:val="004A1C5D"/>
    <w:rsid w:val="005207F5"/>
    <w:rsid w:val="005350EE"/>
    <w:rsid w:val="005430E4"/>
    <w:rsid w:val="00612A6F"/>
    <w:rsid w:val="0067019B"/>
    <w:rsid w:val="00677EE5"/>
    <w:rsid w:val="00694DEF"/>
    <w:rsid w:val="00746206"/>
    <w:rsid w:val="00746566"/>
    <w:rsid w:val="00773E5E"/>
    <w:rsid w:val="00810101"/>
    <w:rsid w:val="00847AAC"/>
    <w:rsid w:val="008857BA"/>
    <w:rsid w:val="00925627"/>
    <w:rsid w:val="0093101F"/>
    <w:rsid w:val="00951964"/>
    <w:rsid w:val="00966A6E"/>
    <w:rsid w:val="0097156E"/>
    <w:rsid w:val="009A101D"/>
    <w:rsid w:val="00A9055C"/>
    <w:rsid w:val="00AB7F92"/>
    <w:rsid w:val="00AC39EE"/>
    <w:rsid w:val="00AE28BD"/>
    <w:rsid w:val="00B0745A"/>
    <w:rsid w:val="00B41D84"/>
    <w:rsid w:val="00B649A7"/>
    <w:rsid w:val="00BA0C7B"/>
    <w:rsid w:val="00BC4591"/>
    <w:rsid w:val="00C72A86"/>
    <w:rsid w:val="00CA3800"/>
    <w:rsid w:val="00CC5B9E"/>
    <w:rsid w:val="00CC7208"/>
    <w:rsid w:val="00D228F7"/>
    <w:rsid w:val="00D34E1C"/>
    <w:rsid w:val="00D77A0C"/>
    <w:rsid w:val="00D95965"/>
    <w:rsid w:val="00DA0D5C"/>
    <w:rsid w:val="00DB5423"/>
    <w:rsid w:val="00DD55EB"/>
    <w:rsid w:val="00E2659D"/>
    <w:rsid w:val="00E90CBA"/>
    <w:rsid w:val="00EC0F12"/>
    <w:rsid w:val="00ED59FA"/>
    <w:rsid w:val="00F775D5"/>
    <w:rsid w:val="00F94FCA"/>
    <w:rsid w:val="00FB649C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7700F9-684B-4B47-BBD5-9F6D48D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3771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710C"/>
    <w:rPr>
      <w:rFonts w:ascii="Times New Roman" w:hAnsi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AE28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1D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en/gmpcs/Pages/ITUSecretaryGeneral.aspx?RootFolder=%2Fen%2Fgmpcs%2FITU%20Secretary%20General%2FResolutions" TargetMode="Externa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http://www.itu.int/en/gmpcs/Pages/MoUArrangements.aspx" TargetMode="External"/><Relationship Id="rId17" Type="http://schemas.openxmlformats.org/officeDocument/2006/relationships/hyperlink" Target="http://www.itu.int/en/gmpcs/Pages/GMPCSSearch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en/gmpcs/Pages/Administrations.aspx?RootFolder=%2Fen%2Fgmpcs%2FAdministrations%2FTerminal%5FType%5FApproval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gmpcs/Pages/MoUArrangements.asp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cgi-bin/htsh/mm/scripts/gd.list?_search=SIGNPARTYMEMBSTA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pforum/" TargetMode="External"/><Relationship Id="rId19" Type="http://schemas.openxmlformats.org/officeDocument/2006/relationships/hyperlink" Target="http://www.itu.int/en/gmpcs/Pages/MoUArrangemen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D-HDB-GMPCS-1999/en" TargetMode="External"/><Relationship Id="rId14" Type="http://schemas.openxmlformats.org/officeDocument/2006/relationships/hyperlink" Target="http://www.itu.int/cgi-bin/htsh/mm/scripts/gd.list?_search=SIGNPARTYGMPC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377</TotalTime>
  <Pages>6</Pages>
  <Words>2085</Words>
  <Characters>13052</Characters>
  <Application>Microsoft Office Word</Application>
  <DocSecurity>0</DocSecurity>
  <Lines>621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À LA VINGT-TROISIÈME RÉUNION DU GROUPE CONSULTATIF DES RADIOCOMMUNICATIONS SYSTÈMES MONDIAUX DE COMMUNICATIONS PERSONNELLES PAR SATELLITE (GMPCS)</vt:lpstr>
    </vt:vector>
  </TitlesOfParts>
  <Manager>General Secretariat - Pool</Manager>
  <Company>International Telecommunication Union (ITU)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VINGT-TROISIÈME RÉUNION DU GROUPE CONSULTATIF DES RADIOCOMMUNICATIONS SYSTÈMES MONDIAUX DE COMMUNICATIONS PERSONNELLES PAR SATELLITE (GMPCS)</dc:title>
  <dc:subject>GROUPE CONSULTATIF DES RADIOCOMMUNICATIONS</dc:subject>
  <dc:creator>Directeur du Bureau des radiocommunications</dc:creator>
  <cp:keywords>RAG03-1</cp:keywords>
  <dc:description>Document RAG16/1-F  For: _x000d_Document date: 18 avril 2016_x000d_Saved by ITU51009313 at 14:21:51 on 25/04/2016</dc:description>
  <cp:lastModifiedBy>Saxod, Nathalie</cp:lastModifiedBy>
  <cp:revision>22</cp:revision>
  <cp:lastPrinted>2016-04-25T12:21:00Z</cp:lastPrinted>
  <dcterms:created xsi:type="dcterms:W3CDTF">2016-04-25T06:01:00Z</dcterms:created>
  <dcterms:modified xsi:type="dcterms:W3CDTF">2016-04-26T11:10:00Z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RAG16/1-F</vt:lpwstr>
  </property>
  <property fmtid="{D5CDD505-2E9C-101B-9397-08002B2CF9AE}" pid="3" name="Docdate">
    <vt:lpwstr>18 avril 2016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