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336D05" w14:paraId="303A8C11" w14:textId="77777777" w:rsidTr="002F0CFF">
        <w:trPr>
          <w:cantSplit/>
        </w:trPr>
        <w:tc>
          <w:tcPr>
            <w:tcW w:w="1384" w:type="dxa"/>
            <w:vAlign w:val="center"/>
          </w:tcPr>
          <w:p w14:paraId="24A777C4" w14:textId="77777777" w:rsidR="00336D05" w:rsidRPr="0051782D" w:rsidRDefault="00336D05" w:rsidP="002F0CFF">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CA" w:eastAsia="zh-CN"/>
              </w:rPr>
              <w:drawing>
                <wp:inline distT="0" distB="0" distL="0" distR="0" wp14:anchorId="2290F34E" wp14:editId="2DD2ABA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14:paraId="47AA6129" w14:textId="77777777" w:rsidR="00336D05" w:rsidRPr="0051782D" w:rsidRDefault="00336D05" w:rsidP="002F0CFF">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Pr="0051782D">
              <w:rPr>
                <w:rFonts w:ascii="Verdana" w:hAnsi="Verdana" w:cs="Times New Roman Bold"/>
                <w:b/>
                <w:bCs/>
                <w:sz w:val="20"/>
              </w:rPr>
              <w:t xml:space="preserve">Geneva, </w:t>
            </w:r>
            <w:r>
              <w:rPr>
                <w:rFonts w:ascii="Verdana" w:hAnsi="Verdana" w:cs="Times New Roman Bold"/>
                <w:b/>
                <w:bCs/>
                <w:sz w:val="20"/>
              </w:rPr>
              <w:t>10-13 May 2016</w:t>
            </w:r>
          </w:p>
        </w:tc>
        <w:tc>
          <w:tcPr>
            <w:tcW w:w="1559" w:type="dxa"/>
            <w:vAlign w:val="center"/>
          </w:tcPr>
          <w:p w14:paraId="6E5E3C41" w14:textId="77777777" w:rsidR="00336D05" w:rsidRDefault="00336D05" w:rsidP="002F0CFF">
            <w:pPr>
              <w:shd w:val="solid" w:color="FFFFFF" w:fill="FFFFFF"/>
              <w:spacing w:before="0" w:line="240" w:lineRule="atLeast"/>
              <w:jc w:val="right"/>
            </w:pPr>
            <w:r w:rsidRPr="00975D6F">
              <w:rPr>
                <w:rFonts w:cs="Arial"/>
                <w:noProof/>
                <w:lang w:val="en-CA" w:eastAsia="zh-CN"/>
              </w:rPr>
              <w:drawing>
                <wp:inline distT="0" distB="0" distL="0" distR="0" wp14:anchorId="060F5DD1" wp14:editId="168EC6F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336D05" w:rsidRPr="0051782D" w14:paraId="377804A8" w14:textId="77777777" w:rsidTr="002F0CFF">
        <w:trPr>
          <w:cantSplit/>
        </w:trPr>
        <w:tc>
          <w:tcPr>
            <w:tcW w:w="6487" w:type="dxa"/>
            <w:gridSpan w:val="2"/>
            <w:tcBorders>
              <w:bottom w:val="single" w:sz="12" w:space="0" w:color="auto"/>
            </w:tcBorders>
          </w:tcPr>
          <w:p w14:paraId="511C24CB" w14:textId="77777777" w:rsidR="00336D05" w:rsidRPr="0051782D" w:rsidRDefault="00336D05" w:rsidP="002F0CFF">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14:paraId="3FBC5790" w14:textId="77777777" w:rsidR="00336D05" w:rsidRPr="0051782D" w:rsidRDefault="00336D05" w:rsidP="002F0CFF">
            <w:pPr>
              <w:shd w:val="solid" w:color="FFFFFF" w:fill="FFFFFF"/>
              <w:spacing w:before="0" w:after="48" w:line="240" w:lineRule="atLeast"/>
              <w:rPr>
                <w:sz w:val="22"/>
                <w:szCs w:val="22"/>
                <w:lang w:val="en-US"/>
              </w:rPr>
            </w:pPr>
          </w:p>
        </w:tc>
      </w:tr>
      <w:tr w:rsidR="00336D05" w:rsidRPr="00710D66" w14:paraId="4BEE1532" w14:textId="77777777" w:rsidTr="002F0CFF">
        <w:trPr>
          <w:cantSplit/>
        </w:trPr>
        <w:tc>
          <w:tcPr>
            <w:tcW w:w="6487" w:type="dxa"/>
            <w:gridSpan w:val="2"/>
            <w:tcBorders>
              <w:top w:val="single" w:sz="12" w:space="0" w:color="auto"/>
            </w:tcBorders>
          </w:tcPr>
          <w:p w14:paraId="1257769A" w14:textId="77777777" w:rsidR="00336D05" w:rsidRPr="0051782D" w:rsidRDefault="00336D05" w:rsidP="002F0CFF">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14:paraId="406DB60E" w14:textId="77777777" w:rsidR="00336D05" w:rsidRPr="00710D66" w:rsidRDefault="00336D05" w:rsidP="002F0CFF">
            <w:pPr>
              <w:shd w:val="solid" w:color="FFFFFF" w:fill="FFFFFF"/>
              <w:spacing w:before="0" w:after="48" w:line="240" w:lineRule="atLeast"/>
              <w:rPr>
                <w:lang w:val="en-US"/>
              </w:rPr>
            </w:pPr>
          </w:p>
        </w:tc>
      </w:tr>
      <w:tr w:rsidR="00336D05" w:rsidRPr="00B81A6C" w14:paraId="2C6F6F38" w14:textId="77777777" w:rsidTr="002F0CFF">
        <w:trPr>
          <w:cantSplit/>
        </w:trPr>
        <w:tc>
          <w:tcPr>
            <w:tcW w:w="6487" w:type="dxa"/>
            <w:gridSpan w:val="2"/>
            <w:vMerge w:val="restart"/>
          </w:tcPr>
          <w:p w14:paraId="07AFFE67" w14:textId="77777777" w:rsidR="00336D05" w:rsidRDefault="00336D05" w:rsidP="002F0CFF">
            <w:pPr>
              <w:shd w:val="solid" w:color="FFFFFF" w:fill="FFFFFF"/>
              <w:spacing w:after="240"/>
              <w:rPr>
                <w:sz w:val="20"/>
              </w:rPr>
            </w:pPr>
          </w:p>
        </w:tc>
        <w:tc>
          <w:tcPr>
            <w:tcW w:w="3402" w:type="dxa"/>
            <w:gridSpan w:val="2"/>
          </w:tcPr>
          <w:p w14:paraId="05BF63BA" w14:textId="68A76C2E" w:rsidR="00336D05" w:rsidRDefault="00336D05" w:rsidP="00097B73">
            <w:pPr>
              <w:shd w:val="solid" w:color="FFFFFF" w:fill="FFFFFF"/>
              <w:spacing w:before="0" w:line="240" w:lineRule="atLeast"/>
              <w:rPr>
                <w:rFonts w:ascii="Verdana" w:hAnsi="Verdana"/>
                <w:b/>
                <w:sz w:val="20"/>
              </w:rPr>
            </w:pPr>
            <w:r>
              <w:rPr>
                <w:rFonts w:ascii="Verdana" w:hAnsi="Verdana"/>
                <w:b/>
                <w:sz w:val="20"/>
              </w:rPr>
              <w:t xml:space="preserve">Addendum </w:t>
            </w:r>
            <w:r w:rsidR="00097B73">
              <w:rPr>
                <w:rFonts w:ascii="Verdana" w:hAnsi="Verdana"/>
                <w:b/>
                <w:sz w:val="20"/>
              </w:rPr>
              <w:t>3</w:t>
            </w:r>
            <w:r>
              <w:rPr>
                <w:rFonts w:ascii="Verdana" w:hAnsi="Verdana"/>
                <w:b/>
                <w:sz w:val="20"/>
              </w:rPr>
              <w:t xml:space="preserve"> to</w:t>
            </w:r>
          </w:p>
          <w:p w14:paraId="1A6193CA" w14:textId="01FC3E8B" w:rsidR="00336D05" w:rsidRPr="00B81A6C" w:rsidRDefault="00315CB7" w:rsidP="002F0CFF">
            <w:pPr>
              <w:shd w:val="solid" w:color="FFFFFF" w:fill="FFFFFF"/>
              <w:spacing w:before="0" w:line="240" w:lineRule="atLeast"/>
              <w:rPr>
                <w:rFonts w:ascii="Verdana" w:hAnsi="Verdana"/>
                <w:sz w:val="20"/>
              </w:rPr>
            </w:pPr>
            <w:r>
              <w:rPr>
                <w:rFonts w:ascii="Verdana" w:hAnsi="Verdana"/>
                <w:b/>
                <w:sz w:val="20"/>
              </w:rPr>
              <w:t>Document RAG16/1</w:t>
            </w:r>
            <w:r w:rsidR="00336D05">
              <w:rPr>
                <w:rFonts w:ascii="Verdana" w:hAnsi="Verdana"/>
                <w:b/>
                <w:sz w:val="20"/>
              </w:rPr>
              <w:t>-E</w:t>
            </w:r>
          </w:p>
        </w:tc>
      </w:tr>
      <w:tr w:rsidR="00336D05" w:rsidRPr="00B81A6C" w14:paraId="2DAE3477" w14:textId="77777777" w:rsidTr="002F0CFF">
        <w:trPr>
          <w:cantSplit/>
        </w:trPr>
        <w:tc>
          <w:tcPr>
            <w:tcW w:w="6487" w:type="dxa"/>
            <w:gridSpan w:val="2"/>
            <w:vMerge/>
          </w:tcPr>
          <w:p w14:paraId="4A0A9215" w14:textId="77777777" w:rsidR="00336D05" w:rsidRDefault="00336D05" w:rsidP="002F0CFF">
            <w:pPr>
              <w:spacing w:before="60"/>
              <w:jc w:val="center"/>
              <w:rPr>
                <w:b/>
                <w:smallCaps/>
                <w:sz w:val="32"/>
              </w:rPr>
            </w:pPr>
          </w:p>
        </w:tc>
        <w:tc>
          <w:tcPr>
            <w:tcW w:w="3402" w:type="dxa"/>
            <w:gridSpan w:val="2"/>
          </w:tcPr>
          <w:p w14:paraId="12930832" w14:textId="50491554" w:rsidR="00336D05" w:rsidRPr="00B81A6C" w:rsidRDefault="00097B73" w:rsidP="002F0CFF">
            <w:pPr>
              <w:shd w:val="solid" w:color="FFFFFF" w:fill="FFFFFF"/>
              <w:spacing w:before="0" w:line="240" w:lineRule="atLeast"/>
              <w:rPr>
                <w:rFonts w:ascii="Verdana" w:hAnsi="Verdana"/>
                <w:sz w:val="20"/>
              </w:rPr>
            </w:pPr>
            <w:r>
              <w:rPr>
                <w:rFonts w:ascii="Verdana" w:hAnsi="Verdana"/>
                <w:b/>
                <w:sz w:val="20"/>
              </w:rPr>
              <w:t>18</w:t>
            </w:r>
            <w:r w:rsidR="00336D05">
              <w:rPr>
                <w:rFonts w:ascii="Verdana" w:hAnsi="Verdana"/>
                <w:b/>
                <w:sz w:val="20"/>
              </w:rPr>
              <w:t xml:space="preserve"> April 2016</w:t>
            </w:r>
          </w:p>
        </w:tc>
      </w:tr>
      <w:tr w:rsidR="00336D05" w:rsidRPr="00B81A6C" w14:paraId="2D800465" w14:textId="77777777" w:rsidTr="002F0CFF">
        <w:trPr>
          <w:cantSplit/>
        </w:trPr>
        <w:tc>
          <w:tcPr>
            <w:tcW w:w="6487" w:type="dxa"/>
            <w:gridSpan w:val="2"/>
            <w:vMerge/>
          </w:tcPr>
          <w:p w14:paraId="0F1F8BF4" w14:textId="77777777" w:rsidR="00336D05" w:rsidRDefault="00336D05" w:rsidP="002F0CFF">
            <w:pPr>
              <w:spacing w:before="60"/>
              <w:jc w:val="center"/>
              <w:rPr>
                <w:b/>
                <w:smallCaps/>
                <w:sz w:val="32"/>
              </w:rPr>
            </w:pPr>
          </w:p>
        </w:tc>
        <w:tc>
          <w:tcPr>
            <w:tcW w:w="3402" w:type="dxa"/>
            <w:gridSpan w:val="2"/>
          </w:tcPr>
          <w:p w14:paraId="4848D77F" w14:textId="77777777" w:rsidR="00336D05" w:rsidRPr="00B81A6C" w:rsidRDefault="00336D05" w:rsidP="002F0CFF">
            <w:pPr>
              <w:shd w:val="solid" w:color="FFFFFF" w:fill="FFFFFF"/>
              <w:spacing w:before="0" w:after="120" w:line="240" w:lineRule="atLeast"/>
              <w:rPr>
                <w:rFonts w:ascii="Verdana" w:hAnsi="Verdana"/>
                <w:sz w:val="20"/>
              </w:rPr>
            </w:pPr>
            <w:r>
              <w:rPr>
                <w:rFonts w:ascii="Verdana" w:hAnsi="Verdana"/>
                <w:b/>
                <w:sz w:val="20"/>
              </w:rPr>
              <w:t>Original: English</w:t>
            </w:r>
          </w:p>
        </w:tc>
      </w:tr>
      <w:tr w:rsidR="00336D05" w14:paraId="52D7B256" w14:textId="77777777" w:rsidTr="002F0CFF">
        <w:trPr>
          <w:cantSplit/>
        </w:trPr>
        <w:tc>
          <w:tcPr>
            <w:tcW w:w="9889" w:type="dxa"/>
            <w:gridSpan w:val="4"/>
          </w:tcPr>
          <w:p w14:paraId="233567B1" w14:textId="77777777" w:rsidR="00336D05" w:rsidRDefault="00336D05" w:rsidP="002F0CFF">
            <w:pPr>
              <w:pStyle w:val="Source"/>
            </w:pPr>
            <w:r w:rsidRPr="001A704A">
              <w:t>Director, Radiocommunication Bureau</w:t>
            </w:r>
          </w:p>
        </w:tc>
      </w:tr>
      <w:tr w:rsidR="00336D05" w14:paraId="610DB654" w14:textId="77777777" w:rsidTr="002F0CFF">
        <w:trPr>
          <w:cantSplit/>
        </w:trPr>
        <w:tc>
          <w:tcPr>
            <w:tcW w:w="9889" w:type="dxa"/>
            <w:gridSpan w:val="4"/>
          </w:tcPr>
          <w:p w14:paraId="37E1808F" w14:textId="77777777" w:rsidR="00336D05" w:rsidRDefault="00336D05" w:rsidP="002F0CFF">
            <w:pPr>
              <w:pStyle w:val="Title1"/>
            </w:pPr>
            <w:r w:rsidRPr="001A704A">
              <w:t>report TO the twenty-third meeting of the radiocommunication advisory group</w:t>
            </w:r>
          </w:p>
        </w:tc>
      </w:tr>
      <w:tr w:rsidR="00336D05" w:rsidRPr="001A704A" w14:paraId="59C62BF3" w14:textId="77777777" w:rsidTr="002F0CFF">
        <w:trPr>
          <w:cantSplit/>
        </w:trPr>
        <w:tc>
          <w:tcPr>
            <w:tcW w:w="9889" w:type="dxa"/>
            <w:gridSpan w:val="4"/>
          </w:tcPr>
          <w:p w14:paraId="6618A030" w14:textId="13C7C2BB" w:rsidR="00336D05" w:rsidRPr="001A704A" w:rsidRDefault="00097B73" w:rsidP="00097B73">
            <w:pPr>
              <w:pStyle w:val="Title1"/>
            </w:pPr>
            <w:r w:rsidRPr="00097B73">
              <w:t>Global Mobile Personal Communications by Satellite (GMPCS)</w:t>
            </w:r>
          </w:p>
        </w:tc>
      </w:tr>
    </w:tbl>
    <w:p w14:paraId="1918D133" w14:textId="22BBAC5A" w:rsidR="0087456A" w:rsidRPr="001A704A" w:rsidRDefault="0087456A" w:rsidP="00097B73">
      <w:pPr>
        <w:pStyle w:val="Normalaftertitle"/>
      </w:pPr>
      <w:r w:rsidRPr="001A704A">
        <w:t xml:space="preserve">This Addendum presents a summary </w:t>
      </w:r>
      <w:r w:rsidR="00097B73">
        <w:t xml:space="preserve">of the implementation </w:t>
      </w:r>
      <w:r w:rsidR="00097B73">
        <w:t>of the GMPCS-MoU Arrangements and GMPCS-MoU Mark</w:t>
      </w:r>
      <w:r w:rsidRPr="001A704A">
        <w:t>.</w:t>
      </w:r>
    </w:p>
    <w:p w14:paraId="70571906" w14:textId="77777777" w:rsidR="00097B73" w:rsidRPr="00097B73" w:rsidRDefault="00097B73" w:rsidP="00097B73">
      <w:pPr>
        <w:pStyle w:val="Heading1"/>
      </w:pPr>
      <w:bookmarkStart w:id="1" w:name="_Toc225584396"/>
      <w:r w:rsidRPr="00097B73">
        <w:t>1</w:t>
      </w:r>
      <w:r w:rsidRPr="00097B73">
        <w:tab/>
        <w:t>Introduction</w:t>
      </w:r>
      <w:bookmarkEnd w:id="1"/>
    </w:p>
    <w:p w14:paraId="5867E08E" w14:textId="77777777" w:rsidR="00097B73" w:rsidRDefault="00097B73" w:rsidP="00097B73">
      <w:pPr>
        <w:rPr>
          <w:lang w:val="en-US"/>
        </w:rPr>
      </w:pPr>
      <w:r>
        <w:rPr>
          <w:lang w:val="en-US"/>
        </w:rPr>
        <w:t xml:space="preserve">A GMPCS system </w:t>
      </w:r>
      <w:r w:rsidRPr="00B7692D">
        <w:rPr>
          <w:lang w:val="en-US"/>
        </w:rPr>
        <w:t>is a personal communication system providing transnational, regional or global coverage from a constellation of satellites accessible with small and easily transportable terminals. Whether the GMPCS satellite systems are geostationary or non-geostationary</w:t>
      </w:r>
      <w:r w:rsidRPr="007D35F2">
        <w:rPr>
          <w:lang w:val="en-US"/>
        </w:rPr>
        <w:t>, fixed or mobile,</w:t>
      </w:r>
      <w:r w:rsidRPr="00B7692D">
        <w:rPr>
          <w:lang w:val="en-US"/>
        </w:rPr>
        <w:t xml:space="preserve"> broadband or narrowband, global or regional, they are capable of providing telecommunication services directly to end users. GMPCS services include two-way voice, fax, messaging, data and broadband multimedia.</w:t>
      </w:r>
      <w:r w:rsidRPr="00587F81">
        <w:t xml:space="preserve"> </w:t>
      </w:r>
      <w:r>
        <w:t xml:space="preserve">Detailed information </w:t>
      </w:r>
      <w:r w:rsidRPr="00DF4EFA">
        <w:t xml:space="preserve">on all aspects of GMPCS services, including reference materials, covering regulatory, technical, operational and commercial </w:t>
      </w:r>
      <w:r>
        <w:t>consider</w:t>
      </w:r>
      <w:r w:rsidRPr="00DF4EFA">
        <w:t>ations</w:t>
      </w:r>
      <w:r>
        <w:t xml:space="preserve"> can be found in the </w:t>
      </w:r>
      <w:hyperlink r:id="rId9" w:history="1">
        <w:r w:rsidRPr="00183D13">
          <w:rPr>
            <w:rStyle w:val="Hyperlink"/>
          </w:rPr>
          <w:t>GMPCS Re</w:t>
        </w:r>
        <w:r w:rsidRPr="00183D13">
          <w:rPr>
            <w:rStyle w:val="Hyperlink"/>
          </w:rPr>
          <w:t>f</w:t>
        </w:r>
        <w:r w:rsidRPr="00183D13">
          <w:rPr>
            <w:rStyle w:val="Hyperlink"/>
          </w:rPr>
          <w:t>erence Book</w:t>
        </w:r>
      </w:hyperlink>
      <w:r>
        <w:t>.</w:t>
      </w:r>
    </w:p>
    <w:p w14:paraId="241E9EA6" w14:textId="77777777" w:rsidR="00097B73" w:rsidRPr="00097B73" w:rsidRDefault="00097B73" w:rsidP="00097B73">
      <w:pPr>
        <w:pStyle w:val="Heading1"/>
      </w:pPr>
      <w:bookmarkStart w:id="2" w:name="_Toc225584397"/>
      <w:r w:rsidRPr="00097B73">
        <w:t>2</w:t>
      </w:r>
      <w:r w:rsidRPr="00097B73">
        <w:tab/>
        <w:t>Role of the ITU</w:t>
      </w:r>
      <w:bookmarkEnd w:id="2"/>
    </w:p>
    <w:p w14:paraId="45B911D5" w14:textId="77777777" w:rsidR="00097B73" w:rsidRDefault="00097B73" w:rsidP="00097B73">
      <w:pPr>
        <w:rPr>
          <w:lang w:val="en-US"/>
        </w:rPr>
      </w:pPr>
      <w:r w:rsidRPr="00B7692D">
        <w:rPr>
          <w:lang w:val="en-US"/>
        </w:rPr>
        <w:t xml:space="preserve">During the first </w:t>
      </w:r>
      <w:hyperlink r:id="rId10" w:history="1">
        <w:r w:rsidRPr="009A2299">
          <w:rPr>
            <w:rStyle w:val="Hyperlink"/>
            <w:lang w:val="en-US"/>
          </w:rPr>
          <w:t>World Telecommun</w:t>
        </w:r>
        <w:r w:rsidRPr="009A2299">
          <w:rPr>
            <w:rStyle w:val="Hyperlink"/>
            <w:lang w:val="en-US"/>
          </w:rPr>
          <w:t>i</w:t>
        </w:r>
        <w:r w:rsidRPr="009A2299">
          <w:rPr>
            <w:rStyle w:val="Hyperlink"/>
            <w:lang w:val="en-US"/>
          </w:rPr>
          <w:t xml:space="preserve">cation </w:t>
        </w:r>
        <w:r w:rsidRPr="009A2299">
          <w:rPr>
            <w:rStyle w:val="Hyperlink"/>
            <w:lang w:val="en-US"/>
          </w:rPr>
          <w:t>P</w:t>
        </w:r>
        <w:r w:rsidRPr="009A2299">
          <w:rPr>
            <w:rStyle w:val="Hyperlink"/>
            <w:lang w:val="en-US"/>
          </w:rPr>
          <w:t>olicy Forum</w:t>
        </w:r>
      </w:hyperlink>
      <w:r w:rsidRPr="00B7692D">
        <w:rPr>
          <w:lang w:val="en-US"/>
        </w:rPr>
        <w:t xml:space="preserve"> (WTPF) held in Geneva in October 1996, 129 ITU Member States and 70 Sector Members addressed the </w:t>
      </w:r>
      <w:r>
        <w:rPr>
          <w:lang w:val="en-US"/>
        </w:rPr>
        <w:t xml:space="preserve">policy and </w:t>
      </w:r>
      <w:r w:rsidRPr="00B7692D">
        <w:rPr>
          <w:lang w:val="en-US"/>
        </w:rPr>
        <w:t xml:space="preserve">regulatory issues concerning the </w:t>
      </w:r>
      <w:r>
        <w:rPr>
          <w:lang w:val="en-US"/>
        </w:rPr>
        <w:t xml:space="preserve">early introduction </w:t>
      </w:r>
      <w:r w:rsidRPr="00B7692D">
        <w:rPr>
          <w:lang w:val="en-US"/>
        </w:rPr>
        <w:t>of GMPCS s</w:t>
      </w:r>
      <w:r>
        <w:rPr>
          <w:lang w:val="en-US"/>
        </w:rPr>
        <w:t>ervices</w:t>
      </w:r>
      <w:r w:rsidRPr="00B7692D">
        <w:rPr>
          <w:lang w:val="en-US"/>
        </w:rPr>
        <w:t xml:space="preserve">. The WTPF produced five opinions on the principles and issues related to the introduction of GMPCS </w:t>
      </w:r>
      <w:r w:rsidRPr="00E13692">
        <w:rPr>
          <w:lang w:val="en-US"/>
        </w:rPr>
        <w:t>services</w:t>
      </w:r>
      <w:r w:rsidRPr="00B7692D">
        <w:rPr>
          <w:lang w:val="en-US"/>
        </w:rPr>
        <w:t>.</w:t>
      </w:r>
    </w:p>
    <w:p w14:paraId="67EDF5D0" w14:textId="77777777" w:rsidR="00097B73" w:rsidRDefault="00097B73" w:rsidP="00097B73">
      <w:pPr>
        <w:rPr>
          <w:lang w:val="en-US"/>
        </w:rPr>
      </w:pPr>
      <w:r w:rsidRPr="00E13692">
        <w:rPr>
          <w:lang w:val="en-US"/>
        </w:rPr>
        <w:t>Opinion No. 2 called for Administrations to facilitate the early introduction of GMPCS services and to cooperate internationally in developing and harmonizing policies to facilitate the introduction of GMPCS.</w:t>
      </w:r>
    </w:p>
    <w:p w14:paraId="2EFC19CF" w14:textId="77777777" w:rsidR="00097B73" w:rsidRDefault="00097B73" w:rsidP="00097B73">
      <w:r w:rsidRPr="00B7692D">
        <w:rPr>
          <w:lang w:val="en-US"/>
        </w:rPr>
        <w:t xml:space="preserve">Opinion </w:t>
      </w:r>
      <w:r w:rsidRPr="00E13692">
        <w:rPr>
          <w:lang w:val="en-US"/>
        </w:rPr>
        <w:t>No.</w:t>
      </w:r>
      <w:r>
        <w:rPr>
          <w:lang w:val="en-US"/>
        </w:rPr>
        <w:t xml:space="preserve"> </w:t>
      </w:r>
      <w:r w:rsidRPr="00B7692D">
        <w:rPr>
          <w:lang w:val="en-US"/>
        </w:rPr>
        <w:t xml:space="preserve">4 </w:t>
      </w:r>
      <w:r>
        <w:t>recognized that because some GMPCS systems were already in operation and others would be brought into operation as early as 1998, urgent action was needed to facilitate the global circulation and trans-border roaming of terminals.</w:t>
      </w:r>
      <w:r w:rsidRPr="00A54BBC">
        <w:t xml:space="preserve"> </w:t>
      </w:r>
      <w:r>
        <w:t>Opinion No. 4 also recognized that the early introduction of GMPCS services would be facilitated by a commonly agreed upon GMPCS Memorandum of Understanding (GMPCS-MoU) to be used as a framework for arrangements to facilitate the global circulation and trans-border roaming of GMPCS terminals.</w:t>
      </w:r>
    </w:p>
    <w:p w14:paraId="1876ED99" w14:textId="77777777" w:rsidR="00097B73" w:rsidRDefault="00097B73" w:rsidP="00097B73">
      <w:pPr>
        <w:rPr>
          <w:lang w:val="en-US"/>
        </w:rPr>
      </w:pPr>
      <w:r w:rsidRPr="00B7692D">
        <w:rPr>
          <w:lang w:val="en-US"/>
        </w:rPr>
        <w:t xml:space="preserve">After the WTPF, the Secretary-General of the ITU convened an Informal Group of Administrations, GMPCS operators, service providers and terminal manufacturers. Working with the support of the ITU General Secretariat, the Group finalized the </w:t>
      </w:r>
      <w:hyperlink r:id="rId11" w:history="1">
        <w:r w:rsidRPr="009A2299">
          <w:rPr>
            <w:rStyle w:val="Hyperlink"/>
            <w:lang w:val="en-US"/>
          </w:rPr>
          <w:t>GMPC</w:t>
        </w:r>
        <w:r w:rsidRPr="009A2299">
          <w:rPr>
            <w:rStyle w:val="Hyperlink"/>
            <w:lang w:val="en-US"/>
          </w:rPr>
          <w:t>S</w:t>
        </w:r>
        <w:r w:rsidRPr="009A2299">
          <w:rPr>
            <w:rStyle w:val="Hyperlink"/>
            <w:lang w:val="en-US"/>
          </w:rPr>
          <w:t>-MoU</w:t>
        </w:r>
      </w:hyperlink>
      <w:r w:rsidRPr="00B7692D">
        <w:rPr>
          <w:lang w:val="en-US"/>
        </w:rPr>
        <w:t xml:space="preserve"> and then it adopted the </w:t>
      </w:r>
      <w:hyperlink r:id="rId12" w:history="1">
        <w:r w:rsidRPr="009A2299">
          <w:rPr>
            <w:rStyle w:val="Hyperlink"/>
            <w:lang w:val="en-US"/>
          </w:rPr>
          <w:t>GMPCS-MoU A</w:t>
        </w:r>
        <w:r w:rsidRPr="009A2299">
          <w:rPr>
            <w:rStyle w:val="Hyperlink"/>
            <w:lang w:val="en-US"/>
          </w:rPr>
          <w:t>r</w:t>
        </w:r>
        <w:r w:rsidRPr="009A2299">
          <w:rPr>
            <w:rStyle w:val="Hyperlink"/>
            <w:lang w:val="en-US"/>
          </w:rPr>
          <w:t>rangements</w:t>
        </w:r>
      </w:hyperlink>
      <w:r w:rsidRPr="00B7692D">
        <w:rPr>
          <w:lang w:val="en-US"/>
        </w:rPr>
        <w:t xml:space="preserve">. </w:t>
      </w:r>
      <w:r>
        <w:rPr>
          <w:lang w:val="en-US"/>
        </w:rPr>
        <w:t>These</w:t>
      </w:r>
      <w:r w:rsidRPr="00B7692D">
        <w:rPr>
          <w:lang w:val="en-US"/>
        </w:rPr>
        <w:t xml:space="preserve"> Arrangements </w:t>
      </w:r>
      <w:r>
        <w:rPr>
          <w:lang w:val="en-US"/>
        </w:rPr>
        <w:t xml:space="preserve">provide a framework for </w:t>
      </w:r>
      <w:r w:rsidRPr="00B7692D">
        <w:rPr>
          <w:lang w:val="en-US"/>
        </w:rPr>
        <w:t xml:space="preserve">type approval, </w:t>
      </w:r>
      <w:r>
        <w:rPr>
          <w:lang w:val="en-US"/>
        </w:rPr>
        <w:t xml:space="preserve">simplified </w:t>
      </w:r>
      <w:r w:rsidRPr="00B7692D">
        <w:rPr>
          <w:lang w:val="en-US"/>
        </w:rPr>
        <w:t xml:space="preserve">licensing, </w:t>
      </w:r>
      <w:r>
        <w:rPr>
          <w:lang w:val="en-US"/>
        </w:rPr>
        <w:t>identification (</w:t>
      </w:r>
      <w:r w:rsidRPr="00B7692D">
        <w:rPr>
          <w:lang w:val="en-US"/>
        </w:rPr>
        <w:t>marking</w:t>
      </w:r>
      <w:r>
        <w:rPr>
          <w:lang w:val="en-US"/>
        </w:rPr>
        <w:t>)</w:t>
      </w:r>
      <w:r w:rsidRPr="00B7692D">
        <w:rPr>
          <w:lang w:val="en-US"/>
        </w:rPr>
        <w:t xml:space="preserve">, </w:t>
      </w:r>
      <w:r>
        <w:rPr>
          <w:lang w:val="en-US"/>
        </w:rPr>
        <w:t xml:space="preserve">access to </w:t>
      </w:r>
      <w:r w:rsidRPr="00B7692D">
        <w:rPr>
          <w:lang w:val="en-US"/>
        </w:rPr>
        <w:t>traffic data, and customs recommendations related to the free circulation of GMPCS terminals.</w:t>
      </w:r>
      <w:r>
        <w:rPr>
          <w:lang w:val="en-US"/>
        </w:rPr>
        <w:t xml:space="preserve"> </w:t>
      </w:r>
      <w:r w:rsidRPr="00B7692D">
        <w:rPr>
          <w:lang w:val="en-US"/>
        </w:rPr>
        <w:t>Finally, the Group approved the procedures for the Implementation of the GMPCS-MoU Arrangements. Its main features are the notification and implementation procedures and a decision on the GMPCS-MoU Mark.</w:t>
      </w:r>
      <w:r>
        <w:rPr>
          <w:lang w:val="en-US"/>
        </w:rPr>
        <w:t xml:space="preserve"> Since then, the Arrangements and Procedures were revised on 7 June 2003.</w:t>
      </w:r>
    </w:p>
    <w:p w14:paraId="2585C06E" w14:textId="77777777" w:rsidR="00097B73" w:rsidRPr="00B7692D" w:rsidRDefault="00097B73" w:rsidP="00097B73">
      <w:pPr>
        <w:rPr>
          <w:lang w:val="en-US"/>
        </w:rPr>
      </w:pPr>
      <w:r w:rsidRPr="00B7692D">
        <w:rPr>
          <w:lang w:val="en-US"/>
        </w:rPr>
        <w:t xml:space="preserve">In May 1998 the ITU Council adopted </w:t>
      </w:r>
      <w:hyperlink r:id="rId13" w:history="1">
        <w:r w:rsidRPr="009A2299">
          <w:rPr>
            <w:rStyle w:val="Hyperlink"/>
            <w:lang w:val="en-US"/>
          </w:rPr>
          <w:t>Resolution 1116</w:t>
        </w:r>
      </w:hyperlink>
      <w:r w:rsidRPr="00B7692D">
        <w:rPr>
          <w:lang w:val="en-US"/>
        </w:rPr>
        <w:t xml:space="preserve"> authorizing the depository role of the ITU Secretary-General and the use of the Abbreviation "ITU" as part of the GMPCS-MoU Mark to facilitate the free circulation of GMPCS terminals. The ITU General Secretariat makes available the list of </w:t>
      </w:r>
      <w:hyperlink r:id="rId14" w:history="1">
        <w:r w:rsidRPr="009A2299">
          <w:rPr>
            <w:rStyle w:val="Hyperlink"/>
            <w:lang w:val="en-US"/>
          </w:rPr>
          <w:t>GMPCS-MoU Signato</w:t>
        </w:r>
        <w:r w:rsidRPr="009A2299">
          <w:rPr>
            <w:rStyle w:val="Hyperlink"/>
            <w:lang w:val="en-US"/>
          </w:rPr>
          <w:t>r</w:t>
        </w:r>
        <w:r w:rsidRPr="009A2299">
          <w:rPr>
            <w:rStyle w:val="Hyperlink"/>
            <w:lang w:val="en-US"/>
          </w:rPr>
          <w:t>ies</w:t>
        </w:r>
      </w:hyperlink>
      <w:r w:rsidRPr="00B7692D">
        <w:rPr>
          <w:lang w:val="en-US"/>
        </w:rPr>
        <w:t xml:space="preserve">, including </w:t>
      </w:r>
      <w:hyperlink r:id="rId15" w:history="1">
        <w:r w:rsidRPr="009A2299">
          <w:rPr>
            <w:rStyle w:val="Hyperlink"/>
            <w:lang w:val="en-US"/>
          </w:rPr>
          <w:t>Admin</w:t>
        </w:r>
        <w:r w:rsidRPr="009A2299">
          <w:rPr>
            <w:rStyle w:val="Hyperlink"/>
            <w:lang w:val="en-US"/>
          </w:rPr>
          <w:t>i</w:t>
        </w:r>
        <w:r w:rsidRPr="009A2299">
          <w:rPr>
            <w:rStyle w:val="Hyperlink"/>
            <w:lang w:val="en-US"/>
          </w:rPr>
          <w:t>strations</w:t>
        </w:r>
      </w:hyperlink>
      <w:r w:rsidRPr="00B7692D">
        <w:rPr>
          <w:lang w:val="en-US"/>
        </w:rPr>
        <w:t xml:space="preserve"> (ITU Member States). It also maintains the </w:t>
      </w:r>
      <w:hyperlink r:id="rId16" w:history="1">
        <w:r w:rsidRPr="009A2299">
          <w:rPr>
            <w:rStyle w:val="Hyperlink"/>
            <w:lang w:val="en-US"/>
          </w:rPr>
          <w:t>registry for t</w:t>
        </w:r>
        <w:r w:rsidRPr="009A2299">
          <w:rPr>
            <w:rStyle w:val="Hyperlink"/>
            <w:lang w:val="en-US"/>
          </w:rPr>
          <w:t>y</w:t>
        </w:r>
        <w:r w:rsidRPr="009A2299">
          <w:rPr>
            <w:rStyle w:val="Hyperlink"/>
            <w:lang w:val="en-US"/>
          </w:rPr>
          <w:t>pe</w:t>
        </w:r>
        <w:r w:rsidRPr="009A2299">
          <w:rPr>
            <w:rStyle w:val="Hyperlink"/>
            <w:lang w:val="en-US"/>
          </w:rPr>
          <w:t xml:space="preserve"> </w:t>
        </w:r>
        <w:r w:rsidRPr="009A2299">
          <w:rPr>
            <w:rStyle w:val="Hyperlink"/>
            <w:lang w:val="en-US"/>
          </w:rPr>
          <w:t>appro</w:t>
        </w:r>
        <w:r w:rsidRPr="009A2299">
          <w:rPr>
            <w:rStyle w:val="Hyperlink"/>
            <w:lang w:val="en-US"/>
          </w:rPr>
          <w:t>v</w:t>
        </w:r>
        <w:r w:rsidRPr="009A2299">
          <w:rPr>
            <w:rStyle w:val="Hyperlink"/>
            <w:lang w:val="en-US"/>
          </w:rPr>
          <w:t>al letters</w:t>
        </w:r>
      </w:hyperlink>
      <w:r w:rsidRPr="00B7692D">
        <w:rPr>
          <w:lang w:val="en-US"/>
        </w:rPr>
        <w:t xml:space="preserve"> used by Administrations and/or Competent Authorities </w:t>
      </w:r>
      <w:r>
        <w:rPr>
          <w:lang w:val="en-US"/>
        </w:rPr>
        <w:t>(any</w:t>
      </w:r>
      <w:r>
        <w:t xml:space="preserve"> organization competent for regulatory issues addressed in the Arrangements)</w:t>
      </w:r>
      <w:r w:rsidRPr="00B7692D">
        <w:rPr>
          <w:lang w:val="en-US"/>
        </w:rPr>
        <w:t xml:space="preserve"> to approve terminals that are notified to the ITU, and for terminal types once Administrations and/or Competent Authorities have notified the ITU that terminals have been granted type approval. The ITU General Secretariat update</w:t>
      </w:r>
      <w:r>
        <w:rPr>
          <w:lang w:val="en-US"/>
        </w:rPr>
        <w:t>s</w:t>
      </w:r>
      <w:r w:rsidRPr="00B7692D">
        <w:rPr>
          <w:lang w:val="en-US"/>
        </w:rPr>
        <w:t xml:space="preserve"> the implementation of the GMPCS-MoU Arrangements. This information provide</w:t>
      </w:r>
      <w:r>
        <w:rPr>
          <w:lang w:val="en-US"/>
        </w:rPr>
        <w:t>s</w:t>
      </w:r>
      <w:r w:rsidRPr="00B7692D">
        <w:rPr>
          <w:lang w:val="en-US"/>
        </w:rPr>
        <w:t>:</w:t>
      </w:r>
    </w:p>
    <w:p w14:paraId="1733F822" w14:textId="77777777" w:rsidR="00097B73" w:rsidRPr="00B7692D" w:rsidRDefault="00097B73" w:rsidP="00097B73">
      <w:pPr>
        <w:numPr>
          <w:ilvl w:val="0"/>
          <w:numId w:val="43"/>
        </w:numPr>
        <w:tabs>
          <w:tab w:val="left" w:pos="794"/>
          <w:tab w:val="left" w:pos="1191"/>
          <w:tab w:val="left" w:pos="1588"/>
          <w:tab w:val="left" w:pos="1985"/>
        </w:tabs>
        <w:rPr>
          <w:lang w:val="en-US"/>
        </w:rPr>
      </w:pPr>
      <w:r w:rsidRPr="00B7692D">
        <w:rPr>
          <w:lang w:val="en-US"/>
        </w:rPr>
        <w:t>a list of entities implementing the Arrangements either in full or in part</w:t>
      </w:r>
      <w:r>
        <w:rPr>
          <w:lang w:val="en-US"/>
        </w:rPr>
        <w:t>;</w:t>
      </w:r>
      <w:r w:rsidRPr="00B7692D">
        <w:rPr>
          <w:lang w:val="en-US"/>
        </w:rPr>
        <w:t xml:space="preserve"> </w:t>
      </w:r>
    </w:p>
    <w:p w14:paraId="3FC2DE5C" w14:textId="77777777" w:rsidR="00097B73" w:rsidRPr="00B7692D" w:rsidRDefault="00097B73" w:rsidP="00097B73">
      <w:pPr>
        <w:numPr>
          <w:ilvl w:val="0"/>
          <w:numId w:val="43"/>
        </w:numPr>
        <w:tabs>
          <w:tab w:val="left" w:pos="794"/>
          <w:tab w:val="left" w:pos="1191"/>
          <w:tab w:val="left" w:pos="1588"/>
          <w:tab w:val="left" w:pos="1985"/>
        </w:tabs>
        <w:rPr>
          <w:lang w:val="en-US"/>
        </w:rPr>
      </w:pPr>
      <w:r w:rsidRPr="00B7692D">
        <w:rPr>
          <w:lang w:val="en-US"/>
        </w:rPr>
        <w:t>a list of GMPCS systems authorized in each country</w:t>
      </w:r>
      <w:r>
        <w:rPr>
          <w:lang w:val="en-US"/>
        </w:rPr>
        <w:t>;</w:t>
      </w:r>
      <w:r w:rsidRPr="00B7692D">
        <w:rPr>
          <w:lang w:val="en-US"/>
        </w:rPr>
        <w:t xml:space="preserve"> </w:t>
      </w:r>
    </w:p>
    <w:p w14:paraId="31D93721" w14:textId="77777777" w:rsidR="00097B73" w:rsidRDefault="00097B73" w:rsidP="00097B73">
      <w:pPr>
        <w:numPr>
          <w:ilvl w:val="0"/>
          <w:numId w:val="43"/>
        </w:numPr>
        <w:tabs>
          <w:tab w:val="left" w:pos="794"/>
          <w:tab w:val="left" w:pos="1191"/>
          <w:tab w:val="left" w:pos="1588"/>
          <w:tab w:val="left" w:pos="1985"/>
        </w:tabs>
        <w:rPr>
          <w:lang w:val="en-US"/>
        </w:rPr>
      </w:pPr>
      <w:r w:rsidRPr="00B7692D">
        <w:rPr>
          <w:lang w:val="en-US"/>
        </w:rPr>
        <w:t xml:space="preserve">a list of the </w:t>
      </w:r>
      <w:hyperlink r:id="rId17" w:history="1">
        <w:r w:rsidRPr="009A2299">
          <w:rPr>
            <w:rStyle w:val="Hyperlink"/>
            <w:lang w:val="en-US"/>
          </w:rPr>
          <w:t>GMPCS termi</w:t>
        </w:r>
        <w:r w:rsidRPr="009A2299">
          <w:rPr>
            <w:rStyle w:val="Hyperlink"/>
            <w:lang w:val="en-US"/>
          </w:rPr>
          <w:t>n</w:t>
        </w:r>
        <w:r w:rsidRPr="009A2299">
          <w:rPr>
            <w:rStyle w:val="Hyperlink"/>
            <w:lang w:val="en-US"/>
          </w:rPr>
          <w:t>als</w:t>
        </w:r>
        <w:r w:rsidRPr="009A2299">
          <w:rPr>
            <w:rStyle w:val="Hyperlink"/>
            <w:lang w:val="en-US"/>
          </w:rPr>
          <w:t xml:space="preserve"> </w:t>
        </w:r>
        <w:r w:rsidRPr="009A2299">
          <w:rPr>
            <w:rStyle w:val="Hyperlink"/>
            <w:lang w:val="en-US"/>
          </w:rPr>
          <w:t>r</w:t>
        </w:r>
        <w:r w:rsidRPr="009A2299">
          <w:rPr>
            <w:rStyle w:val="Hyperlink"/>
            <w:lang w:val="en-US"/>
          </w:rPr>
          <w:t>egister</w:t>
        </w:r>
        <w:r w:rsidRPr="009A2299">
          <w:rPr>
            <w:rStyle w:val="Hyperlink"/>
            <w:lang w:val="en-US"/>
          </w:rPr>
          <w:t>e</w:t>
        </w:r>
        <w:r w:rsidRPr="009A2299">
          <w:rPr>
            <w:rStyle w:val="Hyperlink"/>
            <w:lang w:val="en-US"/>
          </w:rPr>
          <w:t>d</w:t>
        </w:r>
        <w:r w:rsidRPr="009A2299">
          <w:rPr>
            <w:rStyle w:val="Hyperlink"/>
            <w:lang w:val="en-US"/>
          </w:rPr>
          <w:t xml:space="preserve"> at the ITU</w:t>
        </w:r>
      </w:hyperlink>
      <w:r w:rsidRPr="00B7692D">
        <w:rPr>
          <w:lang w:val="en-US"/>
        </w:rPr>
        <w:t xml:space="preserve"> indicating their status in each countr</w:t>
      </w:r>
      <w:r>
        <w:rPr>
          <w:lang w:val="en-US"/>
        </w:rPr>
        <w:t>y</w:t>
      </w:r>
      <w:r w:rsidRPr="00B7692D">
        <w:rPr>
          <w:lang w:val="en-US"/>
        </w:rPr>
        <w:t>.</w:t>
      </w:r>
    </w:p>
    <w:p w14:paraId="7524C04E" w14:textId="77777777" w:rsidR="00097B73" w:rsidRPr="00097B73" w:rsidRDefault="00097B73" w:rsidP="00097B73">
      <w:pPr>
        <w:pStyle w:val="Heading1"/>
      </w:pPr>
      <w:bookmarkStart w:id="3" w:name="_Toc225584398"/>
      <w:r w:rsidRPr="00097B73">
        <w:t>3</w:t>
      </w:r>
      <w:r w:rsidRPr="00097B73">
        <w:tab/>
        <w:t>Type approval of terminals</w:t>
      </w:r>
      <w:bookmarkEnd w:id="3"/>
    </w:p>
    <w:p w14:paraId="1DF26FF1" w14:textId="77777777" w:rsidR="00097B73" w:rsidRDefault="00097B73" w:rsidP="00097B73">
      <w:r w:rsidRPr="00460EAE">
        <w:rPr>
          <w:bCs/>
        </w:rPr>
        <w:t>Type Approval</w:t>
      </w:r>
      <w:r>
        <w:t xml:space="preserve"> is the process through which the conformity of GMPCS terminals with regulatory technical requirements is assessed. These technical requirements are mainly intended to ensure that GMPCS terminals do not harm networks, GMPCS users, other users, or other equipment. A variety of procedures (ranging from obligatory third party testing to manufacturer's declaration) may be in place.</w:t>
      </w:r>
    </w:p>
    <w:p w14:paraId="78BD30E9" w14:textId="77777777" w:rsidR="00097B73" w:rsidRPr="006509EA" w:rsidRDefault="00097B73" w:rsidP="00097B73">
      <w:pPr>
        <w:rPr>
          <w:lang w:val="en-US"/>
        </w:rPr>
      </w:pPr>
      <w:r w:rsidRPr="006509EA">
        <w:rPr>
          <w:lang w:val="en-US"/>
        </w:rPr>
        <w:t xml:space="preserve">GMPCS </w:t>
      </w:r>
      <w:r>
        <w:rPr>
          <w:lang w:val="en-US"/>
        </w:rPr>
        <w:t>t</w:t>
      </w:r>
      <w:r w:rsidRPr="006509EA">
        <w:rPr>
          <w:lang w:val="en-US"/>
        </w:rPr>
        <w:t xml:space="preserve">erminals </w:t>
      </w:r>
      <w:r>
        <w:rPr>
          <w:lang w:val="en-US"/>
        </w:rPr>
        <w:t>are</w:t>
      </w:r>
      <w:r w:rsidRPr="006509EA">
        <w:rPr>
          <w:lang w:val="en-US"/>
        </w:rPr>
        <w:t xml:space="preserve"> required to meet the following requirements (hereinafter referred to as "essential requirements"):</w:t>
      </w:r>
    </w:p>
    <w:p w14:paraId="0D0A5BF9" w14:textId="77777777" w:rsidR="00097B73" w:rsidRPr="006509EA" w:rsidRDefault="00097B73" w:rsidP="00097B73">
      <w:pPr>
        <w:numPr>
          <w:ilvl w:val="1"/>
          <w:numId w:val="43"/>
        </w:numPr>
        <w:tabs>
          <w:tab w:val="left" w:pos="794"/>
          <w:tab w:val="left" w:pos="1191"/>
          <w:tab w:val="left" w:pos="1588"/>
          <w:tab w:val="left" w:pos="1985"/>
        </w:tabs>
        <w:rPr>
          <w:lang w:val="en-US"/>
        </w:rPr>
      </w:pPr>
      <w:r w:rsidRPr="006509EA">
        <w:rPr>
          <w:lang w:val="en-US"/>
        </w:rPr>
        <w:t>Safety;</w:t>
      </w:r>
    </w:p>
    <w:p w14:paraId="617726B6" w14:textId="77777777" w:rsidR="00097B73" w:rsidRPr="006509EA" w:rsidRDefault="00097B73" w:rsidP="00097B73">
      <w:pPr>
        <w:numPr>
          <w:ilvl w:val="1"/>
          <w:numId w:val="43"/>
        </w:numPr>
        <w:tabs>
          <w:tab w:val="left" w:pos="794"/>
          <w:tab w:val="left" w:pos="1191"/>
          <w:tab w:val="left" w:pos="1588"/>
          <w:tab w:val="left" w:pos="1985"/>
        </w:tabs>
        <w:rPr>
          <w:lang w:val="en-US"/>
        </w:rPr>
      </w:pPr>
      <w:r w:rsidRPr="006509EA">
        <w:rPr>
          <w:lang w:val="en-US"/>
        </w:rPr>
        <w:t>Electromagnetic compatibility (EMC); and</w:t>
      </w:r>
    </w:p>
    <w:p w14:paraId="33150A5B" w14:textId="77777777" w:rsidR="00097B73" w:rsidRPr="006509EA" w:rsidRDefault="00097B73" w:rsidP="00097B73">
      <w:pPr>
        <w:numPr>
          <w:ilvl w:val="1"/>
          <w:numId w:val="43"/>
        </w:numPr>
        <w:tabs>
          <w:tab w:val="left" w:pos="794"/>
          <w:tab w:val="left" w:pos="1191"/>
          <w:tab w:val="left" w:pos="1588"/>
          <w:tab w:val="left" w:pos="1985"/>
        </w:tabs>
        <w:rPr>
          <w:lang w:val="en-US"/>
        </w:rPr>
      </w:pPr>
      <w:r w:rsidRPr="006509EA">
        <w:rPr>
          <w:lang w:val="en-US"/>
        </w:rPr>
        <w:t xml:space="preserve">Effective use of the radio spectrum and orbital resources, including </w:t>
      </w:r>
      <w:r>
        <w:rPr>
          <w:lang w:val="en-US"/>
        </w:rPr>
        <w:t xml:space="preserve">consideration of </w:t>
      </w:r>
      <w:r w:rsidRPr="006509EA">
        <w:rPr>
          <w:lang w:val="en-US"/>
        </w:rPr>
        <w:t>electromagnetic</w:t>
      </w:r>
      <w:r>
        <w:rPr>
          <w:lang w:val="en-US"/>
        </w:rPr>
        <w:t xml:space="preserve"> </w:t>
      </w:r>
      <w:r w:rsidRPr="006509EA">
        <w:rPr>
          <w:lang w:val="en-US"/>
        </w:rPr>
        <w:t>interference (EMI)</w:t>
      </w:r>
      <w:r>
        <w:rPr>
          <w:lang w:val="en-US"/>
        </w:rPr>
        <w:t xml:space="preserve"> aspects</w:t>
      </w:r>
      <w:r w:rsidRPr="006509EA">
        <w:rPr>
          <w:lang w:val="en-US"/>
        </w:rPr>
        <w:t>.</w:t>
      </w:r>
    </w:p>
    <w:p w14:paraId="493B10A9" w14:textId="77777777" w:rsidR="00097B73" w:rsidRDefault="00097B73" w:rsidP="00097B73">
      <w:pPr>
        <w:rPr>
          <w:lang w:val="en-US"/>
        </w:rPr>
      </w:pPr>
      <w:r w:rsidRPr="006509EA">
        <w:rPr>
          <w:lang w:val="en-US"/>
        </w:rPr>
        <w:t xml:space="preserve">Compliance with the above </w:t>
      </w:r>
      <w:r w:rsidRPr="00D52460">
        <w:rPr>
          <w:lang w:val="en-US"/>
        </w:rPr>
        <w:t>essential</w:t>
      </w:r>
      <w:r w:rsidRPr="006509EA">
        <w:rPr>
          <w:lang w:val="en-US"/>
        </w:rPr>
        <w:t xml:space="preserve"> requirements may be demonstrated, at the discretion of the relevant Administration and/or Competent Authority, by conformity to appropriate ITU</w:t>
      </w:r>
      <w:r w:rsidRPr="006509EA">
        <w:rPr>
          <w:lang w:val="en-US"/>
        </w:rPr>
        <w:noBreakHyphen/>
        <w:t>R Recommendations, international, regional, or national standards, or technical specifications.</w:t>
      </w:r>
      <w:r>
        <w:rPr>
          <w:lang w:val="en-US"/>
        </w:rPr>
        <w:t xml:space="preserve"> Examples are </w:t>
      </w:r>
      <w:r w:rsidRPr="006509EA">
        <w:rPr>
          <w:lang w:val="en-US"/>
        </w:rPr>
        <w:t>Recommendations</w:t>
      </w:r>
      <w:r>
        <w:rPr>
          <w:lang w:val="en-US"/>
        </w:rPr>
        <w:t xml:space="preserve"> </w:t>
      </w:r>
      <w:r w:rsidRPr="006509EA">
        <w:rPr>
          <w:lang w:val="en-US"/>
        </w:rPr>
        <w:t>ITU</w:t>
      </w:r>
      <w:r>
        <w:rPr>
          <w:lang w:val="en-US"/>
        </w:rPr>
        <w:t>-</w:t>
      </w:r>
      <w:r w:rsidRPr="006509EA">
        <w:rPr>
          <w:lang w:val="en-US"/>
        </w:rPr>
        <w:t>R</w:t>
      </w:r>
      <w:r>
        <w:rPr>
          <w:lang w:val="en-US"/>
        </w:rPr>
        <w:t xml:space="preserve"> M.1343-1 “Essential technical requirements of mobile earth stations for global non</w:t>
      </w:r>
      <w:r>
        <w:rPr>
          <w:lang w:val="en-US"/>
        </w:rPr>
        <w:noBreakHyphen/>
        <w:t>geostationary mobile-satellite service systems in the bands 1-3 GHz” and </w:t>
      </w:r>
      <w:r w:rsidRPr="006509EA">
        <w:rPr>
          <w:lang w:val="en-US"/>
        </w:rPr>
        <w:t>ITU</w:t>
      </w:r>
      <w:r>
        <w:rPr>
          <w:lang w:val="en-US"/>
        </w:rPr>
        <w:t>-</w:t>
      </w:r>
      <w:r w:rsidRPr="006509EA">
        <w:rPr>
          <w:lang w:val="en-US"/>
        </w:rPr>
        <w:t>R</w:t>
      </w:r>
      <w:r>
        <w:rPr>
          <w:lang w:val="en-US"/>
        </w:rPr>
        <w:t xml:space="preserve"> M.1480 “Essential technical requirements of mobile earth stations of geostationary mobile-satellite systems that are implementing the Global Mobile Personal Communications by Satellite (GMPCS) – Memorandum of Understanding Arrangements in parts of the frequency band 1-3 GHz”.</w:t>
      </w:r>
    </w:p>
    <w:p w14:paraId="79FB07CC" w14:textId="77777777" w:rsidR="00097B73" w:rsidRPr="00097B73" w:rsidRDefault="00097B73" w:rsidP="00097B73">
      <w:pPr>
        <w:pStyle w:val="Heading1"/>
      </w:pPr>
      <w:bookmarkStart w:id="4" w:name="_Toc225584399"/>
      <w:r w:rsidRPr="00097B73">
        <w:t>4</w:t>
      </w:r>
      <w:r w:rsidRPr="00097B73">
        <w:tab/>
        <w:t>Licensing of terminals</w:t>
      </w:r>
      <w:bookmarkEnd w:id="4"/>
    </w:p>
    <w:p w14:paraId="2E67063C" w14:textId="77777777" w:rsidR="00097B73" w:rsidRDefault="00097B73" w:rsidP="00097B73">
      <w:r>
        <w:t>Administrations and/or Competent Authorities that have implemented the Arrangements are recommended not to require individual licenses for GMPCS terminals, provided that:</w:t>
      </w:r>
    </w:p>
    <w:p w14:paraId="4166FFA4" w14:textId="77777777" w:rsidR="00097B73" w:rsidRDefault="00097B73" w:rsidP="00097B73">
      <w:pPr>
        <w:pStyle w:val="enumlev1"/>
        <w:ind w:left="1191" w:hanging="1191"/>
        <w:rPr>
          <w:sz w:val="22"/>
          <w:lang w:val="en-US"/>
        </w:rPr>
      </w:pPr>
      <w:r>
        <w:rPr>
          <w:sz w:val="22"/>
          <w:lang w:val="en-US"/>
        </w:rPr>
        <w:tab/>
        <w:t>a)</w:t>
      </w:r>
      <w:r>
        <w:rPr>
          <w:sz w:val="22"/>
          <w:lang w:val="en-US"/>
        </w:rPr>
        <w:tab/>
        <w:t>these terminals operate within the frequency bands identified for such use by the Administration and/or Competent Authority in question;</w:t>
      </w:r>
    </w:p>
    <w:p w14:paraId="276A1A3C" w14:textId="77777777" w:rsidR="00097B73" w:rsidRDefault="00097B73" w:rsidP="00097B73">
      <w:pPr>
        <w:pStyle w:val="enumlev1"/>
        <w:ind w:left="1191" w:hanging="1191"/>
        <w:rPr>
          <w:sz w:val="22"/>
          <w:lang w:val="en-US"/>
        </w:rPr>
      </w:pPr>
      <w:r>
        <w:rPr>
          <w:sz w:val="22"/>
          <w:lang w:val="en-US"/>
        </w:rPr>
        <w:tab/>
        <w:t>b)</w:t>
      </w:r>
      <w:r>
        <w:rPr>
          <w:sz w:val="22"/>
          <w:lang w:val="en-US"/>
        </w:rPr>
        <w:tab/>
        <w:t>the GMPCS service, with which the GMPCS terminals operate, has been legally authorized if required, pursuant to national laws and/or regulations;</w:t>
      </w:r>
    </w:p>
    <w:p w14:paraId="2C7D399A" w14:textId="77777777" w:rsidR="00097B73" w:rsidRDefault="00097B73" w:rsidP="00097B73">
      <w:pPr>
        <w:pStyle w:val="enumlev1"/>
        <w:ind w:left="1191" w:hanging="1191"/>
        <w:rPr>
          <w:sz w:val="22"/>
          <w:lang w:val="en-US"/>
        </w:rPr>
      </w:pPr>
      <w:r>
        <w:rPr>
          <w:sz w:val="22"/>
          <w:lang w:val="en-US"/>
        </w:rPr>
        <w:tab/>
        <w:t>c)</w:t>
      </w:r>
      <w:r>
        <w:rPr>
          <w:sz w:val="22"/>
          <w:lang w:val="en-US"/>
        </w:rPr>
        <w:tab/>
        <w:t>the transmissions from the GMPCS terminals are under the operational control of the GMPCS System Operator and/or the GMPCS Service Provider;</w:t>
      </w:r>
    </w:p>
    <w:p w14:paraId="5B179F90" w14:textId="77777777" w:rsidR="00097B73" w:rsidRDefault="00097B73" w:rsidP="00097B73">
      <w:pPr>
        <w:pStyle w:val="enumlev1"/>
        <w:ind w:left="1191" w:hanging="1191"/>
        <w:rPr>
          <w:sz w:val="22"/>
          <w:lang w:val="en-US"/>
        </w:rPr>
      </w:pPr>
      <w:r>
        <w:rPr>
          <w:sz w:val="22"/>
          <w:lang w:val="en-US"/>
        </w:rPr>
        <w:tab/>
        <w:t>d)</w:t>
      </w:r>
      <w:r>
        <w:rPr>
          <w:sz w:val="22"/>
          <w:lang w:val="en-US"/>
        </w:rPr>
        <w:tab/>
        <w:t>the GMPCS terminals meet the relevant essential requirements in the Arrangements; and</w:t>
      </w:r>
    </w:p>
    <w:p w14:paraId="34513041" w14:textId="77777777" w:rsidR="00097B73" w:rsidRDefault="00097B73" w:rsidP="00097B73">
      <w:pPr>
        <w:pStyle w:val="enumlev1"/>
        <w:ind w:left="1191" w:hanging="1191"/>
        <w:rPr>
          <w:sz w:val="22"/>
          <w:lang w:val="en-US"/>
        </w:rPr>
      </w:pPr>
      <w:r>
        <w:rPr>
          <w:sz w:val="22"/>
          <w:lang w:val="en-US"/>
        </w:rPr>
        <w:tab/>
        <w:t>e)</w:t>
      </w:r>
      <w:r>
        <w:rPr>
          <w:sz w:val="22"/>
          <w:lang w:val="en-US"/>
        </w:rPr>
        <w:tab/>
        <w:t>necessary measures are taken to avoid harmful interference between services.</w:t>
      </w:r>
    </w:p>
    <w:p w14:paraId="29B4F865" w14:textId="77777777" w:rsidR="00097B73" w:rsidRDefault="00097B73" w:rsidP="00097B73">
      <w:pPr>
        <w:rPr>
          <w:b/>
          <w:bCs/>
          <w:lang w:val="en-US"/>
        </w:rPr>
      </w:pPr>
      <w:r>
        <w:t>Administrations and/or Competent Authorities implementing the Arrangements are recommended to allow the circulation and use of GMPCS terminals, either single mode (</w:t>
      </w:r>
      <w:r w:rsidRPr="002E74BE">
        <w:rPr>
          <w:lang w:val="en-US"/>
        </w:rPr>
        <w:t>operating with only one GMPCS system</w:t>
      </w:r>
      <w:r>
        <w:rPr>
          <w:lang w:val="en-US"/>
        </w:rPr>
        <w:t>)</w:t>
      </w:r>
      <w:r w:rsidRPr="002E74BE">
        <w:t xml:space="preserve"> </w:t>
      </w:r>
      <w:r>
        <w:t>or multimode (operating with a GMPCS system and, additionally, one or more other GMPCS systems or terrestrial mobile systems), provided that the GMPCS terminals have been demonstrated to meet the essential requirements in the Arrangements, as may be indicated by the presence of the GMPCS-MoU Mark or another recognized mark.</w:t>
      </w:r>
    </w:p>
    <w:p w14:paraId="1EA9F8CF" w14:textId="77777777" w:rsidR="00097B73" w:rsidRPr="00097B73" w:rsidRDefault="00097B73" w:rsidP="00097B73">
      <w:pPr>
        <w:pStyle w:val="Heading1"/>
      </w:pPr>
      <w:bookmarkStart w:id="5" w:name="_Toc225584400"/>
      <w:r w:rsidRPr="00097B73">
        <w:t>5</w:t>
      </w:r>
      <w:r w:rsidRPr="00097B73">
        <w:tab/>
        <w:t>The GMPCS-MoU Mark</w:t>
      </w:r>
      <w:bookmarkEnd w:id="5"/>
    </w:p>
    <w:p w14:paraId="79BAE6ED" w14:textId="77777777" w:rsidR="00097B73" w:rsidRDefault="00097B73" w:rsidP="00097B73">
      <w:pPr>
        <w:rPr>
          <w:lang w:val="en-US"/>
        </w:rPr>
      </w:pPr>
      <w:r w:rsidRPr="003F1B21">
        <w:rPr>
          <w:bCs/>
          <w:lang w:val="en-US"/>
        </w:rPr>
        <w:t>The GMPCS-MoU Mark</w:t>
      </w:r>
      <w:r w:rsidRPr="003F1B21">
        <w:rPr>
          <w:lang w:val="en-US"/>
        </w:rPr>
        <w:t xml:space="preserve"> </w:t>
      </w:r>
      <w:r>
        <w:rPr>
          <w:lang w:val="en-US"/>
        </w:rPr>
        <w:t>is a m</w:t>
      </w:r>
      <w:r w:rsidRPr="003F1B21">
        <w:rPr>
          <w:lang w:val="en-US"/>
        </w:rPr>
        <w:t xml:space="preserve">ark agreed upon by the Signatories of the GMPCS-MoU that may be affixed on GMPCS </w:t>
      </w:r>
      <w:r>
        <w:rPr>
          <w:lang w:val="en-US"/>
        </w:rPr>
        <w:t>t</w:t>
      </w:r>
      <w:r w:rsidRPr="003F1B21">
        <w:rPr>
          <w:lang w:val="en-US"/>
        </w:rPr>
        <w:t>erminals pursuant to the Arrangements.</w:t>
      </w:r>
      <w:r>
        <w:rPr>
          <w:lang w:val="en-US"/>
        </w:rPr>
        <w:t xml:space="preserve"> </w:t>
      </w:r>
      <w:r w:rsidRPr="00115EF5">
        <w:rPr>
          <w:lang w:val="en-US"/>
        </w:rPr>
        <w:t>Marking of GMPCS terminals is critical to facilitat</w:t>
      </w:r>
      <w:r>
        <w:rPr>
          <w:lang w:val="en-US"/>
        </w:rPr>
        <w:t>ing</w:t>
      </w:r>
      <w:r w:rsidRPr="00115EF5">
        <w:rPr>
          <w:lang w:val="en-US"/>
        </w:rPr>
        <w:t xml:space="preserve"> the circulation of the terminals across national borders, and thus ensuring seamless and reliable GMPCS service for all end-users. The use of the GMPCS-MoU </w:t>
      </w:r>
      <w:r>
        <w:rPr>
          <w:lang w:val="en-US"/>
        </w:rPr>
        <w:t>M</w:t>
      </w:r>
      <w:r w:rsidRPr="00115EF5">
        <w:rPr>
          <w:lang w:val="en-US"/>
        </w:rPr>
        <w:t>ark does not in any way imply a global type approval by the ITU.</w:t>
      </w:r>
    </w:p>
    <w:p w14:paraId="123A081D" w14:textId="77777777" w:rsidR="00097B73" w:rsidRDefault="00097B73" w:rsidP="00097B73">
      <w:pPr>
        <w:rPr>
          <w:lang w:val="en-US"/>
        </w:rPr>
      </w:pPr>
      <w:r w:rsidRPr="00115EF5">
        <w:rPr>
          <w:lang w:val="en-US"/>
        </w:rPr>
        <w:t xml:space="preserve">The GMPCS-MoU </w:t>
      </w:r>
      <w:r>
        <w:rPr>
          <w:lang w:val="en-US"/>
        </w:rPr>
        <w:t>M</w:t>
      </w:r>
      <w:r w:rsidRPr="00115EF5">
        <w:rPr>
          <w:lang w:val="en-US"/>
        </w:rPr>
        <w:t xml:space="preserve">ark </w:t>
      </w:r>
      <w:r>
        <w:rPr>
          <w:lang w:val="en-US"/>
        </w:rPr>
        <w:t>consists of</w:t>
      </w:r>
      <w:r w:rsidRPr="00115EF5">
        <w:rPr>
          <w:lang w:val="en-US"/>
        </w:rPr>
        <w:t xml:space="preserve"> the following text, in English only: the letters “GMPCS-MoU”, followed by the abbreviation “ITU”, followed by the word “Registry”. The format of this registry mark has been defined by the ITU Secretary-General in consultation with the representatives of the Signatories</w:t>
      </w:r>
      <w:r>
        <w:rPr>
          <w:lang w:val="en-US"/>
        </w:rPr>
        <w:t xml:space="preserve"> (see </w:t>
      </w:r>
      <w:r>
        <w:rPr>
          <w:lang w:val="en-US"/>
        </w:rPr>
        <w:fldChar w:fldCharType="begin"/>
      </w:r>
      <w:r>
        <w:rPr>
          <w:lang w:val="en-US"/>
        </w:rPr>
        <w:instrText xml:space="preserve"> REF _Ref224114297 \h </w:instrText>
      </w:r>
      <w:r w:rsidRPr="00183D13">
        <w:rPr>
          <w:lang w:val="en-US"/>
        </w:rPr>
      </w:r>
      <w:r>
        <w:rPr>
          <w:lang w:val="en-US"/>
        </w:rPr>
        <w:fldChar w:fldCharType="separate"/>
      </w:r>
      <w:r>
        <w:t xml:space="preserve">Figure </w:t>
      </w:r>
      <w:r>
        <w:rPr>
          <w:noProof/>
        </w:rPr>
        <w:t>1</w:t>
      </w:r>
      <w:r>
        <w:rPr>
          <w:lang w:val="en-US"/>
        </w:rPr>
        <w:fldChar w:fldCharType="end"/>
      </w:r>
      <w:r>
        <w:rPr>
          <w:lang w:val="en-US"/>
        </w:rPr>
        <w:t>)</w:t>
      </w:r>
      <w:r w:rsidRPr="00115EF5">
        <w:rPr>
          <w:lang w:val="en-US"/>
        </w:rPr>
        <w:t xml:space="preserve">. The ITU has protected the abbreviation “ITU” under the Paris Convention and must therefore authorize the use of the abbreviation for the purpose of the GMPCS-MoU </w:t>
      </w:r>
      <w:r>
        <w:rPr>
          <w:lang w:val="en-US"/>
        </w:rPr>
        <w:t>M</w:t>
      </w:r>
      <w:r w:rsidRPr="00115EF5">
        <w:rPr>
          <w:lang w:val="en-US"/>
        </w:rPr>
        <w:t xml:space="preserve">ark. </w:t>
      </w:r>
      <w:r w:rsidRPr="008D6295">
        <w:rPr>
          <w:lang w:val="en-US"/>
        </w:rPr>
        <w:t>Agreements were prepared and executed to ensure that the terms and conditions under which the ITU will authorize the use of its abbreviation are understood and agreed to</w:t>
      </w:r>
      <w:r>
        <w:rPr>
          <w:lang w:val="en-US"/>
        </w:rPr>
        <w:t xml:space="preserve"> by operators and manufacturers</w:t>
      </w:r>
      <w:r w:rsidRPr="008D6295">
        <w:rPr>
          <w:lang w:val="en-US"/>
        </w:rPr>
        <w:t>. These agreements include the rights, obligations, liabilities and responsibilities of all relevant parties, as well as a dispute settlement mechanism.</w:t>
      </w:r>
    </w:p>
    <w:p w14:paraId="5755F74F" w14:textId="77777777" w:rsidR="00097B73" w:rsidRPr="00FB5951" w:rsidRDefault="00097B73" w:rsidP="00097B73">
      <w:pPr>
        <w:spacing w:before="0"/>
        <w:jc w:val="center"/>
        <w:rPr>
          <w:b/>
          <w:bCs/>
          <w:szCs w:val="24"/>
        </w:rPr>
      </w:pPr>
      <w:r>
        <w:rPr>
          <w:lang w:val="en-US"/>
        </w:rPr>
        <w:br w:type="page"/>
      </w:r>
      <w:bookmarkStart w:id="6" w:name="_Ref224114297"/>
      <w:r w:rsidRPr="00FB5951">
        <w:rPr>
          <w:b/>
          <w:bCs/>
          <w:szCs w:val="24"/>
        </w:rPr>
        <w:t xml:space="preserve">Figure </w:t>
      </w:r>
      <w:r w:rsidRPr="00FB5951">
        <w:rPr>
          <w:b/>
          <w:bCs/>
          <w:szCs w:val="24"/>
        </w:rPr>
        <w:fldChar w:fldCharType="begin"/>
      </w:r>
      <w:r w:rsidRPr="00FB5951">
        <w:rPr>
          <w:b/>
          <w:bCs/>
          <w:szCs w:val="24"/>
        </w:rPr>
        <w:instrText xml:space="preserve"> SEQ Figure \* ARABIC </w:instrText>
      </w:r>
      <w:r w:rsidRPr="00FB5951">
        <w:rPr>
          <w:b/>
          <w:bCs/>
          <w:szCs w:val="24"/>
        </w:rPr>
        <w:fldChar w:fldCharType="separate"/>
      </w:r>
      <w:r w:rsidRPr="00FB5951">
        <w:rPr>
          <w:b/>
          <w:bCs/>
          <w:noProof/>
          <w:szCs w:val="24"/>
        </w:rPr>
        <w:t>1</w:t>
      </w:r>
      <w:r w:rsidRPr="00FB5951">
        <w:rPr>
          <w:b/>
          <w:bCs/>
          <w:szCs w:val="24"/>
        </w:rPr>
        <w:fldChar w:fldCharType="end"/>
      </w:r>
      <w:bookmarkEnd w:id="6"/>
      <w:r w:rsidRPr="00FB5951">
        <w:rPr>
          <w:b/>
          <w:bCs/>
          <w:szCs w:val="24"/>
        </w:rPr>
        <w:tab/>
      </w:r>
      <w:r w:rsidRPr="00FB5951">
        <w:rPr>
          <w:b/>
          <w:bCs/>
          <w:szCs w:val="24"/>
        </w:rPr>
        <w:tab/>
        <w:t>The GMPCS-MoU Mark</w:t>
      </w:r>
    </w:p>
    <w:p w14:paraId="17FD6313" w14:textId="77777777" w:rsidR="00097B73" w:rsidRPr="00FF4AB9" w:rsidRDefault="00097B73" w:rsidP="00097B73">
      <w:pPr>
        <w:spacing w:before="0"/>
      </w:pPr>
    </w:p>
    <w:p w14:paraId="6ECE8D6A" w14:textId="6C983E22" w:rsidR="00097B73" w:rsidRPr="00183D13" w:rsidRDefault="00097B73" w:rsidP="00097B73">
      <w:pPr>
        <w:jc w:val="center"/>
        <w:rPr>
          <w:lang w:val="en-US"/>
        </w:rPr>
      </w:pPr>
      <w:r w:rsidRPr="00183D13">
        <w:rPr>
          <w:noProof/>
          <w:lang w:val="en-CA" w:eastAsia="zh-CN"/>
        </w:rPr>
        <w:drawing>
          <wp:inline distT="0" distB="0" distL="0" distR="0" wp14:anchorId="16ED05AE" wp14:editId="087EC8A9">
            <wp:extent cx="2811780" cy="24267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3682" cy="2428368"/>
                    </a:xfrm>
                    <a:prstGeom prst="rect">
                      <a:avLst/>
                    </a:prstGeom>
                    <a:noFill/>
                    <a:ln>
                      <a:noFill/>
                    </a:ln>
                  </pic:spPr>
                </pic:pic>
              </a:graphicData>
            </a:graphic>
          </wp:inline>
        </w:drawing>
      </w:r>
    </w:p>
    <w:p w14:paraId="05142096" w14:textId="77777777" w:rsidR="00097B73" w:rsidRPr="00097B73" w:rsidRDefault="00097B73" w:rsidP="00097B73">
      <w:pPr>
        <w:pStyle w:val="Heading1"/>
      </w:pPr>
      <w:r w:rsidRPr="00097B73">
        <w:t>6</w:t>
      </w:r>
      <w:r w:rsidRPr="00097B73">
        <w:tab/>
        <w:t>Management of the GMPCS MoU project</w:t>
      </w:r>
    </w:p>
    <w:p w14:paraId="7032BE61" w14:textId="77777777" w:rsidR="00097B73" w:rsidRDefault="00097B73" w:rsidP="00097B73">
      <w:pPr>
        <w:rPr>
          <w:lang w:val="en-US"/>
        </w:rPr>
      </w:pPr>
      <w:r>
        <w:rPr>
          <w:lang w:val="en-US"/>
        </w:rPr>
        <w:t xml:space="preserve">In May 2011, the former Secretary-General requested that the </w:t>
      </w:r>
      <w:r w:rsidRPr="00FF4AB9">
        <w:rPr>
          <w:lang w:val="en-US"/>
        </w:rPr>
        <w:t>Legal Affairs Unit</w:t>
      </w:r>
      <w:r>
        <w:rPr>
          <w:lang w:val="en-US"/>
        </w:rPr>
        <w:t xml:space="preserve"> take over from the Strategic Planning and Membership Department the management responsibilities concerning </w:t>
      </w:r>
      <w:r w:rsidRPr="00B22A04">
        <w:rPr>
          <w:lang w:val="en-US"/>
        </w:rPr>
        <w:t>the GMPCS MoU project</w:t>
      </w:r>
      <w:r>
        <w:rPr>
          <w:lang w:val="en-US"/>
        </w:rPr>
        <w:t>.</w:t>
      </w:r>
    </w:p>
    <w:p w14:paraId="65BE8FAA" w14:textId="77777777" w:rsidR="00097B73" w:rsidRPr="00FF4AB9" w:rsidRDefault="00097B73" w:rsidP="00097B73">
      <w:pPr>
        <w:rPr>
          <w:lang w:val="en-US"/>
        </w:rPr>
      </w:pPr>
      <w:r w:rsidRPr="00B22A04">
        <w:rPr>
          <w:lang w:val="en-US"/>
        </w:rPr>
        <w:t>Recently</w:t>
      </w:r>
      <w:r>
        <w:rPr>
          <w:lang w:val="en-US"/>
        </w:rPr>
        <w:t>,</w:t>
      </w:r>
      <w:r w:rsidRPr="00FF4AB9">
        <w:rPr>
          <w:lang w:val="en-US"/>
        </w:rPr>
        <w:t xml:space="preserve"> </w:t>
      </w:r>
      <w:r>
        <w:rPr>
          <w:lang w:val="en-US"/>
        </w:rPr>
        <w:t xml:space="preserve">the </w:t>
      </w:r>
      <w:r w:rsidRPr="00FF4AB9">
        <w:rPr>
          <w:lang w:val="en-US"/>
        </w:rPr>
        <w:t>Legal Affairs Unit</w:t>
      </w:r>
      <w:r>
        <w:rPr>
          <w:lang w:val="en-US"/>
        </w:rPr>
        <w:t xml:space="preserve"> </w:t>
      </w:r>
      <w:r w:rsidRPr="00FF4AB9">
        <w:rPr>
          <w:lang w:val="en-US"/>
        </w:rPr>
        <w:t>ha</w:t>
      </w:r>
      <w:r>
        <w:rPr>
          <w:lang w:val="en-US"/>
        </w:rPr>
        <w:t>s</w:t>
      </w:r>
      <w:r w:rsidRPr="00FF4AB9">
        <w:rPr>
          <w:lang w:val="en-US"/>
        </w:rPr>
        <w:t xml:space="preserve"> noticed an increasing number of technical questions/issues raised associated to requests for registration of GMPCS terminals and the implementation of the GMPCS-MoU, which imply an increasing need for technical consultations with BR/SGD in order to properly treat the above mentioned requests.  Moreover, recent technological developments/emerging technologies with regard to satellite terminals/systems may have an impact in the scope and future/global management of the GMPCS project, with a possible/potential enlargement of its initial scope/field of application to cover additional satellite systems and operational conditions. </w:t>
      </w:r>
    </w:p>
    <w:p w14:paraId="5A9A537C" w14:textId="77777777" w:rsidR="00097B73" w:rsidRPr="00FF4AB9" w:rsidRDefault="00097B73" w:rsidP="00097B73">
      <w:pPr>
        <w:rPr>
          <w:lang w:val="en-US"/>
        </w:rPr>
      </w:pPr>
      <w:r w:rsidRPr="00FF4AB9">
        <w:rPr>
          <w:lang w:val="en-US"/>
        </w:rPr>
        <w:t xml:space="preserve">In view of the above, the management of the GMPCS </w:t>
      </w:r>
      <w:r w:rsidRPr="00150E5F">
        <w:rPr>
          <w:lang w:val="en-US"/>
        </w:rPr>
        <w:t xml:space="preserve">MoU </w:t>
      </w:r>
      <w:r w:rsidRPr="00FF4AB9">
        <w:rPr>
          <w:lang w:val="en-US"/>
        </w:rPr>
        <w:t xml:space="preserve">project </w:t>
      </w:r>
      <w:r>
        <w:rPr>
          <w:lang w:val="en-US"/>
        </w:rPr>
        <w:t xml:space="preserve">was transferred </w:t>
      </w:r>
      <w:r w:rsidRPr="00FF4AB9">
        <w:rPr>
          <w:lang w:val="en-US"/>
        </w:rPr>
        <w:t>to BR/SGD. The Legal Affairs Unit remain</w:t>
      </w:r>
      <w:r>
        <w:rPr>
          <w:lang w:val="en-US"/>
        </w:rPr>
        <w:t>s</w:t>
      </w:r>
      <w:r w:rsidRPr="00FF4AB9">
        <w:rPr>
          <w:lang w:val="en-US"/>
        </w:rPr>
        <w:t xml:space="preserve"> available in case of required legal advice. </w:t>
      </w:r>
      <w:r>
        <w:rPr>
          <w:lang w:val="en-US"/>
        </w:rPr>
        <w:t>The</w:t>
      </w:r>
      <w:r w:rsidRPr="00FF4AB9">
        <w:rPr>
          <w:lang w:val="en-US"/>
        </w:rPr>
        <w:t xml:space="preserve"> related software/database and financial support </w:t>
      </w:r>
      <w:r>
        <w:rPr>
          <w:lang w:val="en-US"/>
        </w:rPr>
        <w:t xml:space="preserve">functions </w:t>
      </w:r>
      <w:r w:rsidRPr="00FF4AB9">
        <w:rPr>
          <w:lang w:val="en-US"/>
        </w:rPr>
        <w:t>continue to be provided by the I</w:t>
      </w:r>
      <w:r>
        <w:rPr>
          <w:lang w:val="en-US"/>
        </w:rPr>
        <w:t>nformation Service</w:t>
      </w:r>
      <w:r w:rsidRPr="00FF4AB9">
        <w:rPr>
          <w:lang w:val="en-US"/>
        </w:rPr>
        <w:t xml:space="preserve"> and </w:t>
      </w:r>
      <w:r>
        <w:rPr>
          <w:lang w:val="en-US"/>
        </w:rPr>
        <w:t xml:space="preserve">Financial Resource Management </w:t>
      </w:r>
      <w:r w:rsidRPr="00FF4AB9">
        <w:rPr>
          <w:lang w:val="en-US"/>
        </w:rPr>
        <w:t>Departments, respectively.</w:t>
      </w:r>
    </w:p>
    <w:p w14:paraId="6D819702" w14:textId="77777777" w:rsidR="00097B73" w:rsidRPr="005E256F" w:rsidRDefault="00097B73" w:rsidP="00097B73">
      <w:r w:rsidRPr="005E256F">
        <w:t>The steps to register a new terminal type are described in Chapter 2, Section I, Paragraph 8 of the “</w:t>
      </w:r>
      <w:hyperlink r:id="rId19" w:history="1">
        <w:r w:rsidRPr="005E256F">
          <w:rPr>
            <w:rStyle w:val="Hyperlink"/>
          </w:rPr>
          <w:t>Arrangements pursuant to the GMPCS-MoU to facilitate the introduction and development of Global Mobile Personal Communications by Satellite (GMPCS) &amp; Procedures for notification &amp; implementation of the Arrangements</w:t>
        </w:r>
      </w:hyperlink>
      <w:r w:rsidRPr="005E256F">
        <w:t>” of 7 June 2003 (Arrangements &amp; Procedures).</w:t>
      </w:r>
    </w:p>
    <w:p w14:paraId="1F8B1533" w14:textId="77777777" w:rsidR="00097B73" w:rsidRPr="005E256F" w:rsidRDefault="00097B73" w:rsidP="00097B73">
      <w:r w:rsidRPr="005E256F">
        <w:t xml:space="preserve">The Secretary-General receives the following implementation letters: </w:t>
      </w:r>
    </w:p>
    <w:p w14:paraId="35B9078A" w14:textId="77777777" w:rsidR="00097B73" w:rsidRPr="005E256F" w:rsidRDefault="00097B73" w:rsidP="00097B73">
      <w:pPr>
        <w:numPr>
          <w:ilvl w:val="0"/>
          <w:numId w:val="44"/>
        </w:numPr>
        <w:tabs>
          <w:tab w:val="left" w:pos="794"/>
          <w:tab w:val="left" w:pos="1191"/>
          <w:tab w:val="left" w:pos="1588"/>
          <w:tab w:val="left" w:pos="1985"/>
        </w:tabs>
      </w:pPr>
      <w:r w:rsidRPr="005E256F">
        <w:rPr>
          <w:lang w:val="en-US"/>
        </w:rPr>
        <w:t xml:space="preserve">GMPCS </w:t>
      </w:r>
      <w:r>
        <w:rPr>
          <w:lang w:val="en-US"/>
        </w:rPr>
        <w:t>s</w:t>
      </w:r>
      <w:r w:rsidRPr="005E256F">
        <w:rPr>
          <w:lang w:val="en-US"/>
        </w:rPr>
        <w:t xml:space="preserve">ystem </w:t>
      </w:r>
      <w:r>
        <w:rPr>
          <w:lang w:val="en-US"/>
        </w:rPr>
        <w:t>o</w:t>
      </w:r>
      <w:r w:rsidRPr="005E256F">
        <w:rPr>
          <w:lang w:val="en-US"/>
        </w:rPr>
        <w:t>perator’s letter</w:t>
      </w:r>
      <w:r w:rsidRPr="005E256F">
        <w:t>;</w:t>
      </w:r>
    </w:p>
    <w:p w14:paraId="166313F3" w14:textId="77777777" w:rsidR="00097B73" w:rsidRPr="005E256F" w:rsidRDefault="00097B73" w:rsidP="00097B73">
      <w:pPr>
        <w:numPr>
          <w:ilvl w:val="0"/>
          <w:numId w:val="44"/>
        </w:numPr>
        <w:tabs>
          <w:tab w:val="left" w:pos="794"/>
          <w:tab w:val="left" w:pos="1191"/>
          <w:tab w:val="left" w:pos="1588"/>
          <w:tab w:val="left" w:pos="1985"/>
        </w:tabs>
      </w:pPr>
      <w:r w:rsidRPr="005E256F">
        <w:rPr>
          <w:lang w:val="en-US"/>
        </w:rPr>
        <w:t xml:space="preserve">GMPCS </w:t>
      </w:r>
      <w:r>
        <w:rPr>
          <w:lang w:val="en-US"/>
        </w:rPr>
        <w:t>t</w:t>
      </w:r>
      <w:r w:rsidRPr="005E256F">
        <w:rPr>
          <w:lang w:val="en-US"/>
        </w:rPr>
        <w:t xml:space="preserve">erminal </w:t>
      </w:r>
      <w:r>
        <w:rPr>
          <w:lang w:val="en-US"/>
        </w:rPr>
        <w:t>m</w:t>
      </w:r>
      <w:r w:rsidRPr="005E256F">
        <w:rPr>
          <w:lang w:val="en-US"/>
        </w:rPr>
        <w:t xml:space="preserve">anufacturer’s letter; </w:t>
      </w:r>
    </w:p>
    <w:p w14:paraId="72010A72" w14:textId="77777777" w:rsidR="00097B73" w:rsidRPr="005E256F" w:rsidRDefault="00097B73" w:rsidP="00097B73">
      <w:pPr>
        <w:numPr>
          <w:ilvl w:val="0"/>
          <w:numId w:val="44"/>
        </w:numPr>
        <w:tabs>
          <w:tab w:val="left" w:pos="794"/>
          <w:tab w:val="left" w:pos="1191"/>
          <w:tab w:val="left" w:pos="1588"/>
          <w:tab w:val="left" w:pos="1985"/>
        </w:tabs>
      </w:pPr>
      <w:r w:rsidRPr="005E256F">
        <w:rPr>
          <w:lang w:val="en-US"/>
        </w:rPr>
        <w:t>Type approving Administration(s) letter</w:t>
      </w:r>
      <w:r w:rsidRPr="005E256F">
        <w:t>.</w:t>
      </w:r>
    </w:p>
    <w:p w14:paraId="2CFAA7F5" w14:textId="77777777" w:rsidR="00097B73" w:rsidRDefault="00097B73" w:rsidP="00097B73">
      <w:pPr>
        <w:rPr>
          <w:lang w:val="en-US"/>
        </w:rPr>
      </w:pPr>
      <w:r w:rsidRPr="005E256F">
        <w:t xml:space="preserve">After having analysed and confirmed that the procedures </w:t>
      </w:r>
      <w:r>
        <w:t>have been</w:t>
      </w:r>
      <w:r w:rsidRPr="005E256F">
        <w:t xml:space="preserve"> correctly implemented, the </w:t>
      </w:r>
      <w:r w:rsidRPr="005E256F">
        <w:rPr>
          <w:lang w:val="en-US"/>
        </w:rPr>
        <w:t>ITU Secretary-General send</w:t>
      </w:r>
      <w:r>
        <w:rPr>
          <w:lang w:val="en-US"/>
        </w:rPr>
        <w:t>s</w:t>
      </w:r>
      <w:r w:rsidRPr="005E256F">
        <w:rPr>
          <w:lang w:val="en-US"/>
        </w:rPr>
        <w:t xml:space="preserve"> an </w:t>
      </w:r>
      <w:r>
        <w:rPr>
          <w:lang w:val="en-US"/>
        </w:rPr>
        <w:t>a</w:t>
      </w:r>
      <w:r w:rsidRPr="005E256F">
        <w:rPr>
          <w:lang w:val="en-US"/>
        </w:rPr>
        <w:t xml:space="preserve">cknowledgment of </w:t>
      </w:r>
      <w:r>
        <w:rPr>
          <w:lang w:val="en-US"/>
        </w:rPr>
        <w:t>r</w:t>
      </w:r>
      <w:r w:rsidRPr="005E256F">
        <w:rPr>
          <w:lang w:val="en-US"/>
        </w:rPr>
        <w:t xml:space="preserve">eceipt letter informing the GMPCS </w:t>
      </w:r>
      <w:r>
        <w:rPr>
          <w:lang w:val="en-US"/>
        </w:rPr>
        <w:t>t</w:t>
      </w:r>
      <w:r w:rsidRPr="005E256F">
        <w:rPr>
          <w:lang w:val="en-US"/>
        </w:rPr>
        <w:t xml:space="preserve">erminal </w:t>
      </w:r>
      <w:r>
        <w:rPr>
          <w:lang w:val="en-US"/>
        </w:rPr>
        <w:t>m</w:t>
      </w:r>
      <w:r w:rsidRPr="005E256F">
        <w:rPr>
          <w:lang w:val="en-US"/>
        </w:rPr>
        <w:t xml:space="preserve">anufacturer that all required letters have been received so that the </w:t>
      </w:r>
      <w:r>
        <w:rPr>
          <w:lang w:val="en-US"/>
        </w:rPr>
        <w:t>m</w:t>
      </w:r>
      <w:r w:rsidRPr="005E256F">
        <w:rPr>
          <w:lang w:val="en-US"/>
        </w:rPr>
        <w:t xml:space="preserve">anufacturer may affix the GMPCS-MoU </w:t>
      </w:r>
      <w:r>
        <w:rPr>
          <w:lang w:val="en-US"/>
        </w:rPr>
        <w:t>M</w:t>
      </w:r>
      <w:r w:rsidRPr="005E256F">
        <w:rPr>
          <w:lang w:val="en-US"/>
        </w:rPr>
        <w:t xml:space="preserve">ark </w:t>
      </w:r>
      <w:r>
        <w:rPr>
          <w:lang w:val="en-US"/>
        </w:rPr>
        <w:t>to</w:t>
      </w:r>
      <w:r w:rsidRPr="005E256F">
        <w:rPr>
          <w:lang w:val="en-US"/>
        </w:rPr>
        <w:t xml:space="preserve"> the terminal.</w:t>
      </w:r>
    </w:p>
    <w:p w14:paraId="270A3540" w14:textId="77777777" w:rsidR="00097B73" w:rsidRDefault="00097B73" w:rsidP="00097B73">
      <w:pPr>
        <w:rPr>
          <w:lang w:val="en-US"/>
        </w:rPr>
      </w:pPr>
      <w:r>
        <w:rPr>
          <w:lang w:val="en-US"/>
        </w:rPr>
        <w:t>I</w:t>
      </w:r>
      <w:r w:rsidRPr="0085635C">
        <w:rPr>
          <w:lang w:val="en-US"/>
        </w:rPr>
        <w:t>n accordance with</w:t>
      </w:r>
      <w:r w:rsidRPr="00F75199">
        <w:t xml:space="preserve"> the Arrangements &amp; Procedures</w:t>
      </w:r>
      <w:r>
        <w:t>, when</w:t>
      </w:r>
      <w:r>
        <w:rPr>
          <w:lang w:val="en-US"/>
        </w:rPr>
        <w:t xml:space="preserve"> a </w:t>
      </w:r>
      <w:r w:rsidRPr="00177642">
        <w:rPr>
          <w:lang w:val="en-US"/>
        </w:rPr>
        <w:t xml:space="preserve">GMPCS </w:t>
      </w:r>
      <w:r>
        <w:rPr>
          <w:lang w:val="en-US"/>
        </w:rPr>
        <w:t>t</w:t>
      </w:r>
      <w:r w:rsidRPr="00177642">
        <w:rPr>
          <w:lang w:val="en-US"/>
        </w:rPr>
        <w:t xml:space="preserve">erminal </w:t>
      </w:r>
      <w:r>
        <w:rPr>
          <w:lang w:val="en-US"/>
        </w:rPr>
        <w:t>m</w:t>
      </w:r>
      <w:r w:rsidRPr="00177642">
        <w:rPr>
          <w:lang w:val="en-US"/>
        </w:rPr>
        <w:t>anufacturer</w:t>
      </w:r>
      <w:r>
        <w:rPr>
          <w:lang w:val="en-US"/>
        </w:rPr>
        <w:t xml:space="preserve"> notifies to the ITU a new terminal for the first time, it has to also sign and send to the </w:t>
      </w:r>
      <w:r w:rsidRPr="005E256F">
        <w:rPr>
          <w:lang w:val="en-US"/>
        </w:rPr>
        <w:t>ITU Secretary-General</w:t>
      </w:r>
      <w:r>
        <w:rPr>
          <w:lang w:val="en-US"/>
        </w:rPr>
        <w:t>:</w:t>
      </w:r>
    </w:p>
    <w:p w14:paraId="4DA9AA85" w14:textId="77777777" w:rsidR="00097B73" w:rsidRPr="0085635C" w:rsidRDefault="00097B73" w:rsidP="00097B73">
      <w:pPr>
        <w:numPr>
          <w:ilvl w:val="0"/>
          <w:numId w:val="44"/>
        </w:numPr>
        <w:tabs>
          <w:tab w:val="left" w:pos="794"/>
          <w:tab w:val="left" w:pos="1191"/>
          <w:tab w:val="left" w:pos="1588"/>
          <w:tab w:val="left" w:pos="1985"/>
        </w:tabs>
        <w:rPr>
          <w:lang w:val="en-US"/>
        </w:rPr>
      </w:pPr>
      <w:r>
        <w:rPr>
          <w:lang w:val="en-US"/>
        </w:rPr>
        <w:t xml:space="preserve">the </w:t>
      </w:r>
      <w:r w:rsidRPr="00177642">
        <w:t>GMPCS-MoU</w:t>
      </w:r>
      <w:r>
        <w:t>;</w:t>
      </w:r>
    </w:p>
    <w:p w14:paraId="00FF9B18" w14:textId="77777777" w:rsidR="00097B73" w:rsidRPr="00E11B2A" w:rsidRDefault="00097B73" w:rsidP="00097B73">
      <w:pPr>
        <w:numPr>
          <w:ilvl w:val="0"/>
          <w:numId w:val="44"/>
        </w:numPr>
        <w:tabs>
          <w:tab w:val="left" w:pos="794"/>
          <w:tab w:val="left" w:pos="1191"/>
          <w:tab w:val="left" w:pos="1588"/>
          <w:tab w:val="left" w:pos="1985"/>
        </w:tabs>
        <w:rPr>
          <w:lang w:val="en-US"/>
        </w:rPr>
      </w:pPr>
      <w:r w:rsidRPr="00F75199">
        <w:t xml:space="preserve">the </w:t>
      </w:r>
      <w:r w:rsidRPr="00264A69">
        <w:rPr>
          <w:lang w:val="en-US"/>
        </w:rPr>
        <w:t xml:space="preserve">GMPCS Terminal </w:t>
      </w:r>
      <w:r w:rsidRPr="00F75199">
        <w:t>Manufacturer</w:t>
      </w:r>
      <w:r>
        <w:t xml:space="preserve"> </w:t>
      </w:r>
      <w:r w:rsidRPr="00E11B2A">
        <w:rPr>
          <w:bCs/>
          <w:lang w:val="en-US"/>
        </w:rPr>
        <w:t>Authorization</w:t>
      </w:r>
      <w:r w:rsidRPr="00E11B2A">
        <w:rPr>
          <w:bCs/>
        </w:rPr>
        <w:t xml:space="preserve"> </w:t>
      </w:r>
      <w:r w:rsidRPr="00F75199">
        <w:t>Agreement</w:t>
      </w:r>
      <w:r>
        <w:t xml:space="preserve">, referred to in § 5 above, to </w:t>
      </w:r>
      <w:r w:rsidRPr="00E11B2A">
        <w:t>authorize</w:t>
      </w:r>
      <w:r>
        <w:t xml:space="preserve"> the </w:t>
      </w:r>
      <w:r w:rsidRPr="00E11B2A">
        <w:rPr>
          <w:lang w:val="en-US"/>
        </w:rPr>
        <w:t xml:space="preserve">GMPCS </w:t>
      </w:r>
      <w:r>
        <w:rPr>
          <w:lang w:val="en-US"/>
        </w:rPr>
        <w:t>t</w:t>
      </w:r>
      <w:r w:rsidRPr="00E11B2A">
        <w:rPr>
          <w:lang w:val="en-US"/>
        </w:rPr>
        <w:t xml:space="preserve">erminal </w:t>
      </w:r>
      <w:r>
        <w:rPr>
          <w:lang w:val="en-US"/>
        </w:rPr>
        <w:t>m</w:t>
      </w:r>
      <w:r w:rsidRPr="00E11B2A">
        <w:rPr>
          <w:lang w:val="en-US"/>
        </w:rPr>
        <w:t>anufacturer</w:t>
      </w:r>
      <w:r w:rsidRPr="00E11B2A">
        <w:t xml:space="preserve"> to affix the </w:t>
      </w:r>
      <w:r>
        <w:t>a</w:t>
      </w:r>
      <w:r w:rsidRPr="00E11B2A">
        <w:t xml:space="preserve">bbreviation “ITU” as part of the GMPCS-MoU Mark to </w:t>
      </w:r>
      <w:r>
        <w:t>the terminals registered within ITU.</w:t>
      </w:r>
    </w:p>
    <w:p w14:paraId="68ED94F9" w14:textId="77777777" w:rsidR="00097B73" w:rsidRDefault="00097B73" w:rsidP="00097B73">
      <w:pPr>
        <w:rPr>
          <w:lang w:val="en-US"/>
        </w:rPr>
      </w:pPr>
      <w:r>
        <w:t>T</w:t>
      </w:r>
      <w:r w:rsidRPr="0047691B">
        <w:t xml:space="preserve">he </w:t>
      </w:r>
      <w:r w:rsidRPr="0047691B">
        <w:rPr>
          <w:lang w:val="en-US"/>
        </w:rPr>
        <w:t>ITU Secretary-General send</w:t>
      </w:r>
      <w:r>
        <w:rPr>
          <w:lang w:val="en-US"/>
        </w:rPr>
        <w:t>s</w:t>
      </w:r>
      <w:r w:rsidRPr="0047691B">
        <w:rPr>
          <w:lang w:val="en-US"/>
        </w:rPr>
        <w:t xml:space="preserve"> a letter to </w:t>
      </w:r>
      <w:r>
        <w:rPr>
          <w:lang w:val="en-US"/>
        </w:rPr>
        <w:t xml:space="preserve">the </w:t>
      </w:r>
      <w:r w:rsidRPr="0047691B">
        <w:rPr>
          <w:bCs/>
          <w:lang w:val="en-US"/>
        </w:rPr>
        <w:t xml:space="preserve">GMPCS </w:t>
      </w:r>
      <w:r>
        <w:rPr>
          <w:bCs/>
          <w:lang w:val="en-US"/>
        </w:rPr>
        <w:t>t</w:t>
      </w:r>
      <w:r w:rsidRPr="0047691B">
        <w:rPr>
          <w:bCs/>
          <w:lang w:val="en-US"/>
        </w:rPr>
        <w:t xml:space="preserve">erminal </w:t>
      </w:r>
      <w:r>
        <w:rPr>
          <w:bCs/>
          <w:lang w:val="en-US"/>
        </w:rPr>
        <w:t>m</w:t>
      </w:r>
      <w:r w:rsidRPr="0047691B">
        <w:rPr>
          <w:bCs/>
          <w:lang w:val="en-US"/>
        </w:rPr>
        <w:t xml:space="preserve">anufacturer </w:t>
      </w:r>
      <w:r w:rsidRPr="0047691B">
        <w:rPr>
          <w:lang w:val="en-US"/>
        </w:rPr>
        <w:t>acknowledging the receipt of the original signed text of the GMPCS-MoU</w:t>
      </w:r>
      <w:r>
        <w:rPr>
          <w:lang w:val="en-US"/>
        </w:rPr>
        <w:t xml:space="preserve"> and also signs the </w:t>
      </w:r>
      <w:r w:rsidRPr="00264A69">
        <w:rPr>
          <w:lang w:val="en-US"/>
        </w:rPr>
        <w:t xml:space="preserve">GMPCS Terminal </w:t>
      </w:r>
      <w:r w:rsidRPr="0047691B">
        <w:t xml:space="preserve">Manufacturer </w:t>
      </w:r>
      <w:r w:rsidRPr="0047691B">
        <w:rPr>
          <w:bCs/>
          <w:lang w:val="en-US"/>
        </w:rPr>
        <w:t>Authorization</w:t>
      </w:r>
      <w:r w:rsidRPr="0047691B">
        <w:rPr>
          <w:bCs/>
        </w:rPr>
        <w:t xml:space="preserve"> </w:t>
      </w:r>
      <w:r w:rsidRPr="0047691B">
        <w:t>Agreement</w:t>
      </w:r>
      <w:r>
        <w:t>.</w:t>
      </w:r>
    </w:p>
    <w:p w14:paraId="7D790991" w14:textId="77777777" w:rsidR="00097B73" w:rsidRPr="00097B73" w:rsidRDefault="00097B73" w:rsidP="00097B73">
      <w:pPr>
        <w:pStyle w:val="Heading1"/>
      </w:pPr>
      <w:r w:rsidRPr="00097B73">
        <w:t>7</w:t>
      </w:r>
      <w:r w:rsidRPr="00097B73">
        <w:tab/>
        <w:t>Number of registered terminals</w:t>
      </w:r>
    </w:p>
    <w:p w14:paraId="277107AC" w14:textId="77777777" w:rsidR="00097B73" w:rsidRDefault="00097B73" w:rsidP="00097B73">
      <w:pPr>
        <w:rPr>
          <w:szCs w:val="24"/>
          <w:lang w:val="en-US"/>
        </w:rPr>
      </w:pPr>
      <w:r w:rsidRPr="00C90F9D">
        <w:rPr>
          <w:szCs w:val="24"/>
          <w:lang w:val="en-US"/>
        </w:rPr>
        <w:t>The number of GMPCS terminals registered with the ITU</w:t>
      </w:r>
      <w:r>
        <w:rPr>
          <w:szCs w:val="24"/>
          <w:lang w:val="en-US"/>
        </w:rPr>
        <w:t xml:space="preserve"> per year</w:t>
      </w:r>
      <w:r w:rsidRPr="00C90F9D">
        <w:rPr>
          <w:szCs w:val="24"/>
          <w:lang w:val="en-US"/>
        </w:rPr>
        <w:t xml:space="preserve"> is shown in the table below.</w:t>
      </w:r>
    </w:p>
    <w:p w14:paraId="36401F09" w14:textId="77777777" w:rsidR="00097B73" w:rsidRPr="00C90F9D" w:rsidRDefault="00097B73" w:rsidP="00097B73">
      <w:pPr>
        <w:rPr>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801"/>
      </w:tblGrid>
      <w:tr w:rsidR="00097B73" w:rsidRPr="00937D97" w14:paraId="03CC8AF9" w14:textId="77777777" w:rsidTr="0024128C">
        <w:trPr>
          <w:jc w:val="center"/>
        </w:trPr>
        <w:tc>
          <w:tcPr>
            <w:tcW w:w="2593" w:type="dxa"/>
            <w:shd w:val="clear" w:color="auto" w:fill="auto"/>
            <w:vAlign w:val="center"/>
          </w:tcPr>
          <w:p w14:paraId="54F37608" w14:textId="77777777" w:rsidR="00097B73" w:rsidRPr="00937D97" w:rsidRDefault="00097B73" w:rsidP="00851A57">
            <w:pPr>
              <w:jc w:val="center"/>
              <w:rPr>
                <w:lang w:val="en-US"/>
              </w:rPr>
            </w:pPr>
            <w:r>
              <w:rPr>
                <w:lang w:val="en-US"/>
              </w:rPr>
              <w:t>Year</w:t>
            </w:r>
          </w:p>
        </w:tc>
        <w:tc>
          <w:tcPr>
            <w:tcW w:w="1801" w:type="dxa"/>
            <w:shd w:val="clear" w:color="auto" w:fill="auto"/>
            <w:vAlign w:val="center"/>
          </w:tcPr>
          <w:p w14:paraId="1B0401FA" w14:textId="77777777" w:rsidR="00097B73" w:rsidRPr="00937D97" w:rsidRDefault="00097B73" w:rsidP="00851A57">
            <w:pPr>
              <w:jc w:val="center"/>
              <w:rPr>
                <w:lang w:val="en-US"/>
              </w:rPr>
            </w:pPr>
            <w:r>
              <w:rPr>
                <w:lang w:val="en-US"/>
              </w:rPr>
              <w:t>Number of terminals</w:t>
            </w:r>
          </w:p>
        </w:tc>
      </w:tr>
      <w:tr w:rsidR="00097B73" w:rsidRPr="00937D97" w14:paraId="681E9A05" w14:textId="77777777" w:rsidTr="0024128C">
        <w:trPr>
          <w:jc w:val="center"/>
        </w:trPr>
        <w:tc>
          <w:tcPr>
            <w:tcW w:w="2593" w:type="dxa"/>
            <w:shd w:val="clear" w:color="auto" w:fill="auto"/>
            <w:vAlign w:val="center"/>
          </w:tcPr>
          <w:p w14:paraId="58FC19F1" w14:textId="77777777" w:rsidR="00097B73" w:rsidRPr="00937D97" w:rsidRDefault="00097B73" w:rsidP="00851A57">
            <w:pPr>
              <w:jc w:val="center"/>
              <w:rPr>
                <w:lang w:val="en-US"/>
              </w:rPr>
            </w:pPr>
            <w:r w:rsidRPr="00937D97">
              <w:rPr>
                <w:lang w:val="en-US"/>
              </w:rPr>
              <w:t>2016</w:t>
            </w:r>
          </w:p>
        </w:tc>
        <w:tc>
          <w:tcPr>
            <w:tcW w:w="1801" w:type="dxa"/>
            <w:shd w:val="clear" w:color="auto" w:fill="auto"/>
            <w:vAlign w:val="center"/>
          </w:tcPr>
          <w:p w14:paraId="5A7C2830" w14:textId="77777777" w:rsidR="00097B73" w:rsidRPr="00937D97" w:rsidRDefault="00097B73" w:rsidP="00851A57">
            <w:pPr>
              <w:jc w:val="center"/>
              <w:rPr>
                <w:lang w:val="en-US"/>
              </w:rPr>
            </w:pPr>
            <w:r w:rsidRPr="00937D97">
              <w:rPr>
                <w:lang w:val="en-US"/>
              </w:rPr>
              <w:t>2</w:t>
            </w:r>
          </w:p>
        </w:tc>
      </w:tr>
      <w:tr w:rsidR="00097B73" w:rsidRPr="00937D97" w14:paraId="222EC650" w14:textId="77777777" w:rsidTr="0024128C">
        <w:trPr>
          <w:jc w:val="center"/>
        </w:trPr>
        <w:tc>
          <w:tcPr>
            <w:tcW w:w="2593" w:type="dxa"/>
            <w:shd w:val="clear" w:color="auto" w:fill="auto"/>
            <w:vAlign w:val="center"/>
          </w:tcPr>
          <w:p w14:paraId="790790D3" w14:textId="77777777" w:rsidR="00097B73" w:rsidRPr="00937D97" w:rsidRDefault="00097B73" w:rsidP="00851A57">
            <w:pPr>
              <w:jc w:val="center"/>
              <w:rPr>
                <w:lang w:val="en-US"/>
              </w:rPr>
            </w:pPr>
            <w:r w:rsidRPr="00937D97">
              <w:rPr>
                <w:lang w:val="en-US"/>
              </w:rPr>
              <w:t>2015</w:t>
            </w:r>
          </w:p>
        </w:tc>
        <w:tc>
          <w:tcPr>
            <w:tcW w:w="1801" w:type="dxa"/>
            <w:shd w:val="clear" w:color="auto" w:fill="auto"/>
            <w:vAlign w:val="center"/>
          </w:tcPr>
          <w:p w14:paraId="324BD4C8" w14:textId="77777777" w:rsidR="00097B73" w:rsidRPr="00937D97" w:rsidRDefault="00097B73" w:rsidP="00851A57">
            <w:pPr>
              <w:jc w:val="center"/>
              <w:rPr>
                <w:lang w:val="en-US"/>
              </w:rPr>
            </w:pPr>
            <w:r w:rsidRPr="00937D97">
              <w:rPr>
                <w:lang w:val="en-US"/>
              </w:rPr>
              <w:t>4</w:t>
            </w:r>
          </w:p>
        </w:tc>
      </w:tr>
      <w:tr w:rsidR="00097B73" w:rsidRPr="00937D97" w14:paraId="0EF3F85C" w14:textId="77777777" w:rsidTr="0024128C">
        <w:trPr>
          <w:jc w:val="center"/>
        </w:trPr>
        <w:tc>
          <w:tcPr>
            <w:tcW w:w="2593" w:type="dxa"/>
            <w:shd w:val="clear" w:color="auto" w:fill="auto"/>
            <w:vAlign w:val="center"/>
          </w:tcPr>
          <w:p w14:paraId="777AB3BD" w14:textId="77777777" w:rsidR="00097B73" w:rsidRPr="00937D97" w:rsidRDefault="00097B73" w:rsidP="00851A57">
            <w:pPr>
              <w:jc w:val="center"/>
              <w:rPr>
                <w:lang w:val="en-US"/>
              </w:rPr>
            </w:pPr>
            <w:r w:rsidRPr="00937D97">
              <w:rPr>
                <w:lang w:val="en-US"/>
              </w:rPr>
              <w:t>2014</w:t>
            </w:r>
          </w:p>
        </w:tc>
        <w:tc>
          <w:tcPr>
            <w:tcW w:w="1801" w:type="dxa"/>
            <w:shd w:val="clear" w:color="auto" w:fill="auto"/>
            <w:vAlign w:val="center"/>
          </w:tcPr>
          <w:p w14:paraId="394E6135" w14:textId="77777777" w:rsidR="00097B73" w:rsidRDefault="00097B73" w:rsidP="00851A57">
            <w:pPr>
              <w:jc w:val="center"/>
            </w:pPr>
            <w:r w:rsidRPr="00937D97">
              <w:rPr>
                <w:lang w:val="en-US"/>
              </w:rPr>
              <w:t>10</w:t>
            </w:r>
          </w:p>
        </w:tc>
      </w:tr>
      <w:tr w:rsidR="00097B73" w:rsidRPr="00937D97" w14:paraId="5E72597D" w14:textId="77777777" w:rsidTr="0024128C">
        <w:trPr>
          <w:jc w:val="center"/>
        </w:trPr>
        <w:tc>
          <w:tcPr>
            <w:tcW w:w="2593" w:type="dxa"/>
            <w:shd w:val="clear" w:color="auto" w:fill="auto"/>
            <w:vAlign w:val="center"/>
          </w:tcPr>
          <w:p w14:paraId="408BAD8D" w14:textId="77777777" w:rsidR="00097B73" w:rsidRPr="00937D97" w:rsidRDefault="00097B73" w:rsidP="00851A57">
            <w:pPr>
              <w:jc w:val="center"/>
              <w:rPr>
                <w:lang w:val="en-US"/>
              </w:rPr>
            </w:pPr>
            <w:r w:rsidRPr="00937D97">
              <w:rPr>
                <w:lang w:val="en-US"/>
              </w:rPr>
              <w:t>2013</w:t>
            </w:r>
          </w:p>
        </w:tc>
        <w:tc>
          <w:tcPr>
            <w:tcW w:w="1801" w:type="dxa"/>
            <w:shd w:val="clear" w:color="auto" w:fill="auto"/>
            <w:vAlign w:val="center"/>
          </w:tcPr>
          <w:p w14:paraId="498DC2AE" w14:textId="77777777" w:rsidR="00097B73" w:rsidRDefault="00097B73" w:rsidP="00851A57">
            <w:pPr>
              <w:jc w:val="center"/>
            </w:pPr>
            <w:r w:rsidRPr="00937D97">
              <w:rPr>
                <w:lang w:val="en-US"/>
              </w:rPr>
              <w:t>6</w:t>
            </w:r>
          </w:p>
        </w:tc>
      </w:tr>
      <w:tr w:rsidR="00097B73" w:rsidRPr="00937D97" w14:paraId="45ADB227" w14:textId="77777777" w:rsidTr="0024128C">
        <w:trPr>
          <w:jc w:val="center"/>
        </w:trPr>
        <w:tc>
          <w:tcPr>
            <w:tcW w:w="2593" w:type="dxa"/>
            <w:shd w:val="clear" w:color="auto" w:fill="auto"/>
            <w:vAlign w:val="center"/>
          </w:tcPr>
          <w:p w14:paraId="63DFE6CD" w14:textId="77777777" w:rsidR="00097B73" w:rsidRPr="00937D97" w:rsidRDefault="00097B73" w:rsidP="00851A57">
            <w:pPr>
              <w:jc w:val="center"/>
              <w:rPr>
                <w:lang w:val="en-US"/>
              </w:rPr>
            </w:pPr>
            <w:r w:rsidRPr="00937D97">
              <w:rPr>
                <w:lang w:val="en-US"/>
              </w:rPr>
              <w:t>2012</w:t>
            </w:r>
          </w:p>
        </w:tc>
        <w:tc>
          <w:tcPr>
            <w:tcW w:w="1801" w:type="dxa"/>
            <w:shd w:val="clear" w:color="auto" w:fill="auto"/>
            <w:vAlign w:val="center"/>
          </w:tcPr>
          <w:p w14:paraId="1FA630E0" w14:textId="77777777" w:rsidR="00097B73" w:rsidRDefault="00097B73" w:rsidP="00851A57">
            <w:pPr>
              <w:jc w:val="center"/>
            </w:pPr>
            <w:r w:rsidRPr="00937D97">
              <w:rPr>
                <w:lang w:val="en-US"/>
              </w:rPr>
              <w:t>2</w:t>
            </w:r>
          </w:p>
        </w:tc>
      </w:tr>
      <w:tr w:rsidR="00097B73" w:rsidRPr="00937D97" w14:paraId="38CECC8F" w14:textId="77777777" w:rsidTr="0024128C">
        <w:trPr>
          <w:jc w:val="center"/>
        </w:trPr>
        <w:tc>
          <w:tcPr>
            <w:tcW w:w="2593" w:type="dxa"/>
            <w:shd w:val="clear" w:color="auto" w:fill="auto"/>
            <w:vAlign w:val="center"/>
          </w:tcPr>
          <w:p w14:paraId="33986586" w14:textId="77777777" w:rsidR="00097B73" w:rsidRPr="00937D97" w:rsidRDefault="00097B73" w:rsidP="00851A57">
            <w:pPr>
              <w:jc w:val="center"/>
              <w:rPr>
                <w:lang w:val="en-US"/>
              </w:rPr>
            </w:pPr>
            <w:r w:rsidRPr="00937D97">
              <w:rPr>
                <w:lang w:val="en-US"/>
              </w:rPr>
              <w:t>2011</w:t>
            </w:r>
          </w:p>
        </w:tc>
        <w:tc>
          <w:tcPr>
            <w:tcW w:w="1801" w:type="dxa"/>
            <w:shd w:val="clear" w:color="auto" w:fill="auto"/>
            <w:vAlign w:val="center"/>
          </w:tcPr>
          <w:p w14:paraId="787B99F9" w14:textId="77777777" w:rsidR="00097B73" w:rsidRDefault="00097B73" w:rsidP="00851A57">
            <w:pPr>
              <w:jc w:val="center"/>
            </w:pPr>
            <w:r w:rsidRPr="00937D97">
              <w:rPr>
                <w:lang w:val="en-US"/>
              </w:rPr>
              <w:t>4</w:t>
            </w:r>
          </w:p>
        </w:tc>
      </w:tr>
      <w:tr w:rsidR="00097B73" w:rsidRPr="00937D97" w14:paraId="7B11CC1F" w14:textId="77777777" w:rsidTr="0024128C">
        <w:trPr>
          <w:jc w:val="center"/>
        </w:trPr>
        <w:tc>
          <w:tcPr>
            <w:tcW w:w="2593" w:type="dxa"/>
            <w:shd w:val="clear" w:color="auto" w:fill="auto"/>
            <w:vAlign w:val="center"/>
          </w:tcPr>
          <w:p w14:paraId="708A6163" w14:textId="77777777" w:rsidR="00097B73" w:rsidRPr="00937D97" w:rsidRDefault="00097B73" w:rsidP="00851A57">
            <w:pPr>
              <w:jc w:val="center"/>
              <w:rPr>
                <w:lang w:val="en-US"/>
              </w:rPr>
            </w:pPr>
            <w:r w:rsidRPr="00937D97">
              <w:rPr>
                <w:lang w:val="en-US"/>
              </w:rPr>
              <w:t>2010</w:t>
            </w:r>
          </w:p>
        </w:tc>
        <w:tc>
          <w:tcPr>
            <w:tcW w:w="1801" w:type="dxa"/>
            <w:shd w:val="clear" w:color="auto" w:fill="auto"/>
            <w:vAlign w:val="center"/>
          </w:tcPr>
          <w:p w14:paraId="07C71232" w14:textId="77777777" w:rsidR="00097B73" w:rsidRDefault="00097B73" w:rsidP="00851A57">
            <w:pPr>
              <w:jc w:val="center"/>
            </w:pPr>
            <w:r w:rsidRPr="00937D97">
              <w:rPr>
                <w:lang w:val="en-US"/>
              </w:rPr>
              <w:t>4</w:t>
            </w:r>
          </w:p>
        </w:tc>
      </w:tr>
      <w:tr w:rsidR="00097B73" w:rsidRPr="00937D97" w14:paraId="45E4B23A" w14:textId="77777777" w:rsidTr="0024128C">
        <w:trPr>
          <w:jc w:val="center"/>
        </w:trPr>
        <w:tc>
          <w:tcPr>
            <w:tcW w:w="2593" w:type="dxa"/>
            <w:shd w:val="clear" w:color="auto" w:fill="auto"/>
            <w:vAlign w:val="center"/>
          </w:tcPr>
          <w:p w14:paraId="74D0B7CC" w14:textId="77777777" w:rsidR="00097B73" w:rsidRPr="00937D97" w:rsidRDefault="00097B73" w:rsidP="00851A57">
            <w:pPr>
              <w:jc w:val="center"/>
              <w:rPr>
                <w:lang w:val="en-US"/>
              </w:rPr>
            </w:pPr>
            <w:r w:rsidRPr="00937D97">
              <w:rPr>
                <w:lang w:val="en-US"/>
              </w:rPr>
              <w:t>2009</w:t>
            </w:r>
          </w:p>
        </w:tc>
        <w:tc>
          <w:tcPr>
            <w:tcW w:w="1801" w:type="dxa"/>
            <w:shd w:val="clear" w:color="auto" w:fill="auto"/>
            <w:vAlign w:val="center"/>
          </w:tcPr>
          <w:p w14:paraId="0627F4BD" w14:textId="77777777" w:rsidR="00097B73" w:rsidRDefault="00097B73" w:rsidP="00851A57">
            <w:pPr>
              <w:jc w:val="center"/>
            </w:pPr>
            <w:r w:rsidRPr="00937D97">
              <w:rPr>
                <w:lang w:val="en-US"/>
              </w:rPr>
              <w:t>6</w:t>
            </w:r>
          </w:p>
        </w:tc>
      </w:tr>
      <w:tr w:rsidR="00097B73" w:rsidRPr="00937D97" w14:paraId="1B9ABC43" w14:textId="77777777" w:rsidTr="0024128C">
        <w:trPr>
          <w:jc w:val="center"/>
        </w:trPr>
        <w:tc>
          <w:tcPr>
            <w:tcW w:w="2593" w:type="dxa"/>
            <w:shd w:val="clear" w:color="auto" w:fill="auto"/>
            <w:vAlign w:val="center"/>
          </w:tcPr>
          <w:p w14:paraId="7196446B" w14:textId="77777777" w:rsidR="00097B73" w:rsidRPr="00937D97" w:rsidRDefault="00097B73" w:rsidP="00851A57">
            <w:pPr>
              <w:jc w:val="center"/>
              <w:rPr>
                <w:lang w:val="en-US"/>
              </w:rPr>
            </w:pPr>
            <w:r w:rsidRPr="00937D97">
              <w:rPr>
                <w:lang w:val="en-US"/>
              </w:rPr>
              <w:t>2008</w:t>
            </w:r>
          </w:p>
        </w:tc>
        <w:tc>
          <w:tcPr>
            <w:tcW w:w="1801" w:type="dxa"/>
            <w:shd w:val="clear" w:color="auto" w:fill="auto"/>
            <w:vAlign w:val="center"/>
          </w:tcPr>
          <w:p w14:paraId="2CCBA58C" w14:textId="77777777" w:rsidR="00097B73" w:rsidRDefault="00097B73" w:rsidP="00851A57">
            <w:pPr>
              <w:jc w:val="center"/>
            </w:pPr>
            <w:r w:rsidRPr="00937D97">
              <w:rPr>
                <w:lang w:val="en-US"/>
              </w:rPr>
              <w:t>5</w:t>
            </w:r>
          </w:p>
        </w:tc>
      </w:tr>
      <w:tr w:rsidR="00097B73" w:rsidRPr="00937D97" w14:paraId="01A0768D" w14:textId="77777777" w:rsidTr="0024128C">
        <w:trPr>
          <w:jc w:val="center"/>
        </w:trPr>
        <w:tc>
          <w:tcPr>
            <w:tcW w:w="2593" w:type="dxa"/>
            <w:shd w:val="clear" w:color="auto" w:fill="auto"/>
            <w:vAlign w:val="center"/>
          </w:tcPr>
          <w:p w14:paraId="1A3505FF" w14:textId="77777777" w:rsidR="00097B73" w:rsidRPr="00937D97" w:rsidRDefault="00097B73" w:rsidP="00851A57">
            <w:pPr>
              <w:jc w:val="center"/>
              <w:rPr>
                <w:lang w:val="en-US"/>
              </w:rPr>
            </w:pPr>
            <w:r w:rsidRPr="00937D97">
              <w:rPr>
                <w:lang w:val="en-US"/>
              </w:rPr>
              <w:t>2007</w:t>
            </w:r>
          </w:p>
        </w:tc>
        <w:tc>
          <w:tcPr>
            <w:tcW w:w="1801" w:type="dxa"/>
            <w:shd w:val="clear" w:color="auto" w:fill="auto"/>
            <w:vAlign w:val="center"/>
          </w:tcPr>
          <w:p w14:paraId="7F33CF31" w14:textId="77777777" w:rsidR="00097B73" w:rsidRDefault="00097B73" w:rsidP="00851A57">
            <w:pPr>
              <w:jc w:val="center"/>
            </w:pPr>
            <w:r w:rsidRPr="00937D97">
              <w:rPr>
                <w:lang w:val="en-US"/>
              </w:rPr>
              <w:t>3</w:t>
            </w:r>
          </w:p>
        </w:tc>
      </w:tr>
      <w:tr w:rsidR="00097B73" w:rsidRPr="00937D97" w14:paraId="40E7128B" w14:textId="77777777" w:rsidTr="0024128C">
        <w:trPr>
          <w:jc w:val="center"/>
        </w:trPr>
        <w:tc>
          <w:tcPr>
            <w:tcW w:w="2593" w:type="dxa"/>
            <w:shd w:val="clear" w:color="auto" w:fill="auto"/>
            <w:vAlign w:val="center"/>
          </w:tcPr>
          <w:p w14:paraId="03F0BA7F" w14:textId="77777777" w:rsidR="00097B73" w:rsidRPr="00937D97" w:rsidRDefault="00097B73" w:rsidP="00851A57">
            <w:pPr>
              <w:jc w:val="center"/>
              <w:rPr>
                <w:lang w:val="en-US"/>
              </w:rPr>
            </w:pPr>
            <w:r w:rsidRPr="00937D97">
              <w:rPr>
                <w:lang w:val="en-US"/>
              </w:rPr>
              <w:t>2006</w:t>
            </w:r>
          </w:p>
        </w:tc>
        <w:tc>
          <w:tcPr>
            <w:tcW w:w="1801" w:type="dxa"/>
            <w:shd w:val="clear" w:color="auto" w:fill="auto"/>
            <w:vAlign w:val="center"/>
          </w:tcPr>
          <w:p w14:paraId="452F4140" w14:textId="77777777" w:rsidR="00097B73" w:rsidRDefault="00097B73" w:rsidP="00851A57">
            <w:pPr>
              <w:jc w:val="center"/>
            </w:pPr>
            <w:r w:rsidRPr="00937D97">
              <w:rPr>
                <w:lang w:val="en-US"/>
              </w:rPr>
              <w:t>7</w:t>
            </w:r>
          </w:p>
        </w:tc>
      </w:tr>
      <w:tr w:rsidR="00097B73" w:rsidRPr="00937D97" w14:paraId="0D255A45" w14:textId="77777777" w:rsidTr="0024128C">
        <w:trPr>
          <w:jc w:val="center"/>
        </w:trPr>
        <w:tc>
          <w:tcPr>
            <w:tcW w:w="2593" w:type="dxa"/>
            <w:shd w:val="clear" w:color="auto" w:fill="auto"/>
            <w:vAlign w:val="center"/>
          </w:tcPr>
          <w:p w14:paraId="7BBF345C" w14:textId="77777777" w:rsidR="00097B73" w:rsidRPr="00937D97" w:rsidRDefault="00097B73" w:rsidP="00851A57">
            <w:pPr>
              <w:jc w:val="center"/>
              <w:rPr>
                <w:lang w:val="en-US"/>
              </w:rPr>
            </w:pPr>
            <w:r w:rsidRPr="00937D97">
              <w:rPr>
                <w:lang w:val="en-US"/>
              </w:rPr>
              <w:t>2005</w:t>
            </w:r>
          </w:p>
        </w:tc>
        <w:tc>
          <w:tcPr>
            <w:tcW w:w="1801" w:type="dxa"/>
            <w:shd w:val="clear" w:color="auto" w:fill="auto"/>
            <w:vAlign w:val="center"/>
          </w:tcPr>
          <w:p w14:paraId="7148B3C4" w14:textId="77777777" w:rsidR="00097B73" w:rsidRDefault="00097B73" w:rsidP="00851A57">
            <w:pPr>
              <w:jc w:val="center"/>
            </w:pPr>
            <w:r w:rsidRPr="00937D97">
              <w:rPr>
                <w:lang w:val="en-US"/>
              </w:rPr>
              <w:t>3</w:t>
            </w:r>
          </w:p>
        </w:tc>
      </w:tr>
      <w:tr w:rsidR="00097B73" w:rsidRPr="00937D97" w14:paraId="6F9D24AC" w14:textId="77777777" w:rsidTr="0024128C">
        <w:trPr>
          <w:jc w:val="center"/>
        </w:trPr>
        <w:tc>
          <w:tcPr>
            <w:tcW w:w="2593" w:type="dxa"/>
            <w:shd w:val="clear" w:color="auto" w:fill="auto"/>
            <w:vAlign w:val="center"/>
          </w:tcPr>
          <w:p w14:paraId="6D04CA7A" w14:textId="77777777" w:rsidR="00097B73" w:rsidRPr="00937D97" w:rsidRDefault="00097B73" w:rsidP="00851A57">
            <w:pPr>
              <w:jc w:val="center"/>
              <w:rPr>
                <w:lang w:val="en-US"/>
              </w:rPr>
            </w:pPr>
            <w:r w:rsidRPr="00937D97">
              <w:rPr>
                <w:lang w:val="en-US"/>
              </w:rPr>
              <w:t>2004</w:t>
            </w:r>
          </w:p>
        </w:tc>
        <w:tc>
          <w:tcPr>
            <w:tcW w:w="1801" w:type="dxa"/>
            <w:shd w:val="clear" w:color="auto" w:fill="auto"/>
            <w:vAlign w:val="center"/>
          </w:tcPr>
          <w:p w14:paraId="6BD89A1C" w14:textId="77777777" w:rsidR="00097B73" w:rsidRDefault="00097B73" w:rsidP="00851A57">
            <w:pPr>
              <w:jc w:val="center"/>
            </w:pPr>
            <w:r>
              <w:t>-</w:t>
            </w:r>
          </w:p>
        </w:tc>
      </w:tr>
      <w:tr w:rsidR="00097B73" w:rsidRPr="00937D97" w14:paraId="3F447C1F" w14:textId="77777777" w:rsidTr="0024128C">
        <w:trPr>
          <w:jc w:val="center"/>
        </w:trPr>
        <w:tc>
          <w:tcPr>
            <w:tcW w:w="2593" w:type="dxa"/>
            <w:shd w:val="clear" w:color="auto" w:fill="auto"/>
            <w:vAlign w:val="center"/>
          </w:tcPr>
          <w:p w14:paraId="7A94C81A" w14:textId="77777777" w:rsidR="00097B73" w:rsidRPr="00937D97" w:rsidRDefault="00097B73" w:rsidP="00851A57">
            <w:pPr>
              <w:jc w:val="center"/>
              <w:rPr>
                <w:lang w:val="en-US"/>
              </w:rPr>
            </w:pPr>
            <w:r w:rsidRPr="00937D97">
              <w:rPr>
                <w:lang w:val="en-US"/>
              </w:rPr>
              <w:t>2003</w:t>
            </w:r>
          </w:p>
        </w:tc>
        <w:tc>
          <w:tcPr>
            <w:tcW w:w="1801" w:type="dxa"/>
            <w:shd w:val="clear" w:color="auto" w:fill="auto"/>
            <w:vAlign w:val="center"/>
          </w:tcPr>
          <w:p w14:paraId="38CD83C2" w14:textId="77777777" w:rsidR="00097B73" w:rsidRDefault="00097B73" w:rsidP="00851A57">
            <w:pPr>
              <w:jc w:val="center"/>
            </w:pPr>
            <w:r w:rsidRPr="00937D97">
              <w:rPr>
                <w:lang w:val="en-US"/>
              </w:rPr>
              <w:t>2</w:t>
            </w:r>
          </w:p>
        </w:tc>
      </w:tr>
      <w:tr w:rsidR="00097B73" w:rsidRPr="00937D97" w14:paraId="644000B7" w14:textId="77777777" w:rsidTr="0024128C">
        <w:trPr>
          <w:jc w:val="center"/>
        </w:trPr>
        <w:tc>
          <w:tcPr>
            <w:tcW w:w="2593" w:type="dxa"/>
            <w:shd w:val="clear" w:color="auto" w:fill="auto"/>
            <w:vAlign w:val="center"/>
          </w:tcPr>
          <w:p w14:paraId="415A9883" w14:textId="77777777" w:rsidR="00097B73" w:rsidRPr="00937D97" w:rsidRDefault="00097B73" w:rsidP="00851A57">
            <w:pPr>
              <w:jc w:val="center"/>
              <w:rPr>
                <w:lang w:val="en-US"/>
              </w:rPr>
            </w:pPr>
            <w:r w:rsidRPr="00937D97">
              <w:rPr>
                <w:lang w:val="en-US"/>
              </w:rPr>
              <w:t>2002</w:t>
            </w:r>
          </w:p>
        </w:tc>
        <w:tc>
          <w:tcPr>
            <w:tcW w:w="1801" w:type="dxa"/>
            <w:shd w:val="clear" w:color="auto" w:fill="auto"/>
            <w:vAlign w:val="center"/>
          </w:tcPr>
          <w:p w14:paraId="4B99BEF8" w14:textId="77777777" w:rsidR="00097B73" w:rsidRDefault="00097B73" w:rsidP="00851A57">
            <w:pPr>
              <w:jc w:val="center"/>
            </w:pPr>
            <w:r w:rsidRPr="00937D97">
              <w:rPr>
                <w:lang w:val="en-US"/>
              </w:rPr>
              <w:t>2</w:t>
            </w:r>
          </w:p>
        </w:tc>
      </w:tr>
      <w:tr w:rsidR="00097B73" w:rsidRPr="00937D97" w14:paraId="21829C54" w14:textId="77777777" w:rsidTr="0024128C">
        <w:trPr>
          <w:jc w:val="center"/>
        </w:trPr>
        <w:tc>
          <w:tcPr>
            <w:tcW w:w="2593" w:type="dxa"/>
            <w:shd w:val="clear" w:color="auto" w:fill="auto"/>
            <w:vAlign w:val="center"/>
          </w:tcPr>
          <w:p w14:paraId="06685768" w14:textId="77777777" w:rsidR="00097B73" w:rsidRPr="00937D97" w:rsidRDefault="00097B73" w:rsidP="00851A57">
            <w:pPr>
              <w:jc w:val="center"/>
              <w:rPr>
                <w:lang w:val="en-US"/>
              </w:rPr>
            </w:pPr>
            <w:r w:rsidRPr="00937D97">
              <w:rPr>
                <w:lang w:val="en-US"/>
              </w:rPr>
              <w:t>2001</w:t>
            </w:r>
          </w:p>
        </w:tc>
        <w:tc>
          <w:tcPr>
            <w:tcW w:w="1801" w:type="dxa"/>
            <w:shd w:val="clear" w:color="auto" w:fill="auto"/>
            <w:vAlign w:val="center"/>
          </w:tcPr>
          <w:p w14:paraId="6BEDEBF9" w14:textId="77777777" w:rsidR="00097B73" w:rsidRDefault="00097B73" w:rsidP="00851A57">
            <w:pPr>
              <w:jc w:val="center"/>
            </w:pPr>
            <w:r w:rsidRPr="00937D97">
              <w:rPr>
                <w:lang w:val="en-US"/>
              </w:rPr>
              <w:t>2</w:t>
            </w:r>
          </w:p>
        </w:tc>
      </w:tr>
      <w:tr w:rsidR="00097B73" w:rsidRPr="00937D97" w14:paraId="669F477A" w14:textId="77777777" w:rsidTr="0024128C">
        <w:trPr>
          <w:jc w:val="center"/>
        </w:trPr>
        <w:tc>
          <w:tcPr>
            <w:tcW w:w="2593" w:type="dxa"/>
            <w:shd w:val="clear" w:color="auto" w:fill="auto"/>
            <w:vAlign w:val="center"/>
          </w:tcPr>
          <w:p w14:paraId="2AB41982" w14:textId="77777777" w:rsidR="00097B73" w:rsidRDefault="00097B73" w:rsidP="00851A57">
            <w:pPr>
              <w:jc w:val="center"/>
            </w:pPr>
            <w:r w:rsidRPr="00937D97">
              <w:rPr>
                <w:lang w:val="en-US"/>
              </w:rPr>
              <w:t>2000</w:t>
            </w:r>
          </w:p>
        </w:tc>
        <w:tc>
          <w:tcPr>
            <w:tcW w:w="1801" w:type="dxa"/>
            <w:shd w:val="clear" w:color="auto" w:fill="auto"/>
            <w:vAlign w:val="center"/>
          </w:tcPr>
          <w:p w14:paraId="5A4365A5" w14:textId="77777777" w:rsidR="00097B73" w:rsidRDefault="00097B73" w:rsidP="00851A57">
            <w:pPr>
              <w:jc w:val="center"/>
            </w:pPr>
            <w:r w:rsidRPr="00937D97">
              <w:rPr>
                <w:lang w:val="en-US"/>
              </w:rPr>
              <w:t>6</w:t>
            </w:r>
          </w:p>
        </w:tc>
      </w:tr>
      <w:tr w:rsidR="00097B73" w:rsidRPr="00937D97" w14:paraId="4C991ACE" w14:textId="77777777" w:rsidTr="0024128C">
        <w:trPr>
          <w:jc w:val="center"/>
        </w:trPr>
        <w:tc>
          <w:tcPr>
            <w:tcW w:w="2593" w:type="dxa"/>
            <w:shd w:val="clear" w:color="auto" w:fill="auto"/>
            <w:vAlign w:val="center"/>
          </w:tcPr>
          <w:p w14:paraId="0785F9AD" w14:textId="77777777" w:rsidR="00097B73" w:rsidRDefault="00097B73" w:rsidP="00851A57">
            <w:pPr>
              <w:jc w:val="center"/>
            </w:pPr>
            <w:r w:rsidRPr="00937D97">
              <w:rPr>
                <w:lang w:val="en-US"/>
              </w:rPr>
              <w:t>1999</w:t>
            </w:r>
          </w:p>
        </w:tc>
        <w:tc>
          <w:tcPr>
            <w:tcW w:w="1801" w:type="dxa"/>
            <w:shd w:val="clear" w:color="auto" w:fill="auto"/>
            <w:vAlign w:val="center"/>
          </w:tcPr>
          <w:p w14:paraId="39C819F8" w14:textId="77777777" w:rsidR="00097B73" w:rsidRDefault="00097B73" w:rsidP="00851A57">
            <w:pPr>
              <w:jc w:val="center"/>
            </w:pPr>
            <w:r w:rsidRPr="00937D97">
              <w:rPr>
                <w:lang w:val="en-US"/>
              </w:rPr>
              <w:t>12</w:t>
            </w:r>
          </w:p>
        </w:tc>
      </w:tr>
      <w:tr w:rsidR="00097B73" w:rsidRPr="00937D97" w14:paraId="04164557" w14:textId="77777777" w:rsidTr="0024128C">
        <w:trPr>
          <w:jc w:val="center"/>
        </w:trPr>
        <w:tc>
          <w:tcPr>
            <w:tcW w:w="2593" w:type="dxa"/>
            <w:shd w:val="clear" w:color="auto" w:fill="auto"/>
            <w:vAlign w:val="center"/>
          </w:tcPr>
          <w:p w14:paraId="28A63744" w14:textId="77777777" w:rsidR="00097B73" w:rsidRDefault="00097B73" w:rsidP="00851A57">
            <w:pPr>
              <w:jc w:val="center"/>
            </w:pPr>
            <w:r w:rsidRPr="00937D97">
              <w:rPr>
                <w:lang w:val="en-US"/>
              </w:rPr>
              <w:t>1998</w:t>
            </w:r>
          </w:p>
        </w:tc>
        <w:tc>
          <w:tcPr>
            <w:tcW w:w="1801" w:type="dxa"/>
            <w:shd w:val="clear" w:color="auto" w:fill="auto"/>
            <w:vAlign w:val="center"/>
          </w:tcPr>
          <w:p w14:paraId="0BA2EACC" w14:textId="77777777" w:rsidR="00097B73" w:rsidRDefault="00097B73" w:rsidP="00851A57">
            <w:pPr>
              <w:jc w:val="center"/>
            </w:pPr>
            <w:r w:rsidRPr="00937D97">
              <w:rPr>
                <w:lang w:val="en-US"/>
              </w:rPr>
              <w:t>5</w:t>
            </w:r>
          </w:p>
        </w:tc>
      </w:tr>
    </w:tbl>
    <w:p w14:paraId="656EDB0B" w14:textId="77777777" w:rsidR="00097B73" w:rsidRPr="00097B73" w:rsidRDefault="00097B73" w:rsidP="00097B73">
      <w:pPr>
        <w:pStyle w:val="Heading1"/>
      </w:pPr>
      <w:bookmarkStart w:id="7" w:name="_Toc225584401"/>
      <w:r w:rsidRPr="00097B73">
        <w:t>8</w:t>
      </w:r>
      <w:r w:rsidRPr="00097B73">
        <w:tab/>
        <w:t>Conclusion</w:t>
      </w:r>
      <w:bookmarkEnd w:id="7"/>
    </w:p>
    <w:p w14:paraId="68D616ED" w14:textId="77777777" w:rsidR="00097B73" w:rsidRDefault="00097B73" w:rsidP="00097B73">
      <w:pPr>
        <w:rPr>
          <w:lang w:val="en-US"/>
        </w:rPr>
      </w:pPr>
      <w:r w:rsidRPr="004E23F0">
        <w:t xml:space="preserve">The implementation of </w:t>
      </w:r>
      <w:r w:rsidRPr="004E23F0">
        <w:rPr>
          <w:lang w:val="en-US"/>
        </w:rPr>
        <w:t>the GMPCS-MoU Arrangements</w:t>
      </w:r>
      <w:r w:rsidRPr="004E23F0">
        <w:t xml:space="preserve"> and </w:t>
      </w:r>
      <w:r w:rsidRPr="004E23F0">
        <w:rPr>
          <w:lang w:val="en-US"/>
        </w:rPr>
        <w:t>GMPCS-MoU Mark</w:t>
      </w:r>
      <w:r w:rsidRPr="004E23F0">
        <w:t xml:space="preserve"> </w:t>
      </w:r>
      <w:r>
        <w:t>has been</w:t>
      </w:r>
      <w:r w:rsidRPr="004E23F0">
        <w:t xml:space="preserve"> very successful in facilitating the global circulation and trans</w:t>
      </w:r>
      <w:r>
        <w:t>-</w:t>
      </w:r>
      <w:r w:rsidRPr="004E23F0">
        <w:t xml:space="preserve">border roaming of GMPCS </w:t>
      </w:r>
      <w:r>
        <w:t>t</w:t>
      </w:r>
      <w:r w:rsidRPr="004E23F0">
        <w:t xml:space="preserve">erminals and </w:t>
      </w:r>
      <w:r w:rsidRPr="004E23F0">
        <w:rPr>
          <w:lang w:val="en-US"/>
        </w:rPr>
        <w:t>the early introduction of GMPCS services.</w:t>
      </w:r>
      <w:r w:rsidRPr="00B967C6">
        <w:rPr>
          <w:lang w:val="en-US"/>
        </w:rPr>
        <w:t xml:space="preserve"> </w:t>
      </w:r>
      <w:r>
        <w:rPr>
          <w:lang w:val="en-US"/>
        </w:rPr>
        <w:t xml:space="preserve">The arrangements developed for </w:t>
      </w:r>
      <w:r w:rsidRPr="00B7692D">
        <w:rPr>
          <w:lang w:val="en-US"/>
        </w:rPr>
        <w:t xml:space="preserve">type approval, </w:t>
      </w:r>
      <w:r>
        <w:rPr>
          <w:lang w:val="en-US"/>
        </w:rPr>
        <w:t xml:space="preserve">simplified </w:t>
      </w:r>
      <w:r w:rsidRPr="00B7692D">
        <w:rPr>
          <w:lang w:val="en-US"/>
        </w:rPr>
        <w:t xml:space="preserve">licensing, marking, </w:t>
      </w:r>
      <w:r w:rsidRPr="00C90F9D">
        <w:rPr>
          <w:lang w:val="en-US"/>
        </w:rPr>
        <w:t>access to traffic data, and</w:t>
      </w:r>
      <w:r w:rsidRPr="00B7692D">
        <w:rPr>
          <w:lang w:val="en-US"/>
        </w:rPr>
        <w:t xml:space="preserve"> customs recommendations related to the free circulation of GMPCS terminals</w:t>
      </w:r>
      <w:r>
        <w:rPr>
          <w:lang w:val="en-US"/>
        </w:rPr>
        <w:t xml:space="preserve"> have proved to be very effective.</w:t>
      </w:r>
    </w:p>
    <w:p w14:paraId="783A6B72" w14:textId="77777777" w:rsidR="00097B73" w:rsidRDefault="00097B73" w:rsidP="00097B73">
      <w:pPr>
        <w:rPr>
          <w:lang w:val="en-US"/>
        </w:rPr>
      </w:pPr>
    </w:p>
    <w:p w14:paraId="7438DD16" w14:textId="77777777" w:rsidR="00097B73" w:rsidRDefault="00097B73" w:rsidP="00097B73">
      <w:pPr>
        <w:rPr>
          <w:lang w:val="en-US"/>
        </w:rPr>
      </w:pPr>
    </w:p>
    <w:p w14:paraId="6BFC6C86" w14:textId="77777777" w:rsidR="00C14C0F" w:rsidRPr="001A704A" w:rsidRDefault="00C14C0F" w:rsidP="00C14C0F"/>
    <w:p w14:paraId="13AF21E6" w14:textId="77777777" w:rsidR="0003425C" w:rsidRPr="001A704A" w:rsidRDefault="0003425C">
      <w:pPr>
        <w:jc w:val="center"/>
      </w:pPr>
      <w:r w:rsidRPr="001A704A">
        <w:t>______________</w:t>
      </w:r>
    </w:p>
    <w:p w14:paraId="40B43033" w14:textId="77777777" w:rsidR="0003425C" w:rsidRPr="001A704A" w:rsidRDefault="0003425C" w:rsidP="004F0848">
      <w:pPr>
        <w:tabs>
          <w:tab w:val="clear" w:pos="794"/>
          <w:tab w:val="clear" w:pos="1191"/>
          <w:tab w:val="clear" w:pos="1588"/>
          <w:tab w:val="clear" w:pos="1985"/>
        </w:tabs>
        <w:overflowPunct/>
        <w:autoSpaceDE/>
        <w:autoSpaceDN/>
        <w:adjustRightInd/>
        <w:spacing w:before="0"/>
        <w:textAlignment w:val="auto"/>
      </w:pPr>
    </w:p>
    <w:sectPr w:rsidR="0003425C" w:rsidRPr="001A704A" w:rsidSect="00097B73">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E3080" w14:textId="77777777" w:rsidR="00995A25" w:rsidRDefault="00995A25">
      <w:r>
        <w:separator/>
      </w:r>
    </w:p>
  </w:endnote>
  <w:endnote w:type="continuationSeparator" w:id="0">
    <w:p w14:paraId="1CD49260" w14:textId="77777777" w:rsidR="00995A25" w:rsidRDefault="0099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D0FAD" w14:textId="77777777" w:rsidR="00983B7E" w:rsidRDefault="00983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AFC0" w14:textId="12F13EAE" w:rsidR="000602FC" w:rsidRPr="00014CA3" w:rsidRDefault="00FF2194" w:rsidP="00014CA3">
    <w:pPr>
      <w:pStyle w:val="Footer"/>
    </w:pPr>
    <w:r>
      <w:fldChar w:fldCharType="begin"/>
    </w:r>
    <w:r w:rsidRPr="001F7439">
      <w:instrText xml:space="preserve"> FILENAME \p  \* MERGEFORMAT </w:instrText>
    </w:r>
    <w:r>
      <w:fldChar w:fldCharType="separate"/>
    </w:r>
    <w:r w:rsidR="00097B73">
      <w:t>Y:\APP\BR\POOL\RAG-16\001ADD03.docx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56BA" w14:textId="36771F1C" w:rsidR="000602FC" w:rsidRPr="00014CA3" w:rsidRDefault="00FF2194" w:rsidP="00014CA3">
    <w:pPr>
      <w:pStyle w:val="Footer"/>
    </w:pPr>
    <w:r>
      <w:fldChar w:fldCharType="begin"/>
    </w:r>
    <w:r w:rsidRPr="001F7439">
      <w:instrText xml:space="preserve"> FILENAME \p  \* MERGEFORMAT </w:instrText>
    </w:r>
    <w:r>
      <w:fldChar w:fldCharType="separate"/>
    </w:r>
    <w:r w:rsidR="00097B73">
      <w:t>Y:\APP\BR\POOL\RAG-16\001ADD03.docx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032CD" w14:textId="77777777" w:rsidR="00995A25" w:rsidRDefault="00995A25">
      <w:r>
        <w:t>____________________</w:t>
      </w:r>
    </w:p>
  </w:footnote>
  <w:footnote w:type="continuationSeparator" w:id="0">
    <w:p w14:paraId="6F6B6A82" w14:textId="77777777" w:rsidR="00995A25" w:rsidRDefault="0099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C5B3" w14:textId="77777777" w:rsidR="00983B7E" w:rsidRDefault="00983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14:paraId="7AB539D9" w14:textId="1E759667" w:rsidR="000602FC" w:rsidRPr="00983B7E" w:rsidRDefault="00FF2194" w:rsidP="00097B73">
    <w:pPr>
      <w:tabs>
        <w:tab w:val="left" w:pos="5954"/>
        <w:tab w:val="right" w:pos="14034"/>
      </w:tabs>
      <w:spacing w:before="0" w:after="120"/>
      <w:jc w:val="center"/>
      <w:rPr>
        <w:rFonts w:asciiTheme="majorBidi" w:hAnsiTheme="majorBidi" w:cstheme="majorBidi"/>
        <w:smallCaps/>
        <w:spacing w:val="24"/>
        <w:sz w:val="20"/>
        <w:szCs w:val="16"/>
        <w:lang w:val="de-CH"/>
      </w:rPr>
    </w:pPr>
    <w:r w:rsidRPr="00983B7E">
      <w:rPr>
        <w:rFonts w:asciiTheme="majorBidi" w:hAnsiTheme="majorBidi" w:cstheme="majorBidi"/>
        <w:sz w:val="20"/>
        <w:szCs w:val="14"/>
      </w:rPr>
      <w:fldChar w:fldCharType="begin"/>
    </w:r>
    <w:r w:rsidRPr="00983B7E">
      <w:rPr>
        <w:rFonts w:asciiTheme="majorBidi" w:hAnsiTheme="majorBidi" w:cstheme="majorBidi"/>
        <w:sz w:val="20"/>
        <w:szCs w:val="14"/>
        <w:lang w:val="es-ES_tradnl"/>
      </w:rPr>
      <w:instrText xml:space="preserve"> PAGE   \* MERGEFORMAT </w:instrText>
    </w:r>
    <w:r w:rsidRPr="00983B7E">
      <w:rPr>
        <w:rFonts w:asciiTheme="majorBidi" w:hAnsiTheme="majorBidi" w:cstheme="majorBidi"/>
        <w:sz w:val="20"/>
        <w:szCs w:val="14"/>
      </w:rPr>
      <w:fldChar w:fldCharType="separate"/>
    </w:r>
    <w:r w:rsidR="00983B7E">
      <w:rPr>
        <w:rFonts w:asciiTheme="majorBidi" w:hAnsiTheme="majorBidi" w:cstheme="majorBidi"/>
        <w:noProof/>
        <w:sz w:val="20"/>
        <w:szCs w:val="14"/>
        <w:lang w:val="es-ES_tradnl"/>
      </w:rPr>
      <w:t>3</w:t>
    </w:r>
    <w:r w:rsidRPr="00983B7E">
      <w:rPr>
        <w:rFonts w:asciiTheme="majorBidi" w:hAnsiTheme="majorBidi" w:cstheme="majorBidi"/>
        <w:sz w:val="20"/>
        <w:szCs w:val="14"/>
      </w:rPr>
      <w:fldChar w:fldCharType="end"/>
    </w:r>
    <w:r w:rsidRPr="00983B7E">
      <w:rPr>
        <w:rFonts w:asciiTheme="majorBidi" w:hAnsiTheme="majorBidi" w:cstheme="majorBidi"/>
        <w:sz w:val="20"/>
        <w:szCs w:val="14"/>
        <w:lang w:val="es-ES_tradnl"/>
      </w:rPr>
      <w:br/>
      <w:t>RAG16/1(Add.</w:t>
    </w:r>
    <w:r w:rsidR="00097B73" w:rsidRPr="00983B7E">
      <w:rPr>
        <w:rFonts w:asciiTheme="majorBidi" w:hAnsiTheme="majorBidi" w:cstheme="majorBidi"/>
        <w:sz w:val="20"/>
        <w:szCs w:val="14"/>
        <w:lang w:val="es-ES_tradnl"/>
      </w:rPr>
      <w:t>3</w:t>
    </w:r>
    <w:r w:rsidRPr="00983B7E">
      <w:rPr>
        <w:rFonts w:asciiTheme="majorBidi" w:hAnsiTheme="majorBidi" w:cstheme="majorBidi"/>
        <w:sz w:val="20"/>
        <w:szCs w:val="14"/>
        <w:lang w:val="es-ES_tradnl"/>
      </w:rPr>
      <w:t>)-E</w:t>
    </w:r>
    <w:bookmarkEnd w:id="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7859" w14:textId="22A34E35" w:rsidR="000602FC" w:rsidRPr="00014CA3" w:rsidRDefault="00983B7E" w:rsidP="00014CA3">
    <w:pPr>
      <w:tabs>
        <w:tab w:val="left" w:pos="5954"/>
        <w:tab w:val="right" w:pos="14034"/>
      </w:tabs>
      <w:spacing w:before="0" w:after="120"/>
      <w:jc w:val="center"/>
      <w:rPr>
        <w:rFonts w:asciiTheme="minorHAnsi" w:hAnsiTheme="minorHAnsi"/>
        <w:smallCaps/>
        <w:spacing w:val="24"/>
        <w:sz w:val="20"/>
        <w:szCs w:val="16"/>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155CB"/>
    <w:multiLevelType w:val="multilevel"/>
    <w:tmpl w:val="399C71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70"/>
        </w:tabs>
        <w:ind w:left="1470" w:hanging="39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B770C"/>
    <w:multiLevelType w:val="hybridMultilevel"/>
    <w:tmpl w:val="AE9285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3"/>
  </w:num>
  <w:num w:numId="13">
    <w:abstractNumId w:val="39"/>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4"/>
  </w:num>
  <w:num w:numId="18">
    <w:abstractNumId w:val="16"/>
  </w:num>
  <w:num w:numId="19">
    <w:abstractNumId w:val="26"/>
  </w:num>
  <w:num w:numId="20">
    <w:abstractNumId w:val="21"/>
  </w:num>
  <w:num w:numId="21">
    <w:abstractNumId w:val="24"/>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7"/>
  </w:num>
  <w:num w:numId="26">
    <w:abstractNumId w:val="25"/>
  </w:num>
  <w:num w:numId="27">
    <w:abstractNumId w:val="31"/>
  </w:num>
  <w:num w:numId="28">
    <w:abstractNumId w:val="11"/>
  </w:num>
  <w:num w:numId="29">
    <w:abstractNumId w:val="28"/>
  </w:num>
  <w:num w:numId="30">
    <w:abstractNumId w:val="23"/>
  </w:num>
  <w:num w:numId="31">
    <w:abstractNumId w:val="32"/>
  </w:num>
  <w:num w:numId="32">
    <w:abstractNumId w:val="38"/>
  </w:num>
  <w:num w:numId="33">
    <w:abstractNumId w:val="30"/>
  </w:num>
  <w:num w:numId="34">
    <w:abstractNumId w:val="40"/>
  </w:num>
  <w:num w:numId="35">
    <w:abstractNumId w:val="41"/>
  </w:num>
  <w:num w:numId="36">
    <w:abstractNumId w:val="15"/>
  </w:num>
  <w:num w:numId="37">
    <w:abstractNumId w:val="17"/>
  </w:num>
  <w:num w:numId="38">
    <w:abstractNumId w:val="22"/>
  </w:num>
  <w:num w:numId="39">
    <w:abstractNumId w:val="37"/>
  </w:num>
  <w:num w:numId="40">
    <w:abstractNumId w:val="35"/>
  </w:num>
  <w:num w:numId="41">
    <w:abstractNumId w:val="13"/>
  </w:num>
  <w:num w:numId="42">
    <w:abstractNumId w:val="36"/>
  </w:num>
  <w:num w:numId="43">
    <w:abstractNumId w:val="1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303A0"/>
    <w:rsid w:val="0003425C"/>
    <w:rsid w:val="000451D2"/>
    <w:rsid w:val="0005301E"/>
    <w:rsid w:val="00093C73"/>
    <w:rsid w:val="00097B73"/>
    <w:rsid w:val="000A028F"/>
    <w:rsid w:val="000C0123"/>
    <w:rsid w:val="000D5480"/>
    <w:rsid w:val="001002F2"/>
    <w:rsid w:val="001017FE"/>
    <w:rsid w:val="001051B0"/>
    <w:rsid w:val="001377D6"/>
    <w:rsid w:val="00157953"/>
    <w:rsid w:val="001A0508"/>
    <w:rsid w:val="001A704A"/>
    <w:rsid w:val="001D235F"/>
    <w:rsid w:val="001D6BF2"/>
    <w:rsid w:val="001E41A0"/>
    <w:rsid w:val="001E45F7"/>
    <w:rsid w:val="001F4F43"/>
    <w:rsid w:val="00205FFE"/>
    <w:rsid w:val="00213C0A"/>
    <w:rsid w:val="00224E6F"/>
    <w:rsid w:val="00233901"/>
    <w:rsid w:val="0024128C"/>
    <w:rsid w:val="0024750A"/>
    <w:rsid w:val="002541F9"/>
    <w:rsid w:val="00265E18"/>
    <w:rsid w:val="00271F9A"/>
    <w:rsid w:val="002774E4"/>
    <w:rsid w:val="002925E5"/>
    <w:rsid w:val="00294BB3"/>
    <w:rsid w:val="002A48CB"/>
    <w:rsid w:val="002A5262"/>
    <w:rsid w:val="002A6CE8"/>
    <w:rsid w:val="002B58F4"/>
    <w:rsid w:val="002C0A00"/>
    <w:rsid w:val="002D0146"/>
    <w:rsid w:val="002D6C88"/>
    <w:rsid w:val="002D79AF"/>
    <w:rsid w:val="002E28F7"/>
    <w:rsid w:val="002E50A8"/>
    <w:rsid w:val="00311ADD"/>
    <w:rsid w:val="00315CB7"/>
    <w:rsid w:val="0032239F"/>
    <w:rsid w:val="0032696C"/>
    <w:rsid w:val="00326D5A"/>
    <w:rsid w:val="00333483"/>
    <w:rsid w:val="00336D05"/>
    <w:rsid w:val="00344A2D"/>
    <w:rsid w:val="00377053"/>
    <w:rsid w:val="003820AF"/>
    <w:rsid w:val="003A39A8"/>
    <w:rsid w:val="003A6CBC"/>
    <w:rsid w:val="003B03E4"/>
    <w:rsid w:val="003D068D"/>
    <w:rsid w:val="003D1448"/>
    <w:rsid w:val="003E31D4"/>
    <w:rsid w:val="0043108F"/>
    <w:rsid w:val="00432683"/>
    <w:rsid w:val="00433958"/>
    <w:rsid w:val="00435688"/>
    <w:rsid w:val="00442BD2"/>
    <w:rsid w:val="00460764"/>
    <w:rsid w:val="00471B4C"/>
    <w:rsid w:val="00477124"/>
    <w:rsid w:val="00492192"/>
    <w:rsid w:val="004A0328"/>
    <w:rsid w:val="004A1E66"/>
    <w:rsid w:val="004A3DFD"/>
    <w:rsid w:val="004B03AB"/>
    <w:rsid w:val="004B60C5"/>
    <w:rsid w:val="004B7E12"/>
    <w:rsid w:val="004C57A4"/>
    <w:rsid w:val="004E4A89"/>
    <w:rsid w:val="004F0848"/>
    <w:rsid w:val="00507DA3"/>
    <w:rsid w:val="00517088"/>
    <w:rsid w:val="0051782D"/>
    <w:rsid w:val="005339F0"/>
    <w:rsid w:val="0053517B"/>
    <w:rsid w:val="00535235"/>
    <w:rsid w:val="00551384"/>
    <w:rsid w:val="00551963"/>
    <w:rsid w:val="00555DEE"/>
    <w:rsid w:val="0056264A"/>
    <w:rsid w:val="00591E73"/>
    <w:rsid w:val="005920BC"/>
    <w:rsid w:val="00597657"/>
    <w:rsid w:val="005B2C58"/>
    <w:rsid w:val="005D5A1E"/>
    <w:rsid w:val="005E73E2"/>
    <w:rsid w:val="005F3B91"/>
    <w:rsid w:val="005F7306"/>
    <w:rsid w:val="00615148"/>
    <w:rsid w:val="00621EC7"/>
    <w:rsid w:val="006221BE"/>
    <w:rsid w:val="00641861"/>
    <w:rsid w:val="00661332"/>
    <w:rsid w:val="006663B9"/>
    <w:rsid w:val="00684379"/>
    <w:rsid w:val="00690E67"/>
    <w:rsid w:val="00694CCF"/>
    <w:rsid w:val="006C63C6"/>
    <w:rsid w:val="006D6E45"/>
    <w:rsid w:val="006F6E1B"/>
    <w:rsid w:val="006F7004"/>
    <w:rsid w:val="00716D3E"/>
    <w:rsid w:val="00734703"/>
    <w:rsid w:val="007423B4"/>
    <w:rsid w:val="007457C5"/>
    <w:rsid w:val="00746923"/>
    <w:rsid w:val="0077293E"/>
    <w:rsid w:val="00772FF0"/>
    <w:rsid w:val="00783201"/>
    <w:rsid w:val="007A1054"/>
    <w:rsid w:val="007B26DC"/>
    <w:rsid w:val="007B3F52"/>
    <w:rsid w:val="007B7DE7"/>
    <w:rsid w:val="007C486A"/>
    <w:rsid w:val="007D60A7"/>
    <w:rsid w:val="00806E63"/>
    <w:rsid w:val="0081028D"/>
    <w:rsid w:val="00817C01"/>
    <w:rsid w:val="00825B9C"/>
    <w:rsid w:val="008608BE"/>
    <w:rsid w:val="00860C18"/>
    <w:rsid w:val="0087456A"/>
    <w:rsid w:val="008A410C"/>
    <w:rsid w:val="008B3F50"/>
    <w:rsid w:val="008B419D"/>
    <w:rsid w:val="008B5829"/>
    <w:rsid w:val="008B5C43"/>
    <w:rsid w:val="009137E5"/>
    <w:rsid w:val="009220F2"/>
    <w:rsid w:val="009236A2"/>
    <w:rsid w:val="00937F8B"/>
    <w:rsid w:val="0095426A"/>
    <w:rsid w:val="009673C3"/>
    <w:rsid w:val="009708BB"/>
    <w:rsid w:val="00983B7E"/>
    <w:rsid w:val="009931DC"/>
    <w:rsid w:val="00995A25"/>
    <w:rsid w:val="009A0318"/>
    <w:rsid w:val="009A42B2"/>
    <w:rsid w:val="009C7058"/>
    <w:rsid w:val="009D27EC"/>
    <w:rsid w:val="009D3070"/>
    <w:rsid w:val="009E0F65"/>
    <w:rsid w:val="009F3DC3"/>
    <w:rsid w:val="00A02038"/>
    <w:rsid w:val="00A0599C"/>
    <w:rsid w:val="00A05ADC"/>
    <w:rsid w:val="00A0632D"/>
    <w:rsid w:val="00A12DD4"/>
    <w:rsid w:val="00A130F4"/>
    <w:rsid w:val="00A16CB2"/>
    <w:rsid w:val="00A21967"/>
    <w:rsid w:val="00A6022A"/>
    <w:rsid w:val="00A6674C"/>
    <w:rsid w:val="00A72889"/>
    <w:rsid w:val="00A74A3C"/>
    <w:rsid w:val="00A970AA"/>
    <w:rsid w:val="00AA6911"/>
    <w:rsid w:val="00AB45B4"/>
    <w:rsid w:val="00AD441F"/>
    <w:rsid w:val="00AD7038"/>
    <w:rsid w:val="00AE5794"/>
    <w:rsid w:val="00B00478"/>
    <w:rsid w:val="00B04740"/>
    <w:rsid w:val="00B14A3D"/>
    <w:rsid w:val="00B21C54"/>
    <w:rsid w:val="00B35BE4"/>
    <w:rsid w:val="00B52992"/>
    <w:rsid w:val="00B80513"/>
    <w:rsid w:val="00B90365"/>
    <w:rsid w:val="00BB6C09"/>
    <w:rsid w:val="00BD64E2"/>
    <w:rsid w:val="00BD7A58"/>
    <w:rsid w:val="00C14C0F"/>
    <w:rsid w:val="00C23F65"/>
    <w:rsid w:val="00C401E8"/>
    <w:rsid w:val="00C62986"/>
    <w:rsid w:val="00C77C89"/>
    <w:rsid w:val="00C81B24"/>
    <w:rsid w:val="00C85412"/>
    <w:rsid w:val="00CB2A0C"/>
    <w:rsid w:val="00CC0311"/>
    <w:rsid w:val="00CC1D49"/>
    <w:rsid w:val="00CD4D80"/>
    <w:rsid w:val="00CE366B"/>
    <w:rsid w:val="00CE692E"/>
    <w:rsid w:val="00CE7860"/>
    <w:rsid w:val="00CF11FF"/>
    <w:rsid w:val="00D20B86"/>
    <w:rsid w:val="00D211BC"/>
    <w:rsid w:val="00D33102"/>
    <w:rsid w:val="00D35C44"/>
    <w:rsid w:val="00D505AE"/>
    <w:rsid w:val="00D53F19"/>
    <w:rsid w:val="00D62318"/>
    <w:rsid w:val="00D74E58"/>
    <w:rsid w:val="00D85C88"/>
    <w:rsid w:val="00D943A9"/>
    <w:rsid w:val="00DA7230"/>
    <w:rsid w:val="00DD3BF8"/>
    <w:rsid w:val="00DF0F62"/>
    <w:rsid w:val="00DF465B"/>
    <w:rsid w:val="00E02090"/>
    <w:rsid w:val="00E053A3"/>
    <w:rsid w:val="00E11CE2"/>
    <w:rsid w:val="00E44729"/>
    <w:rsid w:val="00E61955"/>
    <w:rsid w:val="00E806CF"/>
    <w:rsid w:val="00E85650"/>
    <w:rsid w:val="00E874A7"/>
    <w:rsid w:val="00E96D5A"/>
    <w:rsid w:val="00ED37A6"/>
    <w:rsid w:val="00EF4EA3"/>
    <w:rsid w:val="00F12D86"/>
    <w:rsid w:val="00F43BA7"/>
    <w:rsid w:val="00F53E84"/>
    <w:rsid w:val="00F62716"/>
    <w:rsid w:val="00F64FAC"/>
    <w:rsid w:val="00F7162B"/>
    <w:rsid w:val="00F749FF"/>
    <w:rsid w:val="00F82830"/>
    <w:rsid w:val="00F84F44"/>
    <w:rsid w:val="00F93AD1"/>
    <w:rsid w:val="00FB3CC6"/>
    <w:rsid w:val="00FC1E29"/>
    <w:rsid w:val="00FD336E"/>
    <w:rsid w:val="00FF2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885F05"/>
  <w15:docId w15:val="{2F5FDD97-861F-4AA1-983A-FF5EF00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A050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9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en/gmpcs/Pages/ITUSecretaryGeneral.aspx?RootFolder=%2Fen%2Fgmpcs%2FITU%20Secretary%20General%2FResolutions"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www.itu.int/en/gmpcs/Pages/MoUArrangements.aspx" TargetMode="External"/><Relationship Id="rId17" Type="http://schemas.openxmlformats.org/officeDocument/2006/relationships/hyperlink" Target="http://www.itu.int/en/gmpcs/Pages/GMPCSSearch.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en/gmpcs/Pages/Administrations.aspx?RootFolder=%2Fen%2Fgmpcs%2FAdministrations%2FTerminal%5FType%5FApprova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gmpcs/Pages/MoUArrangements.asp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cgi-bin/htsh/mm/scripts/gd.list?_search=SIGNPARTYMEMBSTAT" TargetMode="External"/><Relationship Id="rId23" Type="http://schemas.openxmlformats.org/officeDocument/2006/relationships/footer" Target="footer2.xml"/><Relationship Id="rId10" Type="http://schemas.openxmlformats.org/officeDocument/2006/relationships/hyperlink" Target="http://www.itu.int/pforum/" TargetMode="External"/><Relationship Id="rId19" Type="http://schemas.openxmlformats.org/officeDocument/2006/relationships/hyperlink" Target="http://www.itu.int/en/gmpcs/Pages/MoUArrangements.aspx" TargetMode="External"/><Relationship Id="rId4" Type="http://schemas.openxmlformats.org/officeDocument/2006/relationships/webSettings" Target="webSettings.xml"/><Relationship Id="rId9" Type="http://schemas.openxmlformats.org/officeDocument/2006/relationships/hyperlink" Target="http://www.itu.int/publ/D-HDB-GMPCS-1999/en" TargetMode="External"/><Relationship Id="rId14" Type="http://schemas.openxmlformats.org/officeDocument/2006/relationships/hyperlink" Target="http://www.itu.int/cgi-bin/htsh/mm/scripts/gd.list?_search=SIGNPARTYGMPC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7</TotalTime>
  <Pages>6</Pages>
  <Words>1700</Words>
  <Characters>11015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dc:description>PE_RAG10.dotm  For: _x000d_Document date: _x000d_Saved by TRA44246 at 12:32:17 on 12.02.2010</dc:description>
  <cp:lastModifiedBy>MJ Deraspe</cp:lastModifiedBy>
  <cp:revision>6</cp:revision>
  <cp:lastPrinted>2016-04-06T10:04:00Z</cp:lastPrinted>
  <dcterms:created xsi:type="dcterms:W3CDTF">2016-04-18T11:59:00Z</dcterms:created>
  <dcterms:modified xsi:type="dcterms:W3CDTF">2016-04-18T12:11:00Z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