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1559"/>
        <w:gridCol w:w="5212"/>
        <w:gridCol w:w="1592"/>
        <w:gridCol w:w="1531"/>
        <w:gridCol w:w="28"/>
      </w:tblGrid>
      <w:tr w:rsidR="001D2E57" w:rsidRPr="00D872CB" w:rsidTr="001D2E57">
        <w:trPr>
          <w:cantSplit/>
        </w:trPr>
        <w:tc>
          <w:tcPr>
            <w:tcW w:w="1559" w:type="dxa"/>
            <w:vAlign w:val="center"/>
          </w:tcPr>
          <w:p w:rsidR="001D2E57" w:rsidRPr="00D872CB" w:rsidRDefault="001D2E57" w:rsidP="00522272">
            <w:pPr>
              <w:shd w:val="solid" w:color="FFFFFF" w:fill="FFFFFF"/>
              <w:spacing w:before="360" w:after="240"/>
              <w:rPr>
                <w:rFonts w:ascii="Verdana" w:hAnsi="Verdana" w:cs="Times New Roman Bold"/>
                <w:b/>
                <w:bCs/>
                <w:lang w:eastAsia="zh-CN"/>
              </w:rPr>
            </w:pPr>
            <w:bookmarkStart w:id="0" w:name="ditulogo"/>
            <w:bookmarkEnd w:id="0"/>
            <w:r w:rsidRPr="00C25F52">
              <w:rPr>
                <w:rFonts w:ascii="Verdana" w:hAnsi="Verdana" w:cs="Times New Roman Bold"/>
                <w:b/>
                <w:bCs/>
                <w:noProof/>
                <w:sz w:val="20"/>
                <w:szCs w:val="26"/>
                <w:lang w:eastAsia="zh-CN"/>
              </w:rPr>
              <w:drawing>
                <wp:inline distT="0" distB="0" distL="0" distR="0" wp14:anchorId="484BC967" wp14:editId="1E7A4B69">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1D2E57" w:rsidRPr="00D872CB" w:rsidRDefault="001D2E57" w:rsidP="00B40C3A">
            <w:pPr>
              <w:shd w:val="solid" w:color="FFFFFF" w:fill="FFFFFF"/>
              <w:tabs>
                <w:tab w:val="clear" w:pos="794"/>
                <w:tab w:val="clear" w:pos="1191"/>
                <w:tab w:val="clear" w:pos="1588"/>
                <w:tab w:val="clear" w:pos="1985"/>
                <w:tab w:val="left" w:pos="2160"/>
              </w:tabs>
              <w:spacing w:before="360" w:after="240"/>
              <w:jc w:val="center"/>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B40C3A">
              <w:rPr>
                <w:rFonts w:ascii="Verdana" w:hAnsi="Verdana" w:cs="Times New Roman Bold"/>
                <w:b/>
                <w:sz w:val="26"/>
                <w:szCs w:val="26"/>
                <w:lang w:eastAsia="zh-CN"/>
              </w:rPr>
              <w:br/>
            </w:r>
            <w:r w:rsidRPr="00B41DCB">
              <w:rPr>
                <w:rFonts w:ascii="Verdana" w:hAnsi="Verdana" w:cs="Times New Roman Bold"/>
                <w:b/>
                <w:bCs/>
                <w:sz w:val="20"/>
                <w:lang w:eastAsia="zh-CN"/>
              </w:rPr>
              <w:t>201</w:t>
            </w:r>
            <w:r>
              <w:rPr>
                <w:rFonts w:ascii="Verdana" w:hAnsi="Verdana" w:cs="Times New Roman Bold"/>
                <w:b/>
                <w:bCs/>
                <w:sz w:val="20"/>
                <w:lang w:eastAsia="zh-CN"/>
              </w:rPr>
              <w:t>6</w:t>
            </w:r>
            <w:r w:rsidRPr="00B41DCB">
              <w:rPr>
                <w:rFonts w:ascii="Verdana" w:hAnsi="Verdana" w:cs="Times New Roman Bold" w:hint="eastAsia"/>
                <w:b/>
                <w:bCs/>
                <w:sz w:val="20"/>
                <w:lang w:eastAsia="zh-CN"/>
              </w:rPr>
              <w:t>年</w:t>
            </w:r>
            <w:r>
              <w:rPr>
                <w:rFonts w:ascii="Verdana" w:hAnsi="Verdana" w:cs="Times New Roman Bold"/>
                <w:b/>
                <w:bCs/>
                <w:sz w:val="20"/>
                <w:lang w:eastAsia="zh-CN"/>
              </w:rPr>
              <w:t>5</w:t>
            </w:r>
            <w:r w:rsidRPr="00B41DCB">
              <w:rPr>
                <w:rFonts w:ascii="Verdana" w:hAnsi="Verdana" w:cs="Times New Roman Bold" w:hint="eastAsia"/>
                <w:b/>
                <w:bCs/>
                <w:sz w:val="20"/>
                <w:lang w:eastAsia="zh-CN"/>
              </w:rPr>
              <w:t>月</w:t>
            </w:r>
            <w:r>
              <w:rPr>
                <w:rFonts w:ascii="Verdana" w:hAnsi="Verdana" w:cs="Times New Roman Bold"/>
                <w:b/>
                <w:bCs/>
                <w:sz w:val="20"/>
                <w:lang w:eastAsia="zh-CN"/>
              </w:rPr>
              <w:t>10</w:t>
            </w:r>
            <w:r w:rsidRPr="00B41DCB">
              <w:rPr>
                <w:rFonts w:ascii="Verdana" w:hAnsi="Verdana" w:cs="Times New Roman Bold"/>
                <w:b/>
                <w:bCs/>
                <w:sz w:val="20"/>
                <w:lang w:eastAsia="zh-CN"/>
              </w:rPr>
              <w:t>-</w:t>
            </w:r>
            <w:r>
              <w:rPr>
                <w:rFonts w:ascii="Verdana" w:hAnsi="Verdana" w:cs="Times New Roman Bold"/>
                <w:b/>
                <w:bCs/>
                <w:sz w:val="20"/>
                <w:lang w:eastAsia="zh-CN"/>
              </w:rPr>
              <w:t>13</w:t>
            </w:r>
            <w:r w:rsidRPr="00B41DCB">
              <w:rPr>
                <w:rFonts w:ascii="Verdana" w:hAnsi="Verdana" w:cs="Times New Roman Bold" w:hint="eastAsia"/>
                <w:b/>
                <w:bCs/>
                <w:sz w:val="20"/>
                <w:lang w:eastAsia="zh-CN"/>
              </w:rPr>
              <w:t>日，日内瓦</w:t>
            </w:r>
          </w:p>
        </w:tc>
        <w:tc>
          <w:tcPr>
            <w:tcW w:w="1559" w:type="dxa"/>
            <w:gridSpan w:val="2"/>
            <w:vAlign w:val="center"/>
          </w:tcPr>
          <w:p w:rsidR="001D2E57" w:rsidRPr="00432D7F" w:rsidRDefault="001D2E57" w:rsidP="00747D24">
            <w:pPr>
              <w:shd w:val="solid" w:color="FFFFFF" w:fill="FFFFFF"/>
              <w:spacing w:before="0"/>
              <w:jc w:val="right"/>
              <w:rPr>
                <w:lang w:val="en-US"/>
              </w:rPr>
            </w:pPr>
            <w:r w:rsidRPr="00975D6F">
              <w:rPr>
                <w:rFonts w:cs="Arial"/>
                <w:noProof/>
                <w:lang w:eastAsia="zh-CN"/>
              </w:rPr>
              <w:drawing>
                <wp:inline distT="0" distB="0" distL="0" distR="0" wp14:anchorId="54ABD090" wp14:editId="5E6D00D9">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gridSpan w:val="2"/>
            <w:tcBorders>
              <w:bottom w:val="single" w:sz="12" w:space="0" w:color="auto"/>
            </w:tcBorders>
          </w:tcPr>
          <w:p w:rsidR="0051782D" w:rsidRPr="00D872CB" w:rsidRDefault="001D2E57" w:rsidP="000A4F34">
            <w:pPr>
              <w:shd w:val="solid" w:color="FFFFFF" w:fill="FFFFFF"/>
              <w:spacing w:before="0" w:after="48"/>
              <w:rPr>
                <w:rFonts w:ascii="Verdana" w:hAnsi="Verdana" w:cs="Times New Roman Bold"/>
                <w:b/>
                <w:sz w:val="22"/>
                <w:szCs w:val="22"/>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3" w:type="dxa"/>
            <w:gridSpan w:val="2"/>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gridSpan w:val="2"/>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gridSpan w:val="2"/>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gridSpan w:val="2"/>
            <w:vMerge w:val="restart"/>
          </w:tcPr>
          <w:p w:rsidR="0051782D" w:rsidRPr="00D872CB" w:rsidRDefault="0051782D" w:rsidP="000A4F34">
            <w:pPr>
              <w:shd w:val="solid" w:color="FFFFFF" w:fill="FFFFFF"/>
              <w:spacing w:after="240"/>
              <w:rPr>
                <w:sz w:val="20"/>
              </w:rPr>
            </w:pPr>
            <w:bookmarkStart w:id="1" w:name="dnum" w:colFirst="1" w:colLast="1"/>
          </w:p>
        </w:tc>
        <w:tc>
          <w:tcPr>
            <w:tcW w:w="3123" w:type="dxa"/>
            <w:gridSpan w:val="2"/>
          </w:tcPr>
          <w:p w:rsidR="0051782D" w:rsidRPr="000A4F34" w:rsidRDefault="006A7022" w:rsidP="00FC7AE1">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522272">
              <w:rPr>
                <w:rFonts w:ascii="Verdana" w:hAnsi="Verdana"/>
                <w:b/>
                <w:sz w:val="20"/>
                <w:lang w:eastAsia="zh-CN"/>
              </w:rPr>
              <w:t>6</w:t>
            </w:r>
            <w:r w:rsidR="00BD7223" w:rsidRPr="000A4F34">
              <w:rPr>
                <w:rFonts w:ascii="Verdana" w:hAnsi="Verdana"/>
                <w:b/>
                <w:sz w:val="20"/>
                <w:lang w:eastAsia="zh-CN"/>
              </w:rPr>
              <w:t>/</w:t>
            </w:r>
            <w:r w:rsidR="00D97093">
              <w:rPr>
                <w:rFonts w:ascii="Verdana" w:hAnsi="Verdana" w:hint="eastAsia"/>
                <w:b/>
                <w:sz w:val="20"/>
                <w:lang w:eastAsia="zh-CN"/>
              </w:rPr>
              <w:t>1</w:t>
            </w:r>
            <w:r w:rsidR="00D97093">
              <w:rPr>
                <w:rFonts w:ascii="Verdana" w:hAnsi="Verdana"/>
                <w:b/>
                <w:sz w:val="20"/>
                <w:lang w:eastAsia="zh-CN"/>
              </w:rPr>
              <w:t>(</w:t>
            </w:r>
            <w:r w:rsidR="00D97093" w:rsidRPr="00892897">
              <w:rPr>
                <w:rFonts w:ascii="Verdana" w:hAnsi="Verdana" w:hint="eastAsia"/>
                <w:b/>
                <w:sz w:val="20"/>
                <w:lang w:eastAsia="zh-CN"/>
              </w:rPr>
              <w:t>Add.</w:t>
            </w:r>
            <w:r w:rsidR="00FC7AE1">
              <w:rPr>
                <w:rFonts w:ascii="Verdana" w:hAnsi="Verdana"/>
                <w:b/>
                <w:sz w:val="20"/>
                <w:lang w:eastAsia="zh-CN"/>
              </w:rPr>
              <w:t>3</w:t>
            </w:r>
            <w:r w:rsidR="00D97093">
              <w:rPr>
                <w:rFonts w:ascii="Verdana" w:hAnsi="Verdana"/>
                <w:b/>
                <w:sz w:val="20"/>
                <w:lang w:eastAsia="zh-CN"/>
              </w:rPr>
              <w:t>)</w:t>
            </w:r>
            <w:r w:rsidR="00D9709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gridSpan w:val="2"/>
            <w:vMerge/>
          </w:tcPr>
          <w:p w:rsidR="0051782D" w:rsidRPr="00D872CB" w:rsidRDefault="0051782D" w:rsidP="000A4F34">
            <w:pPr>
              <w:spacing w:before="60"/>
              <w:jc w:val="center"/>
              <w:rPr>
                <w:b/>
                <w:smallCaps/>
                <w:sz w:val="32"/>
                <w:lang w:eastAsia="zh-CN"/>
              </w:rPr>
            </w:pPr>
            <w:bookmarkStart w:id="2" w:name="ddate" w:colFirst="1" w:colLast="1"/>
            <w:bookmarkEnd w:id="1"/>
          </w:p>
        </w:tc>
        <w:tc>
          <w:tcPr>
            <w:tcW w:w="3123" w:type="dxa"/>
            <w:gridSpan w:val="2"/>
          </w:tcPr>
          <w:p w:rsidR="0051782D" w:rsidRPr="000A4F34" w:rsidRDefault="00BD7223" w:rsidP="006217DA">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522272">
              <w:rPr>
                <w:rFonts w:ascii="Verdana" w:hAnsi="Verdana"/>
                <w:b/>
                <w:sz w:val="20"/>
                <w:lang w:eastAsia="zh-CN"/>
              </w:rPr>
              <w:t>6</w:t>
            </w:r>
            <w:r w:rsidR="00426448" w:rsidRPr="000A4F34">
              <w:rPr>
                <w:rFonts w:ascii="Verdana" w:hAnsi="SimSun"/>
                <w:b/>
                <w:sz w:val="20"/>
                <w:lang w:eastAsia="zh-CN"/>
              </w:rPr>
              <w:t>年</w:t>
            </w:r>
            <w:r w:rsidR="006217DA">
              <w:rPr>
                <w:rFonts w:ascii="Verdana" w:hAnsi="Verdana"/>
                <w:b/>
                <w:sz w:val="20"/>
                <w:lang w:eastAsia="zh-CN"/>
              </w:rPr>
              <w:t>4</w:t>
            </w:r>
            <w:r w:rsidR="00D97093" w:rsidRPr="000A4F34">
              <w:rPr>
                <w:rFonts w:ascii="Verdana" w:hAnsi="SimSun"/>
                <w:b/>
                <w:sz w:val="20"/>
                <w:lang w:eastAsia="zh-CN"/>
              </w:rPr>
              <w:t>月</w:t>
            </w:r>
            <w:r w:rsidR="00D97093">
              <w:rPr>
                <w:rFonts w:ascii="Verdana" w:hAnsi="Verdana" w:hint="eastAsia"/>
                <w:b/>
                <w:sz w:val="20"/>
                <w:lang w:eastAsia="zh-CN"/>
              </w:rPr>
              <w:t>18</w:t>
            </w:r>
            <w:r w:rsidR="00D97093" w:rsidRPr="000A4F34">
              <w:rPr>
                <w:rFonts w:ascii="Verdana" w:hAnsi="SimSun"/>
                <w:b/>
                <w:sz w:val="20"/>
                <w:lang w:eastAsia="zh-CN"/>
              </w:rPr>
              <w:t>日</w:t>
            </w:r>
          </w:p>
        </w:tc>
      </w:tr>
      <w:tr w:rsidR="0051782D" w:rsidRPr="00D872CB" w:rsidTr="001D2E57">
        <w:trPr>
          <w:gridAfter w:val="1"/>
          <w:wAfter w:w="28" w:type="dxa"/>
          <w:cantSplit/>
        </w:trPr>
        <w:tc>
          <w:tcPr>
            <w:tcW w:w="6771" w:type="dxa"/>
            <w:gridSpan w:val="2"/>
            <w:vMerge/>
          </w:tcPr>
          <w:p w:rsidR="0051782D" w:rsidRPr="00D872CB" w:rsidRDefault="0051782D" w:rsidP="000A4F34">
            <w:pPr>
              <w:spacing w:before="60"/>
              <w:jc w:val="center"/>
              <w:rPr>
                <w:b/>
                <w:smallCaps/>
                <w:sz w:val="32"/>
                <w:lang w:eastAsia="zh-CN"/>
              </w:rPr>
            </w:pPr>
            <w:bookmarkStart w:id="3" w:name="dorlang" w:colFirst="1" w:colLast="1"/>
            <w:bookmarkEnd w:id="2"/>
          </w:p>
        </w:tc>
        <w:tc>
          <w:tcPr>
            <w:tcW w:w="3123" w:type="dxa"/>
            <w:gridSpan w:val="2"/>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1D2E57">
        <w:trPr>
          <w:gridAfter w:val="1"/>
          <w:wAfter w:w="28" w:type="dxa"/>
          <w:cantSplit/>
        </w:trPr>
        <w:tc>
          <w:tcPr>
            <w:tcW w:w="9894" w:type="dxa"/>
            <w:gridSpan w:val="4"/>
          </w:tcPr>
          <w:p w:rsidR="00426448" w:rsidRPr="00D872CB" w:rsidRDefault="00D97093" w:rsidP="000A4F34">
            <w:pPr>
              <w:pStyle w:val="Source"/>
              <w:rPr>
                <w:lang w:eastAsia="zh-CN"/>
              </w:rPr>
            </w:pPr>
            <w:bookmarkStart w:id="4" w:name="dsource" w:colFirst="0" w:colLast="0"/>
            <w:bookmarkEnd w:id="3"/>
            <w:r>
              <w:rPr>
                <w:rFonts w:hint="eastAsia"/>
                <w:lang w:eastAsia="zh-CN"/>
              </w:rPr>
              <w:t>无线电通信局主任</w:t>
            </w:r>
          </w:p>
        </w:tc>
      </w:tr>
      <w:tr w:rsidR="00BC195C" w:rsidRPr="00D872CB" w:rsidTr="001D2E57">
        <w:trPr>
          <w:gridAfter w:val="1"/>
          <w:wAfter w:w="28" w:type="dxa"/>
          <w:cantSplit/>
        </w:trPr>
        <w:tc>
          <w:tcPr>
            <w:tcW w:w="9894" w:type="dxa"/>
            <w:gridSpan w:val="4"/>
          </w:tcPr>
          <w:p w:rsidR="00E130B3" w:rsidRPr="00D97093" w:rsidRDefault="00D97093" w:rsidP="000A4F34">
            <w:pPr>
              <w:tabs>
                <w:tab w:val="left" w:pos="851"/>
                <w:tab w:val="left" w:pos="5670"/>
              </w:tabs>
              <w:spacing w:before="240" w:after="240"/>
              <w:jc w:val="center"/>
              <w:rPr>
                <w:sz w:val="28"/>
                <w:szCs w:val="28"/>
                <w:lang w:eastAsia="zh-CN"/>
              </w:rPr>
            </w:pPr>
            <w:bookmarkStart w:id="5" w:name="dtitle1" w:colFirst="0" w:colLast="0"/>
            <w:bookmarkEnd w:id="4"/>
            <w:r w:rsidRPr="00D97093">
              <w:rPr>
                <w:rFonts w:hint="eastAsia"/>
                <w:sz w:val="28"/>
                <w:szCs w:val="28"/>
                <w:lang w:eastAsia="zh-CN"/>
              </w:rPr>
              <w:t>向无线电通信顾问组第</w:t>
            </w:r>
            <w:r w:rsidRPr="00D97093">
              <w:rPr>
                <w:rFonts w:hint="eastAsia"/>
                <w:sz w:val="28"/>
                <w:szCs w:val="28"/>
                <w:lang w:eastAsia="zh-CN"/>
              </w:rPr>
              <w:t>2</w:t>
            </w:r>
            <w:r w:rsidRPr="00D97093">
              <w:rPr>
                <w:sz w:val="28"/>
                <w:szCs w:val="28"/>
                <w:lang w:eastAsia="zh-CN"/>
              </w:rPr>
              <w:t>3</w:t>
            </w:r>
            <w:r w:rsidRPr="00D97093">
              <w:rPr>
                <w:rFonts w:hint="eastAsia"/>
                <w:sz w:val="28"/>
                <w:szCs w:val="28"/>
                <w:lang w:eastAsia="zh-CN"/>
              </w:rPr>
              <w:t>次会议提交的报告</w:t>
            </w:r>
            <w:bookmarkStart w:id="6" w:name="_GoBack"/>
            <w:bookmarkEnd w:id="6"/>
          </w:p>
          <w:p w:rsidR="00D97093" w:rsidRPr="00D97093" w:rsidRDefault="00612F64" w:rsidP="006217DA">
            <w:pPr>
              <w:tabs>
                <w:tab w:val="left" w:pos="851"/>
                <w:tab w:val="left" w:pos="5670"/>
              </w:tabs>
              <w:spacing w:before="240" w:after="240"/>
              <w:jc w:val="center"/>
              <w:rPr>
                <w:sz w:val="28"/>
                <w:szCs w:val="28"/>
                <w:lang w:eastAsia="zh-CN"/>
              </w:rPr>
            </w:pPr>
            <w:r w:rsidRPr="00612F64">
              <w:rPr>
                <w:sz w:val="28"/>
                <w:szCs w:val="28"/>
                <w:lang w:eastAsia="zh-CN"/>
              </w:rPr>
              <w:t>全球个人</w:t>
            </w:r>
            <w:r w:rsidR="006217DA" w:rsidRPr="00612F64">
              <w:rPr>
                <w:sz w:val="28"/>
                <w:szCs w:val="28"/>
                <w:lang w:eastAsia="zh-CN"/>
              </w:rPr>
              <w:t>卫星</w:t>
            </w:r>
            <w:r w:rsidRPr="00612F64">
              <w:rPr>
                <w:sz w:val="28"/>
                <w:szCs w:val="28"/>
                <w:lang w:eastAsia="zh-CN"/>
              </w:rPr>
              <w:t>移动通信系统</w:t>
            </w:r>
            <w:r w:rsidR="00D10D35">
              <w:rPr>
                <w:rFonts w:hint="eastAsia"/>
                <w:sz w:val="28"/>
                <w:szCs w:val="28"/>
                <w:lang w:eastAsia="zh-CN"/>
              </w:rPr>
              <w:t>（</w:t>
            </w:r>
            <w:r w:rsidR="00D10D35">
              <w:rPr>
                <w:rFonts w:hint="eastAsia"/>
                <w:sz w:val="28"/>
                <w:szCs w:val="28"/>
                <w:lang w:eastAsia="zh-CN"/>
              </w:rPr>
              <w:t>GMPCS</w:t>
            </w:r>
            <w:r w:rsidR="00D10D35">
              <w:rPr>
                <w:rFonts w:hint="eastAsia"/>
                <w:sz w:val="28"/>
                <w:szCs w:val="28"/>
                <w:lang w:eastAsia="zh-CN"/>
              </w:rPr>
              <w:t>）</w:t>
            </w:r>
          </w:p>
        </w:tc>
      </w:tr>
    </w:tbl>
    <w:p w:rsidR="00D10D35" w:rsidRPr="00097B73" w:rsidRDefault="00D10D35" w:rsidP="00B40C3A">
      <w:pPr>
        <w:pStyle w:val="Heading1"/>
        <w:spacing w:before="720"/>
        <w:rPr>
          <w:lang w:eastAsia="zh-CN"/>
        </w:rPr>
      </w:pPr>
      <w:bookmarkStart w:id="7" w:name="_Toc225584396"/>
      <w:bookmarkEnd w:id="5"/>
      <w:r w:rsidRPr="00097B73">
        <w:rPr>
          <w:lang w:eastAsia="zh-CN"/>
        </w:rPr>
        <w:t>1</w:t>
      </w:r>
      <w:r w:rsidRPr="00097B73">
        <w:rPr>
          <w:lang w:eastAsia="zh-CN"/>
        </w:rPr>
        <w:tab/>
      </w:r>
      <w:r>
        <w:rPr>
          <w:rFonts w:hint="eastAsia"/>
          <w:lang w:eastAsia="zh-CN"/>
        </w:rPr>
        <w:t>引言</w:t>
      </w:r>
      <w:bookmarkEnd w:id="7"/>
    </w:p>
    <w:p w:rsidR="00D10D35" w:rsidRDefault="004C495B" w:rsidP="006217DA">
      <w:pPr>
        <w:ind w:firstLineChars="200" w:firstLine="480"/>
        <w:rPr>
          <w:lang w:val="en-US" w:eastAsia="zh-CN"/>
        </w:rPr>
      </w:pPr>
      <w:r w:rsidRPr="004C495B">
        <w:rPr>
          <w:lang w:eastAsia="zh-CN"/>
        </w:rPr>
        <w:t>GMPCS</w:t>
      </w:r>
      <w:r w:rsidRPr="004C495B">
        <w:rPr>
          <w:lang w:eastAsia="zh-CN"/>
        </w:rPr>
        <w:t>是一种个人通信系统，通过便于运输的小型终端接入卫星</w:t>
      </w:r>
      <w:r>
        <w:rPr>
          <w:rFonts w:hint="eastAsia"/>
          <w:lang w:eastAsia="zh-CN"/>
        </w:rPr>
        <w:t>星座</w:t>
      </w:r>
      <w:r w:rsidR="006217DA">
        <w:rPr>
          <w:rFonts w:hint="eastAsia"/>
          <w:lang w:eastAsia="zh-CN"/>
        </w:rPr>
        <w:t>，</w:t>
      </w:r>
      <w:r w:rsidRPr="004C495B">
        <w:rPr>
          <w:lang w:eastAsia="zh-CN"/>
        </w:rPr>
        <w:t>提供跨国、区域或全球覆盖。</w:t>
      </w:r>
      <w:r>
        <w:rPr>
          <w:rFonts w:hint="eastAsia"/>
          <w:lang w:eastAsia="zh-CN"/>
        </w:rPr>
        <w:t>无论</w:t>
      </w:r>
      <w:r w:rsidR="00D10D35" w:rsidRPr="00B7692D">
        <w:rPr>
          <w:lang w:val="en-US" w:eastAsia="zh-CN"/>
        </w:rPr>
        <w:t>GMPCS</w:t>
      </w:r>
      <w:r>
        <w:rPr>
          <w:rFonts w:hint="eastAsia"/>
          <w:lang w:val="en-US" w:eastAsia="zh-CN"/>
        </w:rPr>
        <w:t>卫星系统是静止还是非静止的，是固定还是移动的，是宽带还是窄带的，它们均可直接向终端用户提供电信业务。</w:t>
      </w:r>
      <w:r w:rsidR="00D10D35" w:rsidRPr="00B7692D">
        <w:rPr>
          <w:lang w:val="en-US" w:eastAsia="zh-CN"/>
        </w:rPr>
        <w:t>GMPCS</w:t>
      </w:r>
      <w:r>
        <w:rPr>
          <w:rFonts w:hint="eastAsia"/>
          <w:lang w:val="en-US" w:eastAsia="zh-CN"/>
        </w:rPr>
        <w:t>业务包括双向话音、传真、消息、数据和宽带多媒体。有关</w:t>
      </w:r>
      <w:r w:rsidRPr="00DF4EFA">
        <w:rPr>
          <w:lang w:eastAsia="zh-CN"/>
        </w:rPr>
        <w:t>GMPCS</w:t>
      </w:r>
      <w:r>
        <w:rPr>
          <w:rFonts w:hint="eastAsia"/>
          <w:lang w:eastAsia="zh-CN"/>
        </w:rPr>
        <w:t>各方面的详细信息（包括涵盖规则、技术、操作和商业等方面考虑的参考资料）可查阅</w:t>
      </w:r>
      <w:hyperlink r:id="rId10" w:history="1">
        <w:r>
          <w:rPr>
            <w:rStyle w:val="Hyperlink"/>
            <w:lang w:eastAsia="zh-CN"/>
          </w:rPr>
          <w:t>GMPCS</w:t>
        </w:r>
        <w:r>
          <w:rPr>
            <w:rStyle w:val="Hyperlink"/>
            <w:lang w:eastAsia="zh-CN"/>
          </w:rPr>
          <w:t>参考书</w:t>
        </w:r>
      </w:hyperlink>
      <w:r>
        <w:rPr>
          <w:rFonts w:hint="eastAsia"/>
          <w:lang w:eastAsia="zh-CN"/>
        </w:rPr>
        <w:t>。</w:t>
      </w:r>
    </w:p>
    <w:p w:rsidR="00D10D35" w:rsidRPr="00097B73" w:rsidRDefault="00D10D35" w:rsidP="004C495B">
      <w:pPr>
        <w:pStyle w:val="Heading1"/>
        <w:rPr>
          <w:lang w:eastAsia="zh-CN"/>
        </w:rPr>
      </w:pPr>
      <w:bookmarkStart w:id="8" w:name="_Toc225584397"/>
      <w:r w:rsidRPr="00097B73">
        <w:rPr>
          <w:lang w:eastAsia="zh-CN"/>
        </w:rPr>
        <w:t>2</w:t>
      </w:r>
      <w:r w:rsidRPr="00097B73">
        <w:rPr>
          <w:lang w:eastAsia="zh-CN"/>
        </w:rPr>
        <w:tab/>
      </w:r>
      <w:r w:rsidR="004C495B">
        <w:rPr>
          <w:rFonts w:hint="eastAsia"/>
          <w:lang w:eastAsia="zh-CN"/>
        </w:rPr>
        <w:t>国际电联的作用</w:t>
      </w:r>
      <w:bookmarkEnd w:id="8"/>
    </w:p>
    <w:p w:rsidR="00D10D35" w:rsidRDefault="004C495B" w:rsidP="00B40C3A">
      <w:pPr>
        <w:ind w:firstLineChars="200" w:firstLine="480"/>
        <w:rPr>
          <w:lang w:val="en-US" w:eastAsia="zh-CN"/>
        </w:rPr>
      </w:pPr>
      <w:r>
        <w:rPr>
          <w:rFonts w:hint="eastAsia"/>
          <w:lang w:val="en-US" w:eastAsia="zh-CN"/>
        </w:rPr>
        <w:t>在</w:t>
      </w:r>
      <w:r>
        <w:rPr>
          <w:rFonts w:hint="eastAsia"/>
          <w:lang w:val="en-US" w:eastAsia="zh-CN"/>
        </w:rPr>
        <w:t>1996</w:t>
      </w:r>
      <w:r>
        <w:rPr>
          <w:rFonts w:hint="eastAsia"/>
          <w:lang w:val="en-US" w:eastAsia="zh-CN"/>
        </w:rPr>
        <w:t>年</w:t>
      </w:r>
      <w:r>
        <w:rPr>
          <w:rFonts w:hint="eastAsia"/>
          <w:lang w:val="en-US" w:eastAsia="zh-CN"/>
        </w:rPr>
        <w:t>10</w:t>
      </w:r>
      <w:r>
        <w:rPr>
          <w:rFonts w:hint="eastAsia"/>
          <w:lang w:val="en-US" w:eastAsia="zh-CN"/>
        </w:rPr>
        <w:t>月</w:t>
      </w:r>
      <w:r w:rsidR="006217DA">
        <w:rPr>
          <w:rFonts w:hint="eastAsia"/>
          <w:lang w:val="en-US" w:eastAsia="zh-CN"/>
        </w:rPr>
        <w:t>于</w:t>
      </w:r>
      <w:r>
        <w:rPr>
          <w:rFonts w:hint="eastAsia"/>
          <w:lang w:val="en-US" w:eastAsia="zh-CN"/>
        </w:rPr>
        <w:t>日内瓦举行的第一次</w:t>
      </w:r>
      <w:hyperlink r:id="rId11" w:history="1">
        <w:r>
          <w:rPr>
            <w:rStyle w:val="Hyperlink"/>
            <w:lang w:val="en-US" w:eastAsia="zh-CN"/>
          </w:rPr>
          <w:t>世界电信政策论坛</w:t>
        </w:r>
      </w:hyperlink>
      <w:r>
        <w:rPr>
          <w:rFonts w:hint="eastAsia"/>
          <w:lang w:val="en-US" w:eastAsia="zh-CN"/>
        </w:rPr>
        <w:t>（</w:t>
      </w:r>
      <w:r w:rsidR="00D10D35" w:rsidRPr="00B7692D">
        <w:rPr>
          <w:lang w:val="en-US" w:eastAsia="zh-CN"/>
        </w:rPr>
        <w:t>WTPF</w:t>
      </w:r>
      <w:r>
        <w:rPr>
          <w:rFonts w:hint="eastAsia"/>
          <w:lang w:val="en-US" w:eastAsia="zh-CN"/>
        </w:rPr>
        <w:t>）期间，</w:t>
      </w:r>
      <w:r w:rsidR="00D10D35" w:rsidRPr="00B7692D">
        <w:rPr>
          <w:lang w:val="en-US" w:eastAsia="zh-CN"/>
        </w:rPr>
        <w:t>129</w:t>
      </w:r>
      <w:r>
        <w:rPr>
          <w:rFonts w:hint="eastAsia"/>
          <w:lang w:val="en-US" w:eastAsia="zh-CN"/>
        </w:rPr>
        <w:t>个国际电联成员国和</w:t>
      </w:r>
      <w:r>
        <w:rPr>
          <w:rFonts w:hint="eastAsia"/>
          <w:lang w:val="en-US" w:eastAsia="zh-CN"/>
        </w:rPr>
        <w:t>70</w:t>
      </w:r>
      <w:r>
        <w:rPr>
          <w:rFonts w:hint="eastAsia"/>
          <w:lang w:val="en-US" w:eastAsia="zh-CN"/>
        </w:rPr>
        <w:t>个部门成员探讨了涉及尽早引入</w:t>
      </w:r>
      <w:r w:rsidRPr="00DF4EFA">
        <w:rPr>
          <w:lang w:eastAsia="zh-CN"/>
        </w:rPr>
        <w:t>GMPCS</w:t>
      </w:r>
      <w:r>
        <w:rPr>
          <w:rFonts w:hint="eastAsia"/>
          <w:lang w:val="en-US" w:eastAsia="zh-CN"/>
        </w:rPr>
        <w:t>业务的政策和监管问题。</w:t>
      </w:r>
      <w:r w:rsidR="00D10D35" w:rsidRPr="00B7692D">
        <w:rPr>
          <w:lang w:val="en-US" w:eastAsia="zh-CN"/>
        </w:rPr>
        <w:t>WTPF</w:t>
      </w:r>
      <w:r>
        <w:rPr>
          <w:rFonts w:hint="eastAsia"/>
          <w:lang w:val="en-US" w:eastAsia="zh-CN"/>
        </w:rPr>
        <w:t>就引入</w:t>
      </w:r>
      <w:r w:rsidRPr="00DF4EFA">
        <w:rPr>
          <w:lang w:eastAsia="zh-CN"/>
        </w:rPr>
        <w:t>GMPCS</w:t>
      </w:r>
      <w:r>
        <w:rPr>
          <w:rFonts w:hint="eastAsia"/>
          <w:lang w:eastAsia="zh-CN"/>
        </w:rPr>
        <w:t>业务的原则和相关问题形成了五点意见。</w:t>
      </w:r>
    </w:p>
    <w:p w:rsidR="00D10D35" w:rsidRDefault="004C495B" w:rsidP="006217DA">
      <w:pPr>
        <w:ind w:firstLineChars="200" w:firstLine="480"/>
        <w:rPr>
          <w:lang w:val="en-US" w:eastAsia="zh-CN"/>
        </w:rPr>
      </w:pPr>
      <w:r>
        <w:rPr>
          <w:rFonts w:hint="eastAsia"/>
          <w:lang w:val="en-US" w:eastAsia="zh-CN"/>
        </w:rPr>
        <w:t>第</w:t>
      </w:r>
      <w:r>
        <w:rPr>
          <w:rFonts w:hint="eastAsia"/>
          <w:lang w:val="en-US" w:eastAsia="zh-CN"/>
        </w:rPr>
        <w:t>2</w:t>
      </w:r>
      <w:r>
        <w:rPr>
          <w:rFonts w:hint="eastAsia"/>
          <w:lang w:val="en-US" w:eastAsia="zh-CN"/>
        </w:rPr>
        <w:t>号意见呼吁</w:t>
      </w:r>
      <w:r w:rsidR="00FF35AA">
        <w:rPr>
          <w:rFonts w:hint="eastAsia"/>
          <w:lang w:val="en-US" w:eastAsia="zh-CN"/>
        </w:rPr>
        <w:t>各主管部门推动尽早引入</w:t>
      </w:r>
      <w:r w:rsidR="00FF35AA" w:rsidRPr="00E13692">
        <w:rPr>
          <w:lang w:val="en-US" w:eastAsia="zh-CN"/>
        </w:rPr>
        <w:t>GMPCS</w:t>
      </w:r>
      <w:r w:rsidR="00FF35AA">
        <w:rPr>
          <w:rFonts w:hint="eastAsia"/>
          <w:lang w:val="en-US" w:eastAsia="zh-CN"/>
        </w:rPr>
        <w:t>业务并在</w:t>
      </w:r>
      <w:r w:rsidR="006217DA">
        <w:rPr>
          <w:rFonts w:hint="eastAsia"/>
          <w:lang w:val="en-US" w:eastAsia="zh-CN"/>
        </w:rPr>
        <w:t>制定</w:t>
      </w:r>
      <w:r w:rsidR="00FF35AA">
        <w:rPr>
          <w:rFonts w:hint="eastAsia"/>
          <w:lang w:val="en-US" w:eastAsia="zh-CN"/>
        </w:rPr>
        <w:t>和统一引入</w:t>
      </w:r>
      <w:r w:rsidR="00FF35AA" w:rsidRPr="00E13692">
        <w:rPr>
          <w:lang w:val="en-US" w:eastAsia="zh-CN"/>
        </w:rPr>
        <w:t>GMPCS</w:t>
      </w:r>
      <w:r w:rsidR="00FF35AA">
        <w:rPr>
          <w:rFonts w:hint="eastAsia"/>
          <w:lang w:val="en-US" w:eastAsia="zh-CN"/>
        </w:rPr>
        <w:t>的政策方面开展国际合作。</w:t>
      </w:r>
    </w:p>
    <w:p w:rsidR="00D10D35" w:rsidRDefault="00DC0054" w:rsidP="006217DA">
      <w:pPr>
        <w:ind w:firstLineChars="200" w:firstLine="480"/>
        <w:rPr>
          <w:lang w:eastAsia="zh-CN"/>
        </w:rPr>
      </w:pPr>
      <w:r>
        <w:rPr>
          <w:rFonts w:hint="eastAsia"/>
          <w:lang w:val="en-US" w:eastAsia="zh-CN"/>
        </w:rPr>
        <w:t>第</w:t>
      </w:r>
      <w:r>
        <w:rPr>
          <w:rFonts w:hint="eastAsia"/>
          <w:lang w:val="en-US" w:eastAsia="zh-CN"/>
        </w:rPr>
        <w:t>4</w:t>
      </w:r>
      <w:r>
        <w:rPr>
          <w:rFonts w:hint="eastAsia"/>
          <w:lang w:val="en-US" w:eastAsia="zh-CN"/>
        </w:rPr>
        <w:t>号意见认识到一些</w:t>
      </w:r>
      <w:r w:rsidR="00D10D35">
        <w:rPr>
          <w:lang w:eastAsia="zh-CN"/>
        </w:rPr>
        <w:t>GMPCS</w:t>
      </w:r>
      <w:r>
        <w:rPr>
          <w:rFonts w:hint="eastAsia"/>
          <w:lang w:eastAsia="zh-CN"/>
        </w:rPr>
        <w:t>系统已经投入运营且其他系统最早将在</w:t>
      </w:r>
      <w:r>
        <w:rPr>
          <w:rFonts w:hint="eastAsia"/>
          <w:lang w:eastAsia="zh-CN"/>
        </w:rPr>
        <w:t>1998</w:t>
      </w:r>
      <w:r>
        <w:rPr>
          <w:rFonts w:hint="eastAsia"/>
          <w:lang w:eastAsia="zh-CN"/>
        </w:rPr>
        <w:t>年投入运营，须采取紧急行动，促进终端的全球流通和跨境漫游。</w:t>
      </w:r>
      <w:r>
        <w:rPr>
          <w:rFonts w:hint="eastAsia"/>
          <w:lang w:val="en-US" w:eastAsia="zh-CN"/>
        </w:rPr>
        <w:t>第</w:t>
      </w:r>
      <w:r>
        <w:rPr>
          <w:rFonts w:hint="eastAsia"/>
          <w:lang w:val="en-US" w:eastAsia="zh-CN"/>
        </w:rPr>
        <w:t>4</w:t>
      </w:r>
      <w:r>
        <w:rPr>
          <w:rFonts w:hint="eastAsia"/>
          <w:lang w:val="en-US" w:eastAsia="zh-CN"/>
        </w:rPr>
        <w:t>号意见也认识到，一项各方协商一致的</w:t>
      </w:r>
      <w:r>
        <w:rPr>
          <w:lang w:eastAsia="zh-CN"/>
        </w:rPr>
        <w:t xml:space="preserve">GMPCS </w:t>
      </w:r>
      <w:r>
        <w:rPr>
          <w:rFonts w:hint="eastAsia"/>
          <w:lang w:eastAsia="zh-CN"/>
        </w:rPr>
        <w:t>谅解备忘录（</w:t>
      </w:r>
      <w:r>
        <w:rPr>
          <w:lang w:eastAsia="zh-CN"/>
        </w:rPr>
        <w:t>GMPCS-MoU</w:t>
      </w:r>
      <w:r>
        <w:rPr>
          <w:rFonts w:hint="eastAsia"/>
          <w:lang w:eastAsia="zh-CN"/>
        </w:rPr>
        <w:t>）作为促进</w:t>
      </w:r>
      <w:r>
        <w:rPr>
          <w:lang w:eastAsia="zh-CN"/>
        </w:rPr>
        <w:t>GMPCS</w:t>
      </w:r>
      <w:r>
        <w:rPr>
          <w:rFonts w:hint="eastAsia"/>
          <w:lang w:eastAsia="zh-CN"/>
        </w:rPr>
        <w:t>终端全球流通和跨境漫游的安排框架，将会促进</w:t>
      </w:r>
      <w:r>
        <w:rPr>
          <w:lang w:eastAsia="zh-CN"/>
        </w:rPr>
        <w:t>GMPCS</w:t>
      </w:r>
      <w:r>
        <w:rPr>
          <w:rFonts w:hint="eastAsia"/>
          <w:lang w:eastAsia="zh-CN"/>
        </w:rPr>
        <w:t>业务的早日引入。</w:t>
      </w:r>
    </w:p>
    <w:p w:rsidR="00D10D35" w:rsidRDefault="00DC0054" w:rsidP="006217DA">
      <w:pPr>
        <w:ind w:firstLineChars="200" w:firstLine="480"/>
        <w:rPr>
          <w:lang w:val="en-US" w:eastAsia="zh-CN"/>
        </w:rPr>
      </w:pPr>
      <w:r>
        <w:rPr>
          <w:rFonts w:hint="eastAsia"/>
          <w:lang w:val="en-US" w:eastAsia="zh-CN"/>
        </w:rPr>
        <w:t>在</w:t>
      </w:r>
      <w:r w:rsidR="00D10D35" w:rsidRPr="00B7692D">
        <w:rPr>
          <w:lang w:val="en-US" w:eastAsia="zh-CN"/>
        </w:rPr>
        <w:t>WTPF</w:t>
      </w:r>
      <w:r>
        <w:rPr>
          <w:rFonts w:hint="eastAsia"/>
          <w:lang w:val="en-US" w:eastAsia="zh-CN"/>
        </w:rPr>
        <w:t>之后，国际电联秘书长组成了由各主管部门、</w:t>
      </w:r>
      <w:r w:rsidRPr="00B7692D">
        <w:rPr>
          <w:lang w:val="en-US" w:eastAsia="zh-CN"/>
        </w:rPr>
        <w:t>GMPCS</w:t>
      </w:r>
      <w:r>
        <w:rPr>
          <w:rFonts w:hint="eastAsia"/>
          <w:lang w:val="en-US" w:eastAsia="zh-CN"/>
        </w:rPr>
        <w:t>运营商、业务提供商和终端制造商参加的非正式小组。在国际电联总秘书处的支持下，该小组最终定稿了</w:t>
      </w:r>
      <w:hyperlink r:id="rId12" w:history="1">
        <w:r w:rsidR="00D10D35" w:rsidRPr="009A2299">
          <w:rPr>
            <w:rStyle w:val="Hyperlink"/>
            <w:lang w:val="en-US" w:eastAsia="zh-CN"/>
          </w:rPr>
          <w:t>GMPCS-MoU</w:t>
        </w:r>
      </w:hyperlink>
      <w:r>
        <w:rPr>
          <w:rFonts w:hint="eastAsia"/>
          <w:lang w:val="en-US" w:eastAsia="zh-CN"/>
        </w:rPr>
        <w:t>并随后通过了</w:t>
      </w:r>
      <w:r w:rsidR="006217DA">
        <w:rPr>
          <w:rFonts w:hint="eastAsia"/>
          <w:lang w:val="en-US" w:eastAsia="zh-CN"/>
        </w:rPr>
        <w:t>《</w:t>
      </w:r>
      <w:hyperlink r:id="rId13" w:history="1">
        <w:r>
          <w:rPr>
            <w:rStyle w:val="Hyperlink"/>
            <w:lang w:val="en-US" w:eastAsia="zh-CN"/>
          </w:rPr>
          <w:t>GMPCS-MoU</w:t>
        </w:r>
        <w:r>
          <w:rPr>
            <w:rStyle w:val="Hyperlink"/>
            <w:lang w:val="en-US" w:eastAsia="zh-CN"/>
          </w:rPr>
          <w:t>安排</w:t>
        </w:r>
      </w:hyperlink>
      <w:r w:rsidR="006217DA">
        <w:rPr>
          <w:rStyle w:val="Hyperlink"/>
          <w:rFonts w:hint="eastAsia"/>
          <w:lang w:val="en-US" w:eastAsia="zh-CN"/>
        </w:rPr>
        <w:t>》</w:t>
      </w:r>
      <w:r>
        <w:rPr>
          <w:rFonts w:hint="eastAsia"/>
          <w:lang w:val="en-US" w:eastAsia="zh-CN"/>
        </w:rPr>
        <w:t>。这些安排规定了针对型号核准、简化审批、识别（标注）、获得业务数据以及与</w:t>
      </w:r>
      <w:r>
        <w:rPr>
          <w:lang w:eastAsia="zh-CN"/>
        </w:rPr>
        <w:t>GMPCS</w:t>
      </w:r>
      <w:r>
        <w:rPr>
          <w:rFonts w:hint="eastAsia"/>
          <w:lang w:eastAsia="zh-CN"/>
        </w:rPr>
        <w:t>终端</w:t>
      </w:r>
      <w:r>
        <w:rPr>
          <w:rFonts w:hint="eastAsia"/>
          <w:lang w:val="en-US" w:eastAsia="zh-CN"/>
        </w:rPr>
        <w:t>自由流通有关的海关建议的框架。最后，该小组批准了实施</w:t>
      </w:r>
      <w:r w:rsidR="009C18D4">
        <w:rPr>
          <w:rFonts w:hint="eastAsia"/>
          <w:lang w:val="en-US" w:eastAsia="zh-CN"/>
        </w:rPr>
        <w:t>《</w:t>
      </w:r>
      <w:r w:rsidRPr="00B7692D">
        <w:rPr>
          <w:lang w:val="en-US" w:eastAsia="zh-CN"/>
        </w:rPr>
        <w:t>GMPCS-MoU</w:t>
      </w:r>
      <w:r>
        <w:rPr>
          <w:rFonts w:hint="eastAsia"/>
          <w:lang w:val="en-US" w:eastAsia="zh-CN"/>
        </w:rPr>
        <w:t>安排</w:t>
      </w:r>
      <w:r w:rsidR="009C18D4">
        <w:rPr>
          <w:rFonts w:hint="eastAsia"/>
          <w:lang w:val="en-US" w:eastAsia="zh-CN"/>
        </w:rPr>
        <w:t>》</w:t>
      </w:r>
      <w:r>
        <w:rPr>
          <w:rFonts w:hint="eastAsia"/>
          <w:lang w:val="en-US" w:eastAsia="zh-CN"/>
        </w:rPr>
        <w:t>的程序。其主要特征是</w:t>
      </w:r>
      <w:r w:rsidR="003040E9">
        <w:rPr>
          <w:rFonts w:hint="eastAsia"/>
          <w:lang w:val="en-US" w:eastAsia="zh-CN"/>
        </w:rPr>
        <w:t>通知和实施程序及有关</w:t>
      </w:r>
      <w:r w:rsidR="003040E9" w:rsidRPr="00B7692D">
        <w:rPr>
          <w:lang w:val="en-US" w:eastAsia="zh-CN"/>
        </w:rPr>
        <w:t>GMPCS-MoU</w:t>
      </w:r>
      <w:r w:rsidR="003040E9">
        <w:rPr>
          <w:rFonts w:hint="eastAsia"/>
          <w:lang w:val="en-US" w:eastAsia="zh-CN"/>
        </w:rPr>
        <w:t>标志的决定。</w:t>
      </w:r>
      <w:r w:rsidR="006217DA">
        <w:rPr>
          <w:rFonts w:hint="eastAsia"/>
          <w:lang w:val="en-US" w:eastAsia="zh-CN"/>
        </w:rPr>
        <w:t>此</w:t>
      </w:r>
      <w:r w:rsidR="003040E9">
        <w:rPr>
          <w:rFonts w:hint="eastAsia"/>
          <w:lang w:val="en-US" w:eastAsia="zh-CN"/>
        </w:rPr>
        <w:t>后，</w:t>
      </w:r>
      <w:r w:rsidR="003040E9">
        <w:rPr>
          <w:rFonts w:hint="eastAsia"/>
          <w:lang w:val="en-US" w:eastAsia="zh-CN"/>
        </w:rPr>
        <w:t>2003</w:t>
      </w:r>
      <w:r w:rsidR="003040E9">
        <w:rPr>
          <w:rFonts w:hint="eastAsia"/>
          <w:lang w:val="en-US" w:eastAsia="zh-CN"/>
        </w:rPr>
        <w:t>年</w:t>
      </w:r>
      <w:r w:rsidR="003040E9">
        <w:rPr>
          <w:rFonts w:hint="eastAsia"/>
          <w:lang w:val="en-US" w:eastAsia="zh-CN"/>
        </w:rPr>
        <w:t>6</w:t>
      </w:r>
      <w:r w:rsidR="003040E9">
        <w:rPr>
          <w:rFonts w:hint="eastAsia"/>
          <w:lang w:val="en-US" w:eastAsia="zh-CN"/>
        </w:rPr>
        <w:t>月</w:t>
      </w:r>
      <w:r w:rsidR="003040E9">
        <w:rPr>
          <w:rFonts w:hint="eastAsia"/>
          <w:lang w:val="en-US" w:eastAsia="zh-CN"/>
        </w:rPr>
        <w:t>7</w:t>
      </w:r>
      <w:r w:rsidR="003040E9">
        <w:rPr>
          <w:rFonts w:hint="eastAsia"/>
          <w:lang w:val="en-US" w:eastAsia="zh-CN"/>
        </w:rPr>
        <w:t>日，对安排和程序进行了修订。</w:t>
      </w:r>
    </w:p>
    <w:p w:rsidR="00D10D35" w:rsidRPr="00B7692D" w:rsidRDefault="00D10D35" w:rsidP="006217DA">
      <w:pPr>
        <w:ind w:firstLineChars="200" w:firstLine="480"/>
        <w:rPr>
          <w:lang w:val="en-US" w:eastAsia="zh-CN"/>
        </w:rPr>
      </w:pPr>
      <w:r w:rsidRPr="00B7692D">
        <w:rPr>
          <w:lang w:val="en-US" w:eastAsia="zh-CN"/>
        </w:rPr>
        <w:lastRenderedPageBreak/>
        <w:t>1998</w:t>
      </w:r>
      <w:r w:rsidR="003040E9">
        <w:rPr>
          <w:rFonts w:hint="eastAsia"/>
          <w:lang w:val="en-US" w:eastAsia="zh-CN"/>
        </w:rPr>
        <w:t>年</w:t>
      </w:r>
      <w:r w:rsidR="003040E9">
        <w:rPr>
          <w:rFonts w:hint="eastAsia"/>
          <w:lang w:val="en-US" w:eastAsia="zh-CN"/>
        </w:rPr>
        <w:t>5</w:t>
      </w:r>
      <w:r w:rsidR="003040E9">
        <w:rPr>
          <w:rFonts w:hint="eastAsia"/>
          <w:lang w:val="en-US" w:eastAsia="zh-CN"/>
        </w:rPr>
        <w:t>月，国际电联理事会通过了</w:t>
      </w:r>
      <w:hyperlink r:id="rId14" w:history="1">
        <w:r w:rsidR="003040E9">
          <w:rPr>
            <w:rStyle w:val="Hyperlink"/>
            <w:lang w:val="en-US" w:eastAsia="zh-CN"/>
          </w:rPr>
          <w:t>第</w:t>
        </w:r>
        <w:r w:rsidR="003040E9">
          <w:rPr>
            <w:rStyle w:val="Hyperlink"/>
            <w:lang w:val="en-US" w:eastAsia="zh-CN"/>
          </w:rPr>
          <w:t>1116</w:t>
        </w:r>
        <w:r w:rsidR="003040E9">
          <w:rPr>
            <w:rStyle w:val="Hyperlink"/>
            <w:lang w:val="en-US" w:eastAsia="zh-CN"/>
          </w:rPr>
          <w:t>号决议</w:t>
        </w:r>
      </w:hyperlink>
      <w:r w:rsidR="003040E9">
        <w:rPr>
          <w:rFonts w:hint="eastAsia"/>
          <w:lang w:val="en-US" w:eastAsia="zh-CN"/>
        </w:rPr>
        <w:t>，授权国际电联秘书长承担交存处的职能并在</w:t>
      </w:r>
      <w:r w:rsidR="003040E9" w:rsidRPr="00B7692D">
        <w:rPr>
          <w:lang w:val="en-US" w:eastAsia="zh-CN"/>
        </w:rPr>
        <w:t>GMPCS-MoU</w:t>
      </w:r>
      <w:r w:rsidR="003040E9">
        <w:rPr>
          <w:rFonts w:hint="eastAsia"/>
          <w:lang w:val="en-US" w:eastAsia="zh-CN"/>
        </w:rPr>
        <w:t>标志中使用国际电联的简写“</w:t>
      </w:r>
      <w:r w:rsidR="003040E9">
        <w:rPr>
          <w:rFonts w:hint="eastAsia"/>
          <w:lang w:val="en-US" w:eastAsia="zh-CN"/>
        </w:rPr>
        <w:t>ITU</w:t>
      </w:r>
      <w:r w:rsidR="003040E9">
        <w:rPr>
          <w:rFonts w:hint="eastAsia"/>
          <w:lang w:val="en-US" w:eastAsia="zh-CN"/>
        </w:rPr>
        <w:t>”，以促进</w:t>
      </w:r>
      <w:r w:rsidR="003040E9" w:rsidRPr="00B7692D">
        <w:rPr>
          <w:lang w:val="en-US" w:eastAsia="zh-CN"/>
        </w:rPr>
        <w:t>GMPCS</w:t>
      </w:r>
      <w:r w:rsidR="003040E9">
        <w:rPr>
          <w:rFonts w:hint="eastAsia"/>
          <w:lang w:val="en-US" w:eastAsia="zh-CN"/>
        </w:rPr>
        <w:t>终端的自由流通。国际电联总秘书处提供</w:t>
      </w:r>
      <w:hyperlink r:id="rId15" w:history="1">
        <w:r w:rsidR="003040E9">
          <w:rPr>
            <w:rStyle w:val="Hyperlink"/>
            <w:lang w:val="en-US" w:eastAsia="zh-CN"/>
          </w:rPr>
          <w:t>GMPCS-MoU</w:t>
        </w:r>
        <w:r w:rsidR="003040E9">
          <w:rPr>
            <w:rStyle w:val="Hyperlink"/>
            <w:lang w:val="en-US" w:eastAsia="zh-CN"/>
          </w:rPr>
          <w:t>签署方</w:t>
        </w:r>
      </w:hyperlink>
      <w:r w:rsidR="003040E9">
        <w:rPr>
          <w:rFonts w:hint="eastAsia"/>
          <w:lang w:val="en-US" w:eastAsia="zh-CN"/>
        </w:rPr>
        <w:t>的名单，其中包括</w:t>
      </w:r>
      <w:hyperlink r:id="rId16" w:history="1">
        <w:r w:rsidR="003040E9">
          <w:rPr>
            <w:rStyle w:val="Hyperlink"/>
            <w:lang w:val="en-US" w:eastAsia="zh-CN"/>
          </w:rPr>
          <w:t>主管部门</w:t>
        </w:r>
      </w:hyperlink>
      <w:r w:rsidRPr="00B7692D">
        <w:rPr>
          <w:lang w:val="en-US" w:eastAsia="zh-CN"/>
        </w:rPr>
        <w:t xml:space="preserve"> </w:t>
      </w:r>
      <w:r w:rsidR="003040E9">
        <w:rPr>
          <w:rFonts w:hint="eastAsia"/>
          <w:lang w:val="en-US" w:eastAsia="zh-CN"/>
        </w:rPr>
        <w:t>（国际电联成员国）。总秘书处也维护各主管部门和</w:t>
      </w:r>
      <w:r w:rsidR="003040E9">
        <w:rPr>
          <w:rFonts w:hint="eastAsia"/>
          <w:lang w:val="en-US" w:eastAsia="zh-CN"/>
        </w:rPr>
        <w:t>/</w:t>
      </w:r>
      <w:r w:rsidR="003040E9">
        <w:rPr>
          <w:rFonts w:hint="eastAsia"/>
          <w:lang w:val="en-US" w:eastAsia="zh-CN"/>
        </w:rPr>
        <w:t>或</w:t>
      </w:r>
      <w:r w:rsidR="00872009">
        <w:rPr>
          <w:rFonts w:hint="eastAsia"/>
          <w:lang w:val="en-US" w:eastAsia="zh-CN"/>
        </w:rPr>
        <w:t>主管机构</w:t>
      </w:r>
      <w:r w:rsidR="003040E9">
        <w:rPr>
          <w:rFonts w:hint="eastAsia"/>
          <w:lang w:val="en-US" w:eastAsia="zh-CN"/>
        </w:rPr>
        <w:t>（任何有权处理《安排》中所涉监管问题的组织）</w:t>
      </w:r>
      <w:r w:rsidR="00872009">
        <w:rPr>
          <w:rFonts w:hint="eastAsia"/>
          <w:lang w:val="en-US" w:eastAsia="zh-CN"/>
        </w:rPr>
        <w:t>用来核准已向国际电联通知的终端以及各主管部门和</w:t>
      </w:r>
      <w:r w:rsidR="00872009">
        <w:rPr>
          <w:rFonts w:hint="eastAsia"/>
          <w:lang w:val="en-US" w:eastAsia="zh-CN"/>
        </w:rPr>
        <w:t>/</w:t>
      </w:r>
      <w:r w:rsidR="00872009">
        <w:rPr>
          <w:rFonts w:hint="eastAsia"/>
          <w:lang w:val="en-US" w:eastAsia="zh-CN"/>
        </w:rPr>
        <w:t>或主管机构通知国际电联</w:t>
      </w:r>
      <w:r w:rsidR="009C18D4">
        <w:rPr>
          <w:rFonts w:hint="eastAsia"/>
          <w:lang w:val="en-US" w:eastAsia="zh-CN"/>
        </w:rPr>
        <w:t>相关终端已</w:t>
      </w:r>
      <w:r w:rsidR="006217DA">
        <w:rPr>
          <w:rFonts w:hint="eastAsia"/>
          <w:lang w:val="en-US" w:eastAsia="zh-CN"/>
        </w:rPr>
        <w:t>完成</w:t>
      </w:r>
      <w:r w:rsidR="009C18D4">
        <w:rPr>
          <w:rFonts w:hint="eastAsia"/>
          <w:lang w:val="en-US" w:eastAsia="zh-CN"/>
        </w:rPr>
        <w:t>型号核准的终端类型</w:t>
      </w:r>
      <w:r w:rsidR="003040E9">
        <w:rPr>
          <w:rFonts w:hint="eastAsia"/>
          <w:lang w:val="en-US" w:eastAsia="zh-CN"/>
        </w:rPr>
        <w:t>的</w:t>
      </w:r>
      <w:hyperlink r:id="rId17" w:history="1">
        <w:r w:rsidR="00872009">
          <w:rPr>
            <w:rStyle w:val="Hyperlink"/>
            <w:lang w:val="en-US" w:eastAsia="zh-CN"/>
          </w:rPr>
          <w:t>型号核准书登记</w:t>
        </w:r>
      </w:hyperlink>
      <w:r w:rsidR="009C18D4">
        <w:rPr>
          <w:rFonts w:hint="eastAsia"/>
          <w:lang w:val="en-US" w:eastAsia="zh-CN"/>
        </w:rPr>
        <w:t>。国际电联总秘书处更新《</w:t>
      </w:r>
      <w:r w:rsidR="009C18D4" w:rsidRPr="00B7692D">
        <w:rPr>
          <w:lang w:val="en-US" w:eastAsia="zh-CN"/>
        </w:rPr>
        <w:t>GMPCS-MoU</w:t>
      </w:r>
      <w:r w:rsidR="009C18D4">
        <w:rPr>
          <w:rFonts w:hint="eastAsia"/>
          <w:lang w:val="en-US" w:eastAsia="zh-CN"/>
        </w:rPr>
        <w:t>安排》的实施情况。这些信息包括：</w:t>
      </w:r>
    </w:p>
    <w:p w:rsidR="00D10D35" w:rsidRPr="00B7692D" w:rsidRDefault="00B40C3A" w:rsidP="00B40C3A">
      <w:pPr>
        <w:pStyle w:val="enumlev1"/>
        <w:rPr>
          <w:lang w:val="en-US" w:eastAsia="zh-CN"/>
        </w:rPr>
      </w:pPr>
      <w:r w:rsidRPr="00B40C3A">
        <w:rPr>
          <w:lang w:val="en-US" w:eastAsia="zh-CN"/>
        </w:rPr>
        <w:t>•</w:t>
      </w:r>
      <w:r>
        <w:rPr>
          <w:lang w:val="en-US" w:eastAsia="zh-CN"/>
        </w:rPr>
        <w:tab/>
      </w:r>
      <w:r w:rsidR="00BB5C6F">
        <w:rPr>
          <w:rFonts w:hint="eastAsia"/>
          <w:lang w:val="en-US" w:eastAsia="zh-CN"/>
        </w:rPr>
        <w:t>部分或全部实施《安排》的实体名单；</w:t>
      </w:r>
      <w:r w:rsidR="00D10D35" w:rsidRPr="00B7692D">
        <w:rPr>
          <w:lang w:val="en-US" w:eastAsia="zh-CN"/>
        </w:rPr>
        <w:t xml:space="preserve"> </w:t>
      </w:r>
    </w:p>
    <w:p w:rsidR="00D10D35" w:rsidRPr="00B7692D" w:rsidRDefault="00B40C3A" w:rsidP="00B40C3A">
      <w:pPr>
        <w:pStyle w:val="enumlev1"/>
        <w:rPr>
          <w:lang w:val="en-US" w:eastAsia="zh-CN"/>
        </w:rPr>
      </w:pPr>
      <w:r w:rsidRPr="00B40C3A">
        <w:rPr>
          <w:lang w:val="en-US" w:eastAsia="zh-CN"/>
        </w:rPr>
        <w:t>•</w:t>
      </w:r>
      <w:r>
        <w:rPr>
          <w:lang w:val="en-US" w:eastAsia="zh-CN"/>
        </w:rPr>
        <w:tab/>
      </w:r>
      <w:r w:rsidR="00BB5C6F">
        <w:rPr>
          <w:rFonts w:hint="eastAsia"/>
          <w:lang w:val="en-US" w:eastAsia="zh-CN"/>
        </w:rPr>
        <w:t>在各国获得授权的</w:t>
      </w:r>
      <w:r w:rsidR="00D10D35" w:rsidRPr="00B7692D">
        <w:rPr>
          <w:lang w:val="en-US" w:eastAsia="zh-CN"/>
        </w:rPr>
        <w:t>GMPCS</w:t>
      </w:r>
      <w:r w:rsidR="00BB5C6F">
        <w:rPr>
          <w:rFonts w:hint="eastAsia"/>
          <w:lang w:val="en-US" w:eastAsia="zh-CN"/>
        </w:rPr>
        <w:t>系统清单；</w:t>
      </w:r>
      <w:r w:rsidR="00D10D35" w:rsidRPr="00B7692D">
        <w:rPr>
          <w:lang w:val="en-US" w:eastAsia="zh-CN"/>
        </w:rPr>
        <w:t xml:space="preserve"> </w:t>
      </w:r>
    </w:p>
    <w:p w:rsidR="00D10D35" w:rsidRDefault="00B40C3A" w:rsidP="00B40C3A">
      <w:pPr>
        <w:pStyle w:val="enumlev1"/>
        <w:rPr>
          <w:lang w:val="en-US" w:eastAsia="zh-CN"/>
        </w:rPr>
      </w:pPr>
      <w:r>
        <w:rPr>
          <w:lang w:eastAsia="zh-CN"/>
        </w:rPr>
        <w:t>•</w:t>
      </w:r>
      <w:r>
        <w:rPr>
          <w:lang w:eastAsia="zh-CN"/>
        </w:rPr>
        <w:tab/>
      </w:r>
      <w:hyperlink r:id="rId18" w:history="1">
        <w:r w:rsidR="00BB5C6F">
          <w:rPr>
            <w:rStyle w:val="Hyperlink"/>
            <w:lang w:val="en-US" w:eastAsia="zh-CN"/>
          </w:rPr>
          <w:t>在国际电联登记的</w:t>
        </w:r>
        <w:r w:rsidR="00BB5C6F">
          <w:rPr>
            <w:rStyle w:val="Hyperlink"/>
            <w:lang w:val="en-US" w:eastAsia="zh-CN"/>
          </w:rPr>
          <w:t>GMPCS</w:t>
        </w:r>
        <w:r w:rsidR="00BB5C6F">
          <w:rPr>
            <w:rStyle w:val="Hyperlink"/>
            <w:lang w:val="en-US" w:eastAsia="zh-CN"/>
          </w:rPr>
          <w:t>终端</w:t>
        </w:r>
      </w:hyperlink>
      <w:r w:rsidR="00BB5C6F" w:rsidRPr="00BB5C6F">
        <w:rPr>
          <w:rFonts w:hint="eastAsia"/>
          <w:lang w:val="en-US" w:eastAsia="zh-CN"/>
        </w:rPr>
        <w:t>清单</w:t>
      </w:r>
      <w:r w:rsidR="00BB5C6F">
        <w:rPr>
          <w:rFonts w:hint="eastAsia"/>
          <w:lang w:val="en-US" w:eastAsia="zh-CN"/>
        </w:rPr>
        <w:t>，同时注明其在各国的现状。</w:t>
      </w:r>
    </w:p>
    <w:p w:rsidR="00D10D35" w:rsidRPr="00097B73" w:rsidRDefault="00D10D35" w:rsidP="00BB5C6F">
      <w:pPr>
        <w:pStyle w:val="Heading1"/>
        <w:rPr>
          <w:lang w:eastAsia="zh-CN"/>
        </w:rPr>
      </w:pPr>
      <w:bookmarkStart w:id="9" w:name="_Toc225584398"/>
      <w:r w:rsidRPr="00097B73">
        <w:rPr>
          <w:lang w:eastAsia="zh-CN"/>
        </w:rPr>
        <w:t>3</w:t>
      </w:r>
      <w:r w:rsidRPr="00097B73">
        <w:rPr>
          <w:lang w:eastAsia="zh-CN"/>
        </w:rPr>
        <w:tab/>
      </w:r>
      <w:r w:rsidR="00BB5C6F">
        <w:rPr>
          <w:rFonts w:hint="eastAsia"/>
          <w:lang w:eastAsia="zh-CN"/>
        </w:rPr>
        <w:t>终端的型号核准</w:t>
      </w:r>
      <w:bookmarkEnd w:id="9"/>
    </w:p>
    <w:p w:rsidR="00D10D35" w:rsidRDefault="00BB5C6F" w:rsidP="006217DA">
      <w:pPr>
        <w:ind w:firstLineChars="200" w:firstLine="480"/>
        <w:rPr>
          <w:lang w:eastAsia="zh-CN"/>
        </w:rPr>
      </w:pPr>
      <w:r>
        <w:rPr>
          <w:rFonts w:hint="eastAsia"/>
          <w:bCs/>
          <w:lang w:eastAsia="zh-CN"/>
        </w:rPr>
        <w:t>型号核准是评估</w:t>
      </w:r>
      <w:r>
        <w:rPr>
          <w:lang w:eastAsia="zh-CN"/>
        </w:rPr>
        <w:t>GMPCS</w:t>
      </w:r>
      <w:r>
        <w:rPr>
          <w:rFonts w:hint="eastAsia"/>
          <w:bCs/>
          <w:lang w:eastAsia="zh-CN"/>
        </w:rPr>
        <w:t>终端是否符合监管技术要求的流程。这些技术要求主要是为了确保</w:t>
      </w:r>
      <w:r w:rsidR="00D10D35">
        <w:rPr>
          <w:lang w:eastAsia="zh-CN"/>
        </w:rPr>
        <w:t>GMPCS</w:t>
      </w:r>
      <w:r>
        <w:rPr>
          <w:rFonts w:hint="eastAsia"/>
          <w:lang w:eastAsia="zh-CN"/>
        </w:rPr>
        <w:t>终端不会对网络、</w:t>
      </w:r>
      <w:r>
        <w:rPr>
          <w:lang w:eastAsia="zh-CN"/>
        </w:rPr>
        <w:t>GMPCS</w:t>
      </w:r>
      <w:r>
        <w:rPr>
          <w:rFonts w:hint="eastAsia"/>
          <w:lang w:eastAsia="zh-CN"/>
        </w:rPr>
        <w:t>用户、其他用户或其他设备带来损害。存在着不同的程序（从强制的第三方测试到制造商的自我声明）。</w:t>
      </w:r>
    </w:p>
    <w:p w:rsidR="00D10D35" w:rsidRPr="006509EA" w:rsidRDefault="00D10D35" w:rsidP="006217DA">
      <w:pPr>
        <w:ind w:firstLineChars="200" w:firstLine="480"/>
        <w:rPr>
          <w:lang w:val="en-US" w:eastAsia="zh-CN"/>
        </w:rPr>
      </w:pPr>
      <w:r w:rsidRPr="006509EA">
        <w:rPr>
          <w:lang w:val="en-US" w:eastAsia="zh-CN"/>
        </w:rPr>
        <w:t>GMPCS</w:t>
      </w:r>
      <w:r w:rsidR="00BB5C6F">
        <w:rPr>
          <w:rFonts w:hint="eastAsia"/>
          <w:lang w:val="en-US" w:eastAsia="zh-CN"/>
        </w:rPr>
        <w:t>终端需要满足以下要求（以下称为“基本要求”）：</w:t>
      </w:r>
    </w:p>
    <w:p w:rsidR="00D10D35" w:rsidRPr="006509EA" w:rsidRDefault="00BB5C6F" w:rsidP="006217DA">
      <w:pPr>
        <w:numPr>
          <w:ilvl w:val="1"/>
          <w:numId w:val="31"/>
        </w:numPr>
        <w:tabs>
          <w:tab w:val="clear" w:pos="1191"/>
          <w:tab w:val="clear" w:pos="1470"/>
          <w:tab w:val="clear" w:pos="1588"/>
          <w:tab w:val="clear" w:pos="1985"/>
        </w:tabs>
        <w:spacing w:before="80"/>
        <w:ind w:left="794" w:hanging="794"/>
        <w:rPr>
          <w:lang w:val="en-US"/>
        </w:rPr>
      </w:pPr>
      <w:r>
        <w:rPr>
          <w:rFonts w:hint="eastAsia"/>
          <w:lang w:val="en-US" w:eastAsia="zh-CN"/>
        </w:rPr>
        <w:t>安全；</w:t>
      </w:r>
    </w:p>
    <w:p w:rsidR="00D10D35" w:rsidRPr="006509EA" w:rsidRDefault="00BB5C6F" w:rsidP="006217DA">
      <w:pPr>
        <w:numPr>
          <w:ilvl w:val="1"/>
          <w:numId w:val="31"/>
        </w:numPr>
        <w:tabs>
          <w:tab w:val="clear" w:pos="1191"/>
          <w:tab w:val="clear" w:pos="1470"/>
          <w:tab w:val="clear" w:pos="1588"/>
          <w:tab w:val="clear" w:pos="1985"/>
        </w:tabs>
        <w:spacing w:before="80"/>
        <w:ind w:left="794" w:hanging="794"/>
        <w:rPr>
          <w:lang w:val="en-US" w:eastAsia="zh-CN"/>
        </w:rPr>
      </w:pPr>
      <w:r>
        <w:rPr>
          <w:rFonts w:hint="eastAsia"/>
          <w:lang w:val="en-US" w:eastAsia="zh-CN"/>
        </w:rPr>
        <w:t>电磁兼容（</w:t>
      </w:r>
      <w:r w:rsidR="00D10D35" w:rsidRPr="006509EA">
        <w:rPr>
          <w:lang w:val="en-US" w:eastAsia="zh-CN"/>
        </w:rPr>
        <w:t>EMC</w:t>
      </w:r>
      <w:r>
        <w:rPr>
          <w:rFonts w:hint="eastAsia"/>
          <w:lang w:val="en-US" w:eastAsia="zh-CN"/>
        </w:rPr>
        <w:t>）；以及</w:t>
      </w:r>
    </w:p>
    <w:p w:rsidR="00D10D35" w:rsidRPr="006509EA" w:rsidRDefault="00B33A89" w:rsidP="006217DA">
      <w:pPr>
        <w:numPr>
          <w:ilvl w:val="1"/>
          <w:numId w:val="31"/>
        </w:numPr>
        <w:tabs>
          <w:tab w:val="clear" w:pos="1191"/>
          <w:tab w:val="clear" w:pos="1470"/>
          <w:tab w:val="clear" w:pos="1588"/>
          <w:tab w:val="clear" w:pos="1985"/>
        </w:tabs>
        <w:spacing w:before="80"/>
        <w:ind w:left="794" w:hanging="794"/>
        <w:rPr>
          <w:lang w:val="en-US" w:eastAsia="zh-CN"/>
        </w:rPr>
      </w:pPr>
      <w:r>
        <w:rPr>
          <w:rFonts w:hint="eastAsia"/>
          <w:lang w:val="en-US" w:eastAsia="zh-CN"/>
        </w:rPr>
        <w:t>有效利用无线电频谱和轨道资源，包括考虑电磁干扰（</w:t>
      </w:r>
      <w:r>
        <w:rPr>
          <w:rFonts w:hint="eastAsia"/>
          <w:lang w:val="en-US" w:eastAsia="zh-CN"/>
        </w:rPr>
        <w:t>EMI</w:t>
      </w:r>
      <w:r>
        <w:rPr>
          <w:rFonts w:hint="eastAsia"/>
          <w:lang w:val="en-US" w:eastAsia="zh-CN"/>
        </w:rPr>
        <w:t>）问题。</w:t>
      </w:r>
    </w:p>
    <w:p w:rsidR="00D10D35" w:rsidRDefault="006C31B9" w:rsidP="006217DA">
      <w:pPr>
        <w:ind w:firstLineChars="200" w:firstLine="480"/>
        <w:rPr>
          <w:lang w:val="en-US" w:eastAsia="zh-CN"/>
        </w:rPr>
      </w:pPr>
      <w:r>
        <w:rPr>
          <w:rFonts w:hint="eastAsia"/>
          <w:lang w:val="en-US" w:eastAsia="zh-CN"/>
        </w:rPr>
        <w:t>各主管部门和</w:t>
      </w:r>
      <w:r>
        <w:rPr>
          <w:rFonts w:hint="eastAsia"/>
          <w:lang w:val="en-US" w:eastAsia="zh-CN"/>
        </w:rPr>
        <w:t>/</w:t>
      </w:r>
      <w:r>
        <w:rPr>
          <w:rFonts w:hint="eastAsia"/>
          <w:lang w:val="en-US" w:eastAsia="zh-CN"/>
        </w:rPr>
        <w:t>或主管机构可自行决定说明是否通过满足适当</w:t>
      </w:r>
      <w:r>
        <w:rPr>
          <w:rFonts w:hint="eastAsia"/>
          <w:lang w:val="en-US" w:eastAsia="zh-CN"/>
        </w:rPr>
        <w:t>ITU-R</w:t>
      </w:r>
      <w:r>
        <w:rPr>
          <w:rFonts w:hint="eastAsia"/>
          <w:lang w:val="en-US" w:eastAsia="zh-CN"/>
        </w:rPr>
        <w:t>建议书、国际、区域或国家标准、或技术规范的方式符合上述基本要求。</w:t>
      </w:r>
      <w:r w:rsidR="00D10D35" w:rsidRPr="006509EA">
        <w:rPr>
          <w:lang w:val="en-US" w:eastAsia="zh-CN"/>
        </w:rPr>
        <w:t>ITU</w:t>
      </w:r>
      <w:r w:rsidR="00D10D35">
        <w:rPr>
          <w:lang w:val="en-US" w:eastAsia="zh-CN"/>
        </w:rPr>
        <w:t>-</w:t>
      </w:r>
      <w:r w:rsidR="00D10D35" w:rsidRPr="006509EA">
        <w:rPr>
          <w:lang w:val="en-US" w:eastAsia="zh-CN"/>
        </w:rPr>
        <w:t>R</w:t>
      </w:r>
      <w:r w:rsidR="00D10D35">
        <w:rPr>
          <w:lang w:val="en-US" w:eastAsia="zh-CN"/>
        </w:rPr>
        <w:t xml:space="preserve"> M.1343-1</w:t>
      </w:r>
      <w:r>
        <w:rPr>
          <w:rFonts w:hint="eastAsia"/>
          <w:lang w:val="en-US" w:eastAsia="zh-CN"/>
        </w:rPr>
        <w:t>建议书“</w:t>
      </w:r>
      <w:r>
        <w:rPr>
          <w:color w:val="000000"/>
          <w:lang w:eastAsia="zh-CN"/>
        </w:rPr>
        <w:t>1-3 GHz</w:t>
      </w:r>
      <w:r>
        <w:rPr>
          <w:color w:val="000000"/>
          <w:lang w:eastAsia="zh-CN"/>
        </w:rPr>
        <w:t>频段内用于全球非对地静止卫星移动业务系统的移动地球站的基本技术要</w:t>
      </w:r>
      <w:r>
        <w:rPr>
          <w:rFonts w:ascii="SimSun" w:hAnsi="SimSun" w:cs="SimSun" w:hint="eastAsia"/>
          <w:color w:val="000000"/>
          <w:lang w:eastAsia="zh-CN"/>
        </w:rPr>
        <w:t>求</w:t>
      </w:r>
      <w:r>
        <w:rPr>
          <w:rFonts w:hint="eastAsia"/>
          <w:lang w:val="en-US" w:eastAsia="zh-CN"/>
        </w:rPr>
        <w:t>”和</w:t>
      </w:r>
      <w:r w:rsidR="00D10D35" w:rsidRPr="006509EA">
        <w:rPr>
          <w:lang w:val="en-US" w:eastAsia="zh-CN"/>
        </w:rPr>
        <w:t>ITU</w:t>
      </w:r>
      <w:r w:rsidR="00D10D35">
        <w:rPr>
          <w:lang w:val="en-US" w:eastAsia="zh-CN"/>
        </w:rPr>
        <w:t>-</w:t>
      </w:r>
      <w:r w:rsidR="00D10D35" w:rsidRPr="006509EA">
        <w:rPr>
          <w:lang w:val="en-US" w:eastAsia="zh-CN"/>
        </w:rPr>
        <w:t>R</w:t>
      </w:r>
      <w:r w:rsidR="00D10D35">
        <w:rPr>
          <w:lang w:val="en-US" w:eastAsia="zh-CN"/>
        </w:rPr>
        <w:t xml:space="preserve"> M.1480</w:t>
      </w:r>
      <w:r>
        <w:rPr>
          <w:rFonts w:hint="eastAsia"/>
          <w:lang w:val="en-US" w:eastAsia="zh-CN"/>
        </w:rPr>
        <w:t>建议书“</w:t>
      </w:r>
      <w:r>
        <w:rPr>
          <w:rFonts w:hint="eastAsia"/>
          <w:color w:val="000000"/>
          <w:lang w:eastAsia="zh-CN"/>
        </w:rPr>
        <w:t>在部分</w:t>
      </w:r>
      <w:r>
        <w:rPr>
          <w:color w:val="000000"/>
          <w:lang w:eastAsia="zh-CN"/>
        </w:rPr>
        <w:t>1-3GHz</w:t>
      </w:r>
      <w:r>
        <w:rPr>
          <w:color w:val="000000"/>
          <w:lang w:eastAsia="zh-CN"/>
        </w:rPr>
        <w:t>频段实施全球</w:t>
      </w:r>
      <w:r w:rsidR="006217DA">
        <w:rPr>
          <w:color w:val="000000"/>
          <w:lang w:eastAsia="zh-CN"/>
        </w:rPr>
        <w:t>个人卫星</w:t>
      </w:r>
      <w:r>
        <w:rPr>
          <w:color w:val="000000"/>
          <w:lang w:eastAsia="zh-CN"/>
        </w:rPr>
        <w:t>移动通信（</w:t>
      </w:r>
      <w:r>
        <w:rPr>
          <w:color w:val="000000"/>
          <w:lang w:eastAsia="zh-CN"/>
        </w:rPr>
        <w:t>GMPCS</w:t>
      </w:r>
      <w:r>
        <w:rPr>
          <w:color w:val="000000"/>
          <w:lang w:eastAsia="zh-CN"/>
        </w:rPr>
        <w:t>）</w:t>
      </w:r>
      <w:r>
        <w:rPr>
          <w:lang w:val="en-US" w:eastAsia="zh-CN"/>
        </w:rPr>
        <w:t>–</w:t>
      </w:r>
      <w:r w:rsidR="006217DA">
        <w:rPr>
          <w:lang w:val="en-US" w:eastAsia="zh-CN"/>
        </w:rPr>
        <w:t xml:space="preserve"> </w:t>
      </w:r>
      <w:r>
        <w:rPr>
          <w:color w:val="000000"/>
          <w:lang w:eastAsia="zh-CN"/>
        </w:rPr>
        <w:t>谅解备忘</w:t>
      </w:r>
      <w:r>
        <w:rPr>
          <w:rFonts w:ascii="SimSun" w:hAnsi="SimSun" w:cs="SimSun" w:hint="eastAsia"/>
          <w:color w:val="000000"/>
          <w:lang w:eastAsia="zh-CN"/>
        </w:rPr>
        <w:t>录安排</w:t>
      </w:r>
      <w:r>
        <w:rPr>
          <w:color w:val="000000"/>
          <w:lang w:eastAsia="zh-CN"/>
        </w:rPr>
        <w:t>的对地静止卫星移动系统移动地球站的基本技术要求</w:t>
      </w:r>
      <w:r>
        <w:rPr>
          <w:rFonts w:hint="eastAsia"/>
          <w:lang w:val="en-US" w:eastAsia="zh-CN"/>
        </w:rPr>
        <w:t>”即是示例。</w:t>
      </w:r>
    </w:p>
    <w:p w:rsidR="00D10D35" w:rsidRPr="00097B73" w:rsidRDefault="00D10D35" w:rsidP="00A31B2A">
      <w:pPr>
        <w:pStyle w:val="Heading1"/>
        <w:rPr>
          <w:lang w:eastAsia="zh-CN"/>
        </w:rPr>
      </w:pPr>
      <w:bookmarkStart w:id="10" w:name="_Toc225584399"/>
      <w:r w:rsidRPr="00097B73">
        <w:rPr>
          <w:lang w:eastAsia="zh-CN"/>
        </w:rPr>
        <w:t>4</w:t>
      </w:r>
      <w:r w:rsidRPr="00097B73">
        <w:rPr>
          <w:lang w:eastAsia="zh-CN"/>
        </w:rPr>
        <w:tab/>
      </w:r>
      <w:r w:rsidR="00A31B2A">
        <w:rPr>
          <w:rFonts w:hint="eastAsia"/>
          <w:lang w:eastAsia="zh-CN"/>
        </w:rPr>
        <w:t>颁发</w:t>
      </w:r>
      <w:r w:rsidR="006C31B9">
        <w:rPr>
          <w:rFonts w:hint="eastAsia"/>
          <w:lang w:eastAsia="zh-CN"/>
        </w:rPr>
        <w:t>终端</w:t>
      </w:r>
      <w:bookmarkEnd w:id="10"/>
      <w:r w:rsidR="00A31B2A">
        <w:rPr>
          <w:rFonts w:hint="eastAsia"/>
          <w:lang w:eastAsia="zh-CN"/>
        </w:rPr>
        <w:t>执照</w:t>
      </w:r>
    </w:p>
    <w:p w:rsidR="00D10D35" w:rsidRDefault="00A31B2A" w:rsidP="006217DA">
      <w:pPr>
        <w:ind w:firstLineChars="200" w:firstLine="480"/>
        <w:rPr>
          <w:lang w:eastAsia="zh-CN"/>
        </w:rPr>
      </w:pPr>
      <w:r>
        <w:rPr>
          <w:rFonts w:hint="eastAsia"/>
          <w:lang w:val="en-US" w:eastAsia="zh-CN"/>
        </w:rPr>
        <w:t>在满足以下条件的情况下，建议已实施《安排》的主管部门和</w:t>
      </w:r>
      <w:r>
        <w:rPr>
          <w:rFonts w:hint="eastAsia"/>
          <w:lang w:val="en-US" w:eastAsia="zh-CN"/>
        </w:rPr>
        <w:t>/</w:t>
      </w:r>
      <w:r>
        <w:rPr>
          <w:rFonts w:hint="eastAsia"/>
          <w:lang w:val="en-US" w:eastAsia="zh-CN"/>
        </w:rPr>
        <w:t>或主管机构不再要求为</w:t>
      </w:r>
      <w:r>
        <w:rPr>
          <w:lang w:eastAsia="zh-CN"/>
        </w:rPr>
        <w:t>GMPCS</w:t>
      </w:r>
      <w:r>
        <w:rPr>
          <w:rFonts w:hint="eastAsia"/>
          <w:lang w:eastAsia="zh-CN"/>
        </w:rPr>
        <w:t>终端单独颁发执照：</w:t>
      </w:r>
    </w:p>
    <w:p w:rsidR="00D10D35" w:rsidRDefault="00D10D35" w:rsidP="006217DA">
      <w:pPr>
        <w:pStyle w:val="enumlev1"/>
        <w:tabs>
          <w:tab w:val="clear" w:pos="1191"/>
          <w:tab w:val="clear" w:pos="1588"/>
          <w:tab w:val="clear" w:pos="1985"/>
        </w:tabs>
        <w:rPr>
          <w:sz w:val="22"/>
          <w:lang w:val="en-US" w:eastAsia="zh-CN"/>
        </w:rPr>
      </w:pPr>
      <w:r>
        <w:rPr>
          <w:sz w:val="22"/>
          <w:lang w:val="en-US" w:eastAsia="zh-CN"/>
        </w:rPr>
        <w:t>a)</w:t>
      </w:r>
      <w:r>
        <w:rPr>
          <w:sz w:val="22"/>
          <w:lang w:val="en-US" w:eastAsia="zh-CN"/>
        </w:rPr>
        <w:tab/>
      </w:r>
      <w:r w:rsidR="00A31B2A">
        <w:rPr>
          <w:rFonts w:hint="eastAsia"/>
          <w:sz w:val="22"/>
          <w:lang w:val="en-US" w:eastAsia="zh-CN"/>
        </w:rPr>
        <w:t>这些终端在相关</w:t>
      </w:r>
      <w:r w:rsidR="00A31B2A" w:rsidRPr="00A31B2A">
        <w:rPr>
          <w:rFonts w:hint="eastAsia"/>
          <w:sz w:val="22"/>
          <w:lang w:val="en-US" w:eastAsia="zh-CN"/>
        </w:rPr>
        <w:t>主管部门和</w:t>
      </w:r>
      <w:r w:rsidR="00A31B2A" w:rsidRPr="00A31B2A">
        <w:rPr>
          <w:rFonts w:hint="eastAsia"/>
          <w:sz w:val="22"/>
          <w:lang w:val="en-US" w:eastAsia="zh-CN"/>
        </w:rPr>
        <w:t>/</w:t>
      </w:r>
      <w:r w:rsidR="00A31B2A" w:rsidRPr="00A31B2A">
        <w:rPr>
          <w:rFonts w:hint="eastAsia"/>
          <w:sz w:val="22"/>
          <w:lang w:val="en-US" w:eastAsia="zh-CN"/>
        </w:rPr>
        <w:t>或主管机构</w:t>
      </w:r>
      <w:r w:rsidR="00A31B2A">
        <w:rPr>
          <w:rFonts w:hint="eastAsia"/>
          <w:sz w:val="22"/>
          <w:lang w:val="en-US" w:eastAsia="zh-CN"/>
        </w:rPr>
        <w:t>为此类使用确定的频段内操作；</w:t>
      </w:r>
    </w:p>
    <w:p w:rsidR="00D10D35" w:rsidRDefault="00D10D35" w:rsidP="006217DA">
      <w:pPr>
        <w:pStyle w:val="enumlev1"/>
        <w:tabs>
          <w:tab w:val="clear" w:pos="1191"/>
          <w:tab w:val="clear" w:pos="1588"/>
          <w:tab w:val="clear" w:pos="1985"/>
        </w:tabs>
        <w:rPr>
          <w:sz w:val="22"/>
          <w:lang w:val="en-US" w:eastAsia="zh-CN"/>
        </w:rPr>
      </w:pPr>
      <w:r>
        <w:rPr>
          <w:sz w:val="22"/>
          <w:lang w:val="en-US" w:eastAsia="zh-CN"/>
        </w:rPr>
        <w:t>b)</w:t>
      </w:r>
      <w:r>
        <w:rPr>
          <w:sz w:val="22"/>
          <w:lang w:val="en-US" w:eastAsia="zh-CN"/>
        </w:rPr>
        <w:tab/>
      </w:r>
      <w:r w:rsidR="00A31B2A">
        <w:rPr>
          <w:sz w:val="22"/>
          <w:lang w:val="en-US" w:eastAsia="zh-CN"/>
        </w:rPr>
        <w:t>GMPCS</w:t>
      </w:r>
      <w:r w:rsidR="00A31B2A">
        <w:rPr>
          <w:rFonts w:hint="eastAsia"/>
          <w:sz w:val="22"/>
          <w:lang w:val="en-US" w:eastAsia="zh-CN"/>
        </w:rPr>
        <w:t>终端所依据的</w:t>
      </w:r>
      <w:r>
        <w:rPr>
          <w:sz w:val="22"/>
          <w:lang w:val="en-US" w:eastAsia="zh-CN"/>
        </w:rPr>
        <w:t>GMPCS</w:t>
      </w:r>
      <w:r w:rsidR="00A31B2A">
        <w:rPr>
          <w:rFonts w:hint="eastAsia"/>
          <w:sz w:val="22"/>
          <w:lang w:val="en-US" w:eastAsia="zh-CN"/>
        </w:rPr>
        <w:t>业务已根据各国的法律和</w:t>
      </w:r>
      <w:r w:rsidR="00A31B2A">
        <w:rPr>
          <w:rFonts w:hint="eastAsia"/>
          <w:sz w:val="22"/>
          <w:lang w:val="en-US" w:eastAsia="zh-CN"/>
        </w:rPr>
        <w:t>/</w:t>
      </w:r>
      <w:r w:rsidR="00A31B2A">
        <w:rPr>
          <w:rFonts w:hint="eastAsia"/>
          <w:sz w:val="22"/>
          <w:lang w:val="en-US" w:eastAsia="zh-CN"/>
        </w:rPr>
        <w:t>或法规获得合法批准（如果需要的话）；</w:t>
      </w:r>
    </w:p>
    <w:p w:rsidR="00D10D35" w:rsidRDefault="00D10D35" w:rsidP="006217DA">
      <w:pPr>
        <w:pStyle w:val="enumlev1"/>
        <w:tabs>
          <w:tab w:val="clear" w:pos="1191"/>
          <w:tab w:val="clear" w:pos="1588"/>
          <w:tab w:val="clear" w:pos="1985"/>
        </w:tabs>
        <w:rPr>
          <w:sz w:val="22"/>
          <w:lang w:val="en-US" w:eastAsia="zh-CN"/>
        </w:rPr>
      </w:pPr>
      <w:r>
        <w:rPr>
          <w:sz w:val="22"/>
          <w:lang w:val="en-US" w:eastAsia="zh-CN"/>
        </w:rPr>
        <w:t>c)</w:t>
      </w:r>
      <w:r>
        <w:rPr>
          <w:sz w:val="22"/>
          <w:lang w:val="en-US" w:eastAsia="zh-CN"/>
        </w:rPr>
        <w:tab/>
        <w:t>GMPCS</w:t>
      </w:r>
      <w:r w:rsidR="00A31B2A">
        <w:rPr>
          <w:rFonts w:hint="eastAsia"/>
          <w:sz w:val="22"/>
          <w:lang w:val="en-US" w:eastAsia="zh-CN"/>
        </w:rPr>
        <w:t>终端的发射在</w:t>
      </w:r>
      <w:r w:rsidR="00A31B2A">
        <w:rPr>
          <w:sz w:val="22"/>
          <w:lang w:val="en-US" w:eastAsia="zh-CN"/>
        </w:rPr>
        <w:t>GMPCS</w:t>
      </w:r>
      <w:r w:rsidR="00A31B2A">
        <w:rPr>
          <w:rFonts w:hint="eastAsia"/>
          <w:sz w:val="22"/>
          <w:lang w:val="en-US" w:eastAsia="zh-CN"/>
        </w:rPr>
        <w:t>系统操作者和</w:t>
      </w:r>
      <w:r w:rsidR="00A31B2A">
        <w:rPr>
          <w:rFonts w:hint="eastAsia"/>
          <w:sz w:val="22"/>
          <w:lang w:val="en-US" w:eastAsia="zh-CN"/>
        </w:rPr>
        <w:t>/</w:t>
      </w:r>
      <w:r w:rsidR="00A31B2A">
        <w:rPr>
          <w:rFonts w:hint="eastAsia"/>
          <w:sz w:val="22"/>
          <w:lang w:val="en-US" w:eastAsia="zh-CN"/>
        </w:rPr>
        <w:t>或</w:t>
      </w:r>
      <w:r w:rsidR="00A31B2A">
        <w:rPr>
          <w:sz w:val="22"/>
          <w:lang w:val="en-US" w:eastAsia="zh-CN"/>
        </w:rPr>
        <w:t>GMPCS</w:t>
      </w:r>
      <w:r w:rsidR="00A31B2A">
        <w:rPr>
          <w:rFonts w:hint="eastAsia"/>
          <w:sz w:val="22"/>
          <w:lang w:val="en-US" w:eastAsia="zh-CN"/>
        </w:rPr>
        <w:t>业务提供商的操作控制下；</w:t>
      </w:r>
    </w:p>
    <w:p w:rsidR="00D10D35" w:rsidRDefault="00D10D35" w:rsidP="006217DA">
      <w:pPr>
        <w:pStyle w:val="enumlev1"/>
        <w:tabs>
          <w:tab w:val="clear" w:pos="1191"/>
          <w:tab w:val="clear" w:pos="1588"/>
          <w:tab w:val="clear" w:pos="1985"/>
        </w:tabs>
        <w:rPr>
          <w:sz w:val="22"/>
          <w:lang w:val="en-US" w:eastAsia="zh-CN"/>
        </w:rPr>
      </w:pPr>
      <w:r>
        <w:rPr>
          <w:sz w:val="22"/>
          <w:lang w:val="en-US" w:eastAsia="zh-CN"/>
        </w:rPr>
        <w:t>d)</w:t>
      </w:r>
      <w:r>
        <w:rPr>
          <w:sz w:val="22"/>
          <w:lang w:val="en-US" w:eastAsia="zh-CN"/>
        </w:rPr>
        <w:tab/>
        <w:t>GMPCS</w:t>
      </w:r>
      <w:r w:rsidR="00A31B2A">
        <w:rPr>
          <w:rFonts w:hint="eastAsia"/>
          <w:sz w:val="22"/>
          <w:lang w:val="en-US" w:eastAsia="zh-CN"/>
        </w:rPr>
        <w:t>终端满足《安排》中的相关基本要求；以及</w:t>
      </w:r>
    </w:p>
    <w:p w:rsidR="00D10D35" w:rsidRDefault="00D10D35" w:rsidP="006217DA">
      <w:pPr>
        <w:pStyle w:val="enumlev1"/>
        <w:tabs>
          <w:tab w:val="clear" w:pos="1191"/>
          <w:tab w:val="clear" w:pos="1588"/>
          <w:tab w:val="clear" w:pos="1985"/>
        </w:tabs>
        <w:rPr>
          <w:sz w:val="22"/>
          <w:lang w:val="en-US" w:eastAsia="zh-CN"/>
        </w:rPr>
      </w:pPr>
      <w:r>
        <w:rPr>
          <w:sz w:val="22"/>
          <w:lang w:val="en-US" w:eastAsia="zh-CN"/>
        </w:rPr>
        <w:t>e)</w:t>
      </w:r>
      <w:r>
        <w:rPr>
          <w:sz w:val="22"/>
          <w:lang w:val="en-US" w:eastAsia="zh-CN"/>
        </w:rPr>
        <w:tab/>
      </w:r>
      <w:r w:rsidR="00A31B2A">
        <w:rPr>
          <w:rFonts w:hint="eastAsia"/>
          <w:sz w:val="22"/>
          <w:lang w:val="en-US" w:eastAsia="zh-CN"/>
        </w:rPr>
        <w:t>采取了必要措施，以避免不同业务之间的有害干扰。</w:t>
      </w:r>
    </w:p>
    <w:p w:rsidR="00D10D35" w:rsidRDefault="00A46652" w:rsidP="006217DA">
      <w:pPr>
        <w:ind w:firstLineChars="200" w:firstLine="480"/>
        <w:rPr>
          <w:b/>
          <w:bCs/>
          <w:lang w:val="en-US" w:eastAsia="zh-CN"/>
        </w:rPr>
      </w:pPr>
      <w:r>
        <w:rPr>
          <w:rFonts w:hint="eastAsia"/>
          <w:lang w:val="en-US" w:eastAsia="zh-CN"/>
        </w:rPr>
        <w:t>如能证明</w:t>
      </w:r>
      <w:r>
        <w:rPr>
          <w:lang w:eastAsia="zh-CN"/>
        </w:rPr>
        <w:t>GMPCS</w:t>
      </w:r>
      <w:r>
        <w:rPr>
          <w:rFonts w:hint="eastAsia"/>
          <w:lang w:eastAsia="zh-CN"/>
        </w:rPr>
        <w:t>终端符合《安排》的基本要求（可通过贴有</w:t>
      </w:r>
      <w:r>
        <w:rPr>
          <w:lang w:eastAsia="zh-CN"/>
        </w:rPr>
        <w:t>GMPCS-MoU</w:t>
      </w:r>
      <w:r>
        <w:rPr>
          <w:rFonts w:hint="eastAsia"/>
          <w:lang w:eastAsia="zh-CN"/>
        </w:rPr>
        <w:t>标志或另一个公认标志证明），</w:t>
      </w:r>
      <w:r w:rsidR="00A31B2A">
        <w:rPr>
          <w:rFonts w:hint="eastAsia"/>
          <w:lang w:val="en-US" w:eastAsia="zh-CN"/>
        </w:rPr>
        <w:t>建议实施《安排》的主管部门和</w:t>
      </w:r>
      <w:r w:rsidR="00A31B2A">
        <w:rPr>
          <w:rFonts w:hint="eastAsia"/>
          <w:lang w:val="en-US" w:eastAsia="zh-CN"/>
        </w:rPr>
        <w:t>/</w:t>
      </w:r>
      <w:r w:rsidR="00A31B2A">
        <w:rPr>
          <w:rFonts w:hint="eastAsia"/>
          <w:lang w:val="en-US" w:eastAsia="zh-CN"/>
        </w:rPr>
        <w:t>或主管机构允许</w:t>
      </w:r>
      <w:r w:rsidR="00CA0939">
        <w:rPr>
          <w:rFonts w:hint="eastAsia"/>
          <w:lang w:val="en-US" w:eastAsia="zh-CN"/>
        </w:rPr>
        <w:t>单模（</w:t>
      </w:r>
      <w:r>
        <w:rPr>
          <w:rFonts w:hint="eastAsia"/>
          <w:lang w:val="en-US" w:eastAsia="zh-CN"/>
        </w:rPr>
        <w:t>在</w:t>
      </w:r>
      <w:r w:rsidR="00CA0939">
        <w:rPr>
          <w:rFonts w:hint="eastAsia"/>
          <w:lang w:val="en-US" w:eastAsia="zh-CN"/>
        </w:rPr>
        <w:t>一个</w:t>
      </w:r>
      <w:r w:rsidR="00CA0939">
        <w:rPr>
          <w:lang w:eastAsia="zh-CN"/>
        </w:rPr>
        <w:t>GMPCS</w:t>
      </w:r>
      <w:r w:rsidR="00CA0939">
        <w:rPr>
          <w:rFonts w:hint="eastAsia"/>
          <w:lang w:eastAsia="zh-CN"/>
        </w:rPr>
        <w:t>系统</w:t>
      </w:r>
      <w:r>
        <w:rPr>
          <w:rFonts w:hint="eastAsia"/>
          <w:lang w:eastAsia="zh-CN"/>
        </w:rPr>
        <w:t>下操作</w:t>
      </w:r>
      <w:r w:rsidR="00CA0939">
        <w:rPr>
          <w:rFonts w:hint="eastAsia"/>
          <w:lang w:val="en-US" w:eastAsia="zh-CN"/>
        </w:rPr>
        <w:t>）</w:t>
      </w:r>
      <w:r>
        <w:rPr>
          <w:rFonts w:hint="eastAsia"/>
          <w:lang w:val="en-US" w:eastAsia="zh-CN"/>
        </w:rPr>
        <w:t>或多模（在一个</w:t>
      </w:r>
      <w:r>
        <w:rPr>
          <w:lang w:eastAsia="zh-CN"/>
        </w:rPr>
        <w:t>GMPCS</w:t>
      </w:r>
      <w:r>
        <w:rPr>
          <w:rFonts w:hint="eastAsia"/>
          <w:lang w:eastAsia="zh-CN"/>
        </w:rPr>
        <w:t>系统下操作，</w:t>
      </w:r>
      <w:r>
        <w:rPr>
          <w:rFonts w:hint="eastAsia"/>
          <w:lang w:val="en-US" w:eastAsia="zh-CN"/>
        </w:rPr>
        <w:t>或，又在一个多个其他</w:t>
      </w:r>
      <w:r>
        <w:rPr>
          <w:lang w:eastAsia="zh-CN"/>
        </w:rPr>
        <w:t>GMPCS</w:t>
      </w:r>
      <w:r>
        <w:rPr>
          <w:rFonts w:hint="eastAsia"/>
          <w:lang w:eastAsia="zh-CN"/>
        </w:rPr>
        <w:t>系统或地面移动系统下操作</w:t>
      </w:r>
      <w:r>
        <w:rPr>
          <w:rFonts w:hint="eastAsia"/>
          <w:lang w:val="en-US" w:eastAsia="zh-CN"/>
        </w:rPr>
        <w:t>）</w:t>
      </w:r>
      <w:r w:rsidR="00CA0939">
        <w:rPr>
          <w:lang w:eastAsia="zh-CN"/>
        </w:rPr>
        <w:t>GMPCS</w:t>
      </w:r>
      <w:r w:rsidR="00CA0939">
        <w:rPr>
          <w:rFonts w:hint="eastAsia"/>
          <w:lang w:eastAsia="zh-CN"/>
        </w:rPr>
        <w:t>终端</w:t>
      </w:r>
      <w:r>
        <w:rPr>
          <w:rFonts w:hint="eastAsia"/>
          <w:lang w:eastAsia="zh-CN"/>
        </w:rPr>
        <w:t>的流通和使用。</w:t>
      </w:r>
    </w:p>
    <w:p w:rsidR="00D10D35" w:rsidRPr="00097B73" w:rsidRDefault="00D10D35" w:rsidP="00A46652">
      <w:pPr>
        <w:pStyle w:val="Heading1"/>
        <w:rPr>
          <w:lang w:eastAsia="zh-CN"/>
        </w:rPr>
      </w:pPr>
      <w:bookmarkStart w:id="11" w:name="_Toc225584400"/>
      <w:r w:rsidRPr="00097B73">
        <w:rPr>
          <w:lang w:eastAsia="zh-CN"/>
        </w:rPr>
        <w:lastRenderedPageBreak/>
        <w:t>5</w:t>
      </w:r>
      <w:r w:rsidRPr="00097B73">
        <w:rPr>
          <w:lang w:eastAsia="zh-CN"/>
        </w:rPr>
        <w:tab/>
        <w:t>GMPCS-MoU</w:t>
      </w:r>
      <w:r w:rsidR="00A46652">
        <w:rPr>
          <w:rFonts w:hint="eastAsia"/>
          <w:lang w:eastAsia="zh-CN"/>
        </w:rPr>
        <w:t>标志</w:t>
      </w:r>
      <w:bookmarkEnd w:id="11"/>
    </w:p>
    <w:p w:rsidR="00D10D35" w:rsidRDefault="00D10D35" w:rsidP="006217DA">
      <w:pPr>
        <w:ind w:firstLineChars="200" w:firstLine="480"/>
        <w:rPr>
          <w:lang w:val="en-US" w:eastAsia="zh-CN"/>
        </w:rPr>
      </w:pPr>
      <w:r w:rsidRPr="003F1B21">
        <w:rPr>
          <w:bCs/>
          <w:lang w:val="en-US" w:eastAsia="zh-CN"/>
        </w:rPr>
        <w:t>GMPCS-MoU</w:t>
      </w:r>
      <w:r w:rsidR="006C32BA">
        <w:rPr>
          <w:rFonts w:hint="eastAsia"/>
          <w:bCs/>
          <w:lang w:val="en-US" w:eastAsia="zh-CN"/>
        </w:rPr>
        <w:t>标志是</w:t>
      </w:r>
      <w:r w:rsidR="00CE4A49">
        <w:rPr>
          <w:rFonts w:hint="eastAsia"/>
          <w:bCs/>
          <w:lang w:val="en-US" w:eastAsia="zh-CN"/>
        </w:rPr>
        <w:t>经</w:t>
      </w:r>
      <w:r w:rsidR="006C32BA" w:rsidRPr="003F1B21">
        <w:rPr>
          <w:lang w:val="en-US" w:eastAsia="zh-CN"/>
        </w:rPr>
        <w:t>GMPCS-MoU</w:t>
      </w:r>
      <w:r w:rsidR="006C32BA">
        <w:rPr>
          <w:rFonts w:hint="eastAsia"/>
          <w:lang w:val="en-US" w:eastAsia="zh-CN"/>
        </w:rPr>
        <w:t>签署方</w:t>
      </w:r>
      <w:r w:rsidR="00CE4A49">
        <w:rPr>
          <w:rFonts w:hint="eastAsia"/>
          <w:lang w:val="en-US" w:eastAsia="zh-CN"/>
        </w:rPr>
        <w:t>协商一致后，同意根据《安排》的规定粘贴在</w:t>
      </w:r>
      <w:r w:rsidR="00CE4A49" w:rsidRPr="003F1B21">
        <w:rPr>
          <w:lang w:val="en-US" w:eastAsia="zh-CN"/>
        </w:rPr>
        <w:t>GMPCS</w:t>
      </w:r>
      <w:r w:rsidR="00CE4A49">
        <w:rPr>
          <w:rFonts w:hint="eastAsia"/>
          <w:lang w:val="en-US" w:eastAsia="zh-CN"/>
        </w:rPr>
        <w:t>终端上的一个标志。</w:t>
      </w:r>
      <w:r w:rsidRPr="00115EF5">
        <w:rPr>
          <w:lang w:val="en-US" w:eastAsia="zh-CN"/>
        </w:rPr>
        <w:t>GMPCS</w:t>
      </w:r>
      <w:r w:rsidR="00CE4A49">
        <w:rPr>
          <w:rFonts w:hint="eastAsia"/>
          <w:lang w:val="en-US" w:eastAsia="zh-CN"/>
        </w:rPr>
        <w:t>终端的标识对于促进终端的跨境流通并由此确保所有终端用户享受到无缝和可靠的</w:t>
      </w:r>
      <w:r w:rsidR="00CE4A49" w:rsidRPr="00115EF5">
        <w:rPr>
          <w:lang w:val="en-US" w:eastAsia="zh-CN"/>
        </w:rPr>
        <w:t>GMPCS</w:t>
      </w:r>
      <w:r w:rsidR="00CE4A49">
        <w:rPr>
          <w:rFonts w:hint="eastAsia"/>
          <w:lang w:val="en-US" w:eastAsia="zh-CN"/>
        </w:rPr>
        <w:t>业务而言至关重要。使用</w:t>
      </w:r>
      <w:r w:rsidR="00CE4A49" w:rsidRPr="003F1B21">
        <w:rPr>
          <w:bCs/>
          <w:lang w:val="en-US" w:eastAsia="zh-CN"/>
        </w:rPr>
        <w:t>GMPCS-MoU</w:t>
      </w:r>
      <w:r w:rsidR="00CE4A49">
        <w:rPr>
          <w:rFonts w:hint="eastAsia"/>
          <w:bCs/>
          <w:lang w:val="en-US" w:eastAsia="zh-CN"/>
        </w:rPr>
        <w:t>标志绝不意味着国际电联进行了可在全球有效的型号核准。</w:t>
      </w:r>
    </w:p>
    <w:p w:rsidR="00D10D35" w:rsidRDefault="00D10D35" w:rsidP="006217DA">
      <w:pPr>
        <w:ind w:firstLineChars="200" w:firstLine="480"/>
        <w:rPr>
          <w:lang w:val="en-US" w:eastAsia="zh-CN"/>
        </w:rPr>
      </w:pPr>
      <w:r w:rsidRPr="00115EF5">
        <w:rPr>
          <w:lang w:val="en-US" w:eastAsia="zh-CN"/>
        </w:rPr>
        <w:t>GMPCS-MoU</w:t>
      </w:r>
      <w:r w:rsidR="00D16D78">
        <w:rPr>
          <w:rFonts w:hint="eastAsia"/>
          <w:lang w:val="en-US" w:eastAsia="zh-CN"/>
        </w:rPr>
        <w:t>标志包含以下英文文字：“</w:t>
      </w:r>
      <w:r w:rsidRPr="00115EF5">
        <w:rPr>
          <w:lang w:val="en-US" w:eastAsia="zh-CN"/>
        </w:rPr>
        <w:t>GMPCS-MoU</w:t>
      </w:r>
      <w:r w:rsidR="00D16D78">
        <w:rPr>
          <w:rFonts w:hint="eastAsia"/>
          <w:lang w:val="en-US" w:eastAsia="zh-CN"/>
        </w:rPr>
        <w:t>”</w:t>
      </w:r>
      <w:r w:rsidR="006217DA">
        <w:rPr>
          <w:rFonts w:hint="eastAsia"/>
          <w:lang w:val="en-US" w:eastAsia="zh-CN"/>
        </w:rPr>
        <w:t>这</w:t>
      </w:r>
      <w:r w:rsidR="006217DA">
        <w:rPr>
          <w:lang w:val="en-US" w:eastAsia="zh-CN"/>
        </w:rPr>
        <w:t>几个字母</w:t>
      </w:r>
      <w:r w:rsidR="00D16D78">
        <w:rPr>
          <w:rFonts w:hint="eastAsia"/>
          <w:lang w:val="en-US" w:eastAsia="zh-CN"/>
        </w:rPr>
        <w:t>，其下是国际电联的英文缩写“</w:t>
      </w:r>
      <w:r w:rsidR="00D16D78">
        <w:rPr>
          <w:rFonts w:hint="eastAsia"/>
          <w:lang w:val="en-US" w:eastAsia="zh-CN"/>
        </w:rPr>
        <w:t>ITU</w:t>
      </w:r>
      <w:r w:rsidR="00D16D78">
        <w:rPr>
          <w:rFonts w:hint="eastAsia"/>
          <w:lang w:val="en-US" w:eastAsia="zh-CN"/>
        </w:rPr>
        <w:t>”，再下是“</w:t>
      </w:r>
      <w:r w:rsidR="00D16D78" w:rsidRPr="00115EF5">
        <w:rPr>
          <w:lang w:val="en-US" w:eastAsia="zh-CN"/>
        </w:rPr>
        <w:t>Registry</w:t>
      </w:r>
      <w:r w:rsidR="00D16D78">
        <w:rPr>
          <w:rFonts w:hint="eastAsia"/>
          <w:lang w:val="en-US" w:eastAsia="zh-CN"/>
        </w:rPr>
        <w:t>”（登记）一词。该登记标志的格式由国际电联秘书长与签署方的代表</w:t>
      </w:r>
      <w:r w:rsidR="00820F77">
        <w:rPr>
          <w:rFonts w:hint="eastAsia"/>
          <w:lang w:val="en-US" w:eastAsia="zh-CN"/>
        </w:rPr>
        <w:t>协商后确定（见图</w:t>
      </w:r>
      <w:r w:rsidR="00820F77">
        <w:rPr>
          <w:rFonts w:hint="eastAsia"/>
          <w:lang w:val="en-US" w:eastAsia="zh-CN"/>
        </w:rPr>
        <w:t>1</w:t>
      </w:r>
      <w:r w:rsidR="00820F77">
        <w:rPr>
          <w:rFonts w:hint="eastAsia"/>
          <w:lang w:val="en-US" w:eastAsia="zh-CN"/>
        </w:rPr>
        <w:t>）。国际电联根据《巴黎公约》保护国际电联的英文缩写“</w:t>
      </w:r>
      <w:r w:rsidR="00820F77">
        <w:rPr>
          <w:rFonts w:hint="eastAsia"/>
          <w:lang w:val="en-US" w:eastAsia="zh-CN"/>
        </w:rPr>
        <w:t>ITU</w:t>
      </w:r>
      <w:r w:rsidR="00820F77">
        <w:rPr>
          <w:rFonts w:hint="eastAsia"/>
          <w:lang w:val="en-US" w:eastAsia="zh-CN"/>
        </w:rPr>
        <w:t>”，因此必须授权该缩写可用于</w:t>
      </w:r>
      <w:r w:rsidR="00820F77" w:rsidRPr="00115EF5">
        <w:rPr>
          <w:lang w:val="en-US" w:eastAsia="zh-CN"/>
        </w:rPr>
        <w:t>GMPCS-MoU</w:t>
      </w:r>
      <w:r w:rsidR="00820F77">
        <w:rPr>
          <w:rFonts w:hint="eastAsia"/>
          <w:lang w:val="en-US" w:eastAsia="zh-CN"/>
        </w:rPr>
        <w:t>标志。</w:t>
      </w:r>
      <w:r w:rsidR="00A23B71">
        <w:rPr>
          <w:rFonts w:hint="eastAsia"/>
          <w:lang w:val="en-US" w:eastAsia="zh-CN"/>
        </w:rPr>
        <w:t>起草并执行相关协议，以确保运营商和制造商了解并同意国际电联授权使用其缩写应遵守的条件和条款。这些协议包括相关各方的权利、义务、</w:t>
      </w:r>
      <w:r w:rsidR="005D75C2">
        <w:rPr>
          <w:rFonts w:hint="eastAsia"/>
          <w:lang w:val="en-US" w:eastAsia="zh-CN"/>
        </w:rPr>
        <w:t>责任、职责以及争端解决机制。</w:t>
      </w:r>
    </w:p>
    <w:p w:rsidR="00DA1986" w:rsidRDefault="00DA1986" w:rsidP="00E61523">
      <w:pPr>
        <w:spacing w:before="0"/>
        <w:jc w:val="center"/>
        <w:rPr>
          <w:lang w:val="en-US" w:eastAsia="zh-CN"/>
        </w:rPr>
      </w:pPr>
      <w:bookmarkStart w:id="12" w:name="_Ref224114297"/>
    </w:p>
    <w:p w:rsidR="00D10D35" w:rsidRPr="00FB5951" w:rsidRDefault="00E61523" w:rsidP="006217DA">
      <w:pPr>
        <w:pStyle w:val="FigureNotitle"/>
        <w:rPr>
          <w:lang w:eastAsia="zh-CN"/>
        </w:rPr>
      </w:pPr>
      <w:r>
        <w:rPr>
          <w:rFonts w:hint="eastAsia"/>
          <w:lang w:val="en-US" w:eastAsia="zh-CN"/>
        </w:rPr>
        <w:t>图</w:t>
      </w:r>
      <w:r w:rsidR="00D10D35" w:rsidRPr="00FB5951">
        <w:fldChar w:fldCharType="begin"/>
      </w:r>
      <w:r w:rsidR="00D10D35" w:rsidRPr="00FB5951">
        <w:rPr>
          <w:lang w:eastAsia="zh-CN"/>
        </w:rPr>
        <w:instrText xml:space="preserve"> SEQ Figure \* ARABIC </w:instrText>
      </w:r>
      <w:r w:rsidR="00D10D35" w:rsidRPr="00FB5951">
        <w:fldChar w:fldCharType="separate"/>
      </w:r>
      <w:r w:rsidR="00755A3F">
        <w:rPr>
          <w:noProof/>
          <w:lang w:eastAsia="zh-CN"/>
        </w:rPr>
        <w:t>1</w:t>
      </w:r>
      <w:r w:rsidR="00D10D35" w:rsidRPr="00FB5951">
        <w:fldChar w:fldCharType="end"/>
      </w:r>
      <w:bookmarkEnd w:id="12"/>
      <w:r w:rsidR="006217DA">
        <w:rPr>
          <w:lang w:eastAsia="zh-CN"/>
        </w:rPr>
        <w:br/>
      </w:r>
      <w:r w:rsidR="00D10D35" w:rsidRPr="00FB5951">
        <w:rPr>
          <w:lang w:eastAsia="zh-CN"/>
        </w:rPr>
        <w:t>GMPCS-MoU</w:t>
      </w:r>
      <w:r>
        <w:rPr>
          <w:rFonts w:hint="eastAsia"/>
          <w:lang w:eastAsia="zh-CN"/>
        </w:rPr>
        <w:t>标志</w:t>
      </w:r>
    </w:p>
    <w:p w:rsidR="00D10D35" w:rsidRPr="00FF4AB9" w:rsidRDefault="00D10D35" w:rsidP="00D10D35">
      <w:pPr>
        <w:spacing w:before="0"/>
        <w:rPr>
          <w:lang w:eastAsia="zh-CN"/>
        </w:rPr>
      </w:pPr>
    </w:p>
    <w:p w:rsidR="00D10D35" w:rsidRPr="00183D13" w:rsidRDefault="00D10D35" w:rsidP="00D10D35">
      <w:pPr>
        <w:jc w:val="center"/>
        <w:rPr>
          <w:lang w:val="en-US" w:eastAsia="zh-CN"/>
        </w:rPr>
      </w:pPr>
      <w:r w:rsidRPr="00183D13">
        <w:rPr>
          <w:noProof/>
          <w:lang w:eastAsia="zh-CN"/>
        </w:rPr>
        <w:drawing>
          <wp:inline distT="0" distB="0" distL="0" distR="0" wp14:anchorId="16C66B30" wp14:editId="550AC88F">
            <wp:extent cx="2811780" cy="242672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3682" cy="2428368"/>
                    </a:xfrm>
                    <a:prstGeom prst="rect">
                      <a:avLst/>
                    </a:prstGeom>
                    <a:noFill/>
                    <a:ln>
                      <a:noFill/>
                    </a:ln>
                  </pic:spPr>
                </pic:pic>
              </a:graphicData>
            </a:graphic>
          </wp:inline>
        </w:drawing>
      </w:r>
    </w:p>
    <w:p w:rsidR="00D10D35" w:rsidRPr="00097B73" w:rsidRDefault="00D10D35" w:rsidP="00E61523">
      <w:pPr>
        <w:pStyle w:val="Heading1"/>
        <w:rPr>
          <w:lang w:eastAsia="zh-CN"/>
        </w:rPr>
      </w:pPr>
      <w:r w:rsidRPr="00097B73">
        <w:rPr>
          <w:lang w:eastAsia="zh-CN"/>
        </w:rPr>
        <w:t>6</w:t>
      </w:r>
      <w:r w:rsidRPr="00097B73">
        <w:rPr>
          <w:lang w:eastAsia="zh-CN"/>
        </w:rPr>
        <w:tab/>
        <w:t>GMPCS MoU</w:t>
      </w:r>
      <w:r w:rsidR="00E61523">
        <w:rPr>
          <w:rFonts w:hint="eastAsia"/>
          <w:lang w:eastAsia="zh-CN"/>
        </w:rPr>
        <w:t>项目的管理</w:t>
      </w:r>
    </w:p>
    <w:p w:rsidR="00D10D35" w:rsidRDefault="00D10D35" w:rsidP="006217DA">
      <w:pPr>
        <w:ind w:firstLineChars="200" w:firstLine="480"/>
        <w:rPr>
          <w:lang w:val="en-US" w:eastAsia="zh-CN"/>
        </w:rPr>
      </w:pPr>
      <w:r>
        <w:rPr>
          <w:lang w:val="en-US" w:eastAsia="zh-CN"/>
        </w:rPr>
        <w:t>2011</w:t>
      </w:r>
      <w:r w:rsidR="00E61523">
        <w:rPr>
          <w:rFonts w:hint="eastAsia"/>
          <w:lang w:val="en-US" w:eastAsia="zh-CN"/>
        </w:rPr>
        <w:t>年</w:t>
      </w:r>
      <w:r w:rsidR="00E61523">
        <w:rPr>
          <w:rFonts w:hint="eastAsia"/>
          <w:lang w:val="en-US" w:eastAsia="zh-CN"/>
        </w:rPr>
        <w:t>5</w:t>
      </w:r>
      <w:r w:rsidR="00E61523">
        <w:rPr>
          <w:rFonts w:hint="eastAsia"/>
          <w:lang w:val="en-US" w:eastAsia="zh-CN"/>
        </w:rPr>
        <w:t>月，前</w:t>
      </w:r>
      <w:r w:rsidR="006217DA">
        <w:rPr>
          <w:rFonts w:hint="eastAsia"/>
          <w:lang w:val="en-US" w:eastAsia="zh-CN"/>
        </w:rPr>
        <w:t>任</w:t>
      </w:r>
      <w:r w:rsidR="00E61523">
        <w:rPr>
          <w:rFonts w:hint="eastAsia"/>
          <w:lang w:val="en-US" w:eastAsia="zh-CN"/>
        </w:rPr>
        <w:t>秘书长要求法律事务处</w:t>
      </w:r>
      <w:r w:rsidR="002B7B6E">
        <w:rPr>
          <w:rFonts w:hint="eastAsia"/>
          <w:lang w:val="en-US" w:eastAsia="zh-CN"/>
        </w:rPr>
        <w:t>从战略规划和成员部接手管理</w:t>
      </w:r>
      <w:r w:rsidR="002B7B6E" w:rsidRPr="00B22A04">
        <w:rPr>
          <w:lang w:val="en-US" w:eastAsia="zh-CN"/>
        </w:rPr>
        <w:t>GMPCS MoU</w:t>
      </w:r>
      <w:r w:rsidR="002B7B6E">
        <w:rPr>
          <w:rFonts w:hint="eastAsia"/>
          <w:lang w:val="en-US" w:eastAsia="zh-CN"/>
        </w:rPr>
        <w:t>项目的职责。</w:t>
      </w:r>
    </w:p>
    <w:p w:rsidR="00D10D35" w:rsidRPr="00FF4AB9" w:rsidRDefault="002B7B6E" w:rsidP="006217DA">
      <w:pPr>
        <w:ind w:firstLineChars="200" w:firstLine="480"/>
        <w:rPr>
          <w:lang w:val="en-US" w:eastAsia="zh-CN"/>
        </w:rPr>
      </w:pPr>
      <w:r>
        <w:rPr>
          <w:rFonts w:hint="eastAsia"/>
          <w:lang w:val="en-US" w:eastAsia="zh-CN"/>
        </w:rPr>
        <w:t>近期，法律事务处注意到涉及到要求登记</w:t>
      </w:r>
      <w:r w:rsidRPr="00FF4AB9">
        <w:rPr>
          <w:lang w:val="en-US" w:eastAsia="zh-CN"/>
        </w:rPr>
        <w:t>GMPCS</w:t>
      </w:r>
      <w:r>
        <w:rPr>
          <w:rFonts w:hint="eastAsia"/>
          <w:lang w:val="en-US" w:eastAsia="zh-CN"/>
        </w:rPr>
        <w:t>终端及实施</w:t>
      </w:r>
      <w:r w:rsidRPr="00FF4AB9">
        <w:rPr>
          <w:lang w:val="en-US" w:eastAsia="zh-CN"/>
        </w:rPr>
        <w:t>GMPCS-MoU</w:t>
      </w:r>
      <w:r>
        <w:rPr>
          <w:rFonts w:hint="eastAsia"/>
          <w:lang w:val="en-US" w:eastAsia="zh-CN"/>
        </w:rPr>
        <w:t>的技术问题</w:t>
      </w:r>
      <w:r>
        <w:rPr>
          <w:rFonts w:hint="eastAsia"/>
          <w:lang w:val="en-US" w:eastAsia="zh-CN"/>
        </w:rPr>
        <w:t>/</w:t>
      </w:r>
      <w:r>
        <w:rPr>
          <w:rFonts w:hint="eastAsia"/>
          <w:lang w:val="en-US" w:eastAsia="zh-CN"/>
        </w:rPr>
        <w:t>事宜的数量不断增加，这意味</w:t>
      </w:r>
      <w:r w:rsidR="008274E9">
        <w:rPr>
          <w:rFonts w:hint="eastAsia"/>
          <w:lang w:val="en-US" w:eastAsia="zh-CN"/>
        </w:rPr>
        <w:t>需要更多地与无线电通信局研究组部进行技术磋商，以妥善处理上述要求。此外，卫星终端</w:t>
      </w:r>
      <w:r w:rsidR="008274E9">
        <w:rPr>
          <w:rFonts w:hint="eastAsia"/>
          <w:lang w:val="en-US" w:eastAsia="zh-CN"/>
        </w:rPr>
        <w:t>/</w:t>
      </w:r>
      <w:r w:rsidR="008274E9">
        <w:rPr>
          <w:rFonts w:hint="eastAsia"/>
          <w:lang w:val="en-US" w:eastAsia="zh-CN"/>
        </w:rPr>
        <w:t>系统近期的技术发展</w:t>
      </w:r>
      <w:r w:rsidR="008274E9">
        <w:rPr>
          <w:rFonts w:hint="eastAsia"/>
          <w:lang w:val="en-US" w:eastAsia="zh-CN"/>
        </w:rPr>
        <w:t>/</w:t>
      </w:r>
      <w:r w:rsidR="008274E9">
        <w:rPr>
          <w:rFonts w:hint="eastAsia"/>
          <w:lang w:val="en-US" w:eastAsia="zh-CN"/>
        </w:rPr>
        <w:t>新兴技术对</w:t>
      </w:r>
      <w:r w:rsidR="008274E9" w:rsidRPr="00FF4AB9">
        <w:rPr>
          <w:lang w:val="en-US" w:eastAsia="zh-CN"/>
        </w:rPr>
        <w:t>GMPCS</w:t>
      </w:r>
      <w:r w:rsidR="008274E9">
        <w:rPr>
          <w:rFonts w:hint="eastAsia"/>
          <w:lang w:val="en-US" w:eastAsia="zh-CN"/>
        </w:rPr>
        <w:t>项目的范围及未来</w:t>
      </w:r>
      <w:r w:rsidR="008274E9">
        <w:rPr>
          <w:rFonts w:hint="eastAsia"/>
          <w:lang w:val="en-US" w:eastAsia="zh-CN"/>
        </w:rPr>
        <w:t>/</w:t>
      </w:r>
      <w:r w:rsidR="008274E9">
        <w:rPr>
          <w:rFonts w:hint="eastAsia"/>
          <w:lang w:val="en-US" w:eastAsia="zh-CN"/>
        </w:rPr>
        <w:t>全球管理产生了影响，其初始范围</w:t>
      </w:r>
      <w:r w:rsidR="008274E9">
        <w:rPr>
          <w:rFonts w:hint="eastAsia"/>
          <w:lang w:val="en-US" w:eastAsia="zh-CN"/>
        </w:rPr>
        <w:t>/</w:t>
      </w:r>
      <w:r w:rsidR="008274E9">
        <w:rPr>
          <w:rFonts w:hint="eastAsia"/>
          <w:lang w:val="en-US" w:eastAsia="zh-CN"/>
        </w:rPr>
        <w:t>适用领域可能扩展，涵盖到其他卫星系统和操作条件。</w:t>
      </w:r>
      <w:r w:rsidR="00D10D35" w:rsidRPr="00FF4AB9">
        <w:rPr>
          <w:lang w:val="en-US" w:eastAsia="zh-CN"/>
        </w:rPr>
        <w:t xml:space="preserve"> </w:t>
      </w:r>
    </w:p>
    <w:p w:rsidR="00D10D35" w:rsidRPr="00FF4AB9" w:rsidRDefault="00612F64" w:rsidP="006217DA">
      <w:pPr>
        <w:ind w:firstLineChars="200" w:firstLine="480"/>
        <w:rPr>
          <w:lang w:val="en-US" w:eastAsia="zh-CN"/>
        </w:rPr>
      </w:pPr>
      <w:r>
        <w:rPr>
          <w:rFonts w:hint="eastAsia"/>
          <w:lang w:val="en-US" w:eastAsia="zh-CN"/>
        </w:rPr>
        <w:t>鉴于</w:t>
      </w:r>
      <w:r w:rsidR="008274E9">
        <w:rPr>
          <w:rFonts w:hint="eastAsia"/>
          <w:lang w:val="en-US" w:eastAsia="zh-CN"/>
        </w:rPr>
        <w:t>上述</w:t>
      </w:r>
      <w:r>
        <w:rPr>
          <w:rFonts w:hint="eastAsia"/>
          <w:lang w:val="en-US" w:eastAsia="zh-CN"/>
        </w:rPr>
        <w:t>情况</w:t>
      </w:r>
      <w:r w:rsidR="008274E9">
        <w:rPr>
          <w:rFonts w:hint="eastAsia"/>
          <w:lang w:val="en-US" w:eastAsia="zh-CN"/>
        </w:rPr>
        <w:t>，</w:t>
      </w:r>
      <w:r w:rsidR="00D10D35" w:rsidRPr="00FF4AB9">
        <w:rPr>
          <w:lang w:val="en-US" w:eastAsia="zh-CN"/>
        </w:rPr>
        <w:t xml:space="preserve">GMPCS </w:t>
      </w:r>
      <w:r w:rsidR="00D10D35" w:rsidRPr="00150E5F">
        <w:rPr>
          <w:lang w:val="en-US" w:eastAsia="zh-CN"/>
        </w:rPr>
        <w:t>MoU</w:t>
      </w:r>
      <w:r w:rsidR="008274E9">
        <w:rPr>
          <w:rFonts w:hint="eastAsia"/>
          <w:lang w:val="en-US" w:eastAsia="zh-CN"/>
        </w:rPr>
        <w:t>项目的管理</w:t>
      </w:r>
      <w:r>
        <w:rPr>
          <w:rFonts w:hint="eastAsia"/>
          <w:lang w:val="en-US" w:eastAsia="zh-CN"/>
        </w:rPr>
        <w:t>职责移交给无线电通信局研究组部。法律事务处仍负责提供法律建议。信息服务部和财务资源管理部继续分别提供相关软件</w:t>
      </w:r>
      <w:r>
        <w:rPr>
          <w:rFonts w:hint="eastAsia"/>
          <w:lang w:val="en-US" w:eastAsia="zh-CN"/>
        </w:rPr>
        <w:t>/</w:t>
      </w:r>
      <w:r>
        <w:rPr>
          <w:rFonts w:hint="eastAsia"/>
          <w:lang w:val="en-US" w:eastAsia="zh-CN"/>
        </w:rPr>
        <w:t>数据库及财务支持功能。</w:t>
      </w:r>
    </w:p>
    <w:p w:rsidR="00D10D35" w:rsidRPr="005E256F" w:rsidRDefault="00612F64" w:rsidP="006217DA">
      <w:pPr>
        <w:ind w:firstLineChars="200" w:firstLine="480"/>
        <w:rPr>
          <w:lang w:eastAsia="zh-CN"/>
        </w:rPr>
      </w:pPr>
      <w:r>
        <w:rPr>
          <w:rFonts w:hint="eastAsia"/>
          <w:lang w:eastAsia="zh-CN"/>
        </w:rPr>
        <w:lastRenderedPageBreak/>
        <w:t>登记新终端类型的步骤述于</w:t>
      </w:r>
      <w:r>
        <w:rPr>
          <w:rFonts w:hint="eastAsia"/>
          <w:lang w:eastAsia="zh-CN"/>
        </w:rPr>
        <w:t>2003</w:t>
      </w:r>
      <w:r>
        <w:rPr>
          <w:rFonts w:hint="eastAsia"/>
          <w:lang w:eastAsia="zh-CN"/>
        </w:rPr>
        <w:t>年</w:t>
      </w:r>
      <w:r>
        <w:rPr>
          <w:rFonts w:hint="eastAsia"/>
          <w:lang w:eastAsia="zh-CN"/>
        </w:rPr>
        <w:t>6</w:t>
      </w:r>
      <w:r>
        <w:rPr>
          <w:rFonts w:hint="eastAsia"/>
          <w:lang w:eastAsia="zh-CN"/>
        </w:rPr>
        <w:t>月</w:t>
      </w:r>
      <w:r>
        <w:rPr>
          <w:rFonts w:hint="eastAsia"/>
          <w:lang w:eastAsia="zh-CN"/>
        </w:rPr>
        <w:t>7</w:t>
      </w:r>
      <w:r>
        <w:rPr>
          <w:rFonts w:hint="eastAsia"/>
          <w:lang w:eastAsia="zh-CN"/>
        </w:rPr>
        <w:t>日“</w:t>
      </w:r>
      <w:hyperlink r:id="rId20" w:history="1">
        <w:r>
          <w:rPr>
            <w:rStyle w:val="Hyperlink"/>
            <w:lang w:eastAsia="zh-CN"/>
          </w:rPr>
          <w:t>为促进全球个人卫星移动通信（</w:t>
        </w:r>
        <w:r>
          <w:rPr>
            <w:rStyle w:val="Hyperlink"/>
            <w:lang w:eastAsia="zh-CN"/>
          </w:rPr>
          <w:t>GMPCS</w:t>
        </w:r>
        <w:r>
          <w:rPr>
            <w:rStyle w:val="Hyperlink"/>
            <w:lang w:eastAsia="zh-CN"/>
          </w:rPr>
          <w:t>）的引入和发展而根据</w:t>
        </w:r>
        <w:r>
          <w:rPr>
            <w:rStyle w:val="Hyperlink"/>
            <w:lang w:eastAsia="zh-CN"/>
          </w:rPr>
          <w:t>CMPCS-MoU</w:t>
        </w:r>
        <w:r>
          <w:rPr>
            <w:rStyle w:val="Hyperlink"/>
            <w:lang w:eastAsia="zh-CN"/>
          </w:rPr>
          <w:t>制定的安排以及安排的通知和实施程序</w:t>
        </w:r>
      </w:hyperlink>
      <w:r>
        <w:rPr>
          <w:rFonts w:hint="eastAsia"/>
          <w:lang w:eastAsia="zh-CN"/>
        </w:rPr>
        <w:t>”（</w:t>
      </w:r>
      <w:r w:rsidR="00DA1986">
        <w:rPr>
          <w:rFonts w:hint="eastAsia"/>
          <w:lang w:eastAsia="zh-CN"/>
        </w:rPr>
        <w:t>《</w:t>
      </w:r>
      <w:r>
        <w:rPr>
          <w:rFonts w:hint="eastAsia"/>
          <w:lang w:eastAsia="zh-CN"/>
        </w:rPr>
        <w:t>安排和程序</w:t>
      </w:r>
      <w:r w:rsidR="00DA1986">
        <w:rPr>
          <w:rFonts w:hint="eastAsia"/>
          <w:lang w:eastAsia="zh-CN"/>
        </w:rPr>
        <w:t>》</w:t>
      </w:r>
      <w:r>
        <w:rPr>
          <w:rFonts w:hint="eastAsia"/>
          <w:lang w:eastAsia="zh-CN"/>
        </w:rPr>
        <w:t>）第</w:t>
      </w:r>
      <w:r>
        <w:rPr>
          <w:rFonts w:hint="eastAsia"/>
          <w:lang w:eastAsia="zh-CN"/>
        </w:rPr>
        <w:t>2</w:t>
      </w:r>
      <w:r>
        <w:rPr>
          <w:rFonts w:hint="eastAsia"/>
          <w:lang w:eastAsia="zh-CN"/>
        </w:rPr>
        <w:t>章第</w:t>
      </w:r>
      <w:r>
        <w:rPr>
          <w:rFonts w:hint="eastAsia"/>
          <w:lang w:eastAsia="zh-CN"/>
        </w:rPr>
        <w:t>I</w:t>
      </w:r>
      <w:r>
        <w:rPr>
          <w:rFonts w:hint="eastAsia"/>
          <w:lang w:eastAsia="zh-CN"/>
        </w:rPr>
        <w:t>节第</w:t>
      </w:r>
      <w:r>
        <w:rPr>
          <w:rFonts w:hint="eastAsia"/>
          <w:lang w:eastAsia="zh-CN"/>
        </w:rPr>
        <w:t>8</w:t>
      </w:r>
      <w:r>
        <w:rPr>
          <w:rFonts w:hint="eastAsia"/>
          <w:lang w:eastAsia="zh-CN"/>
        </w:rPr>
        <w:t>段中。</w:t>
      </w:r>
    </w:p>
    <w:p w:rsidR="00D10D35" w:rsidRPr="005E256F" w:rsidRDefault="00612F64" w:rsidP="006217DA">
      <w:pPr>
        <w:ind w:firstLineChars="200" w:firstLine="480"/>
        <w:rPr>
          <w:lang w:eastAsia="zh-CN"/>
        </w:rPr>
      </w:pPr>
      <w:r>
        <w:rPr>
          <w:rFonts w:hint="eastAsia"/>
          <w:lang w:eastAsia="zh-CN"/>
        </w:rPr>
        <w:t>秘书长接收以下类型的实施函：</w:t>
      </w:r>
      <w:r w:rsidR="00D10D35" w:rsidRPr="005E256F">
        <w:rPr>
          <w:lang w:eastAsia="zh-CN"/>
        </w:rPr>
        <w:t xml:space="preserve"> </w:t>
      </w:r>
    </w:p>
    <w:p w:rsidR="00D10D35" w:rsidRPr="005E256F" w:rsidRDefault="00B40C3A" w:rsidP="00B40C3A">
      <w:pPr>
        <w:pStyle w:val="enumlev1"/>
        <w:rPr>
          <w:lang w:eastAsia="zh-CN"/>
        </w:rPr>
      </w:pPr>
      <w:r w:rsidRPr="00B40C3A">
        <w:rPr>
          <w:lang w:val="en-US" w:eastAsia="zh-CN"/>
        </w:rPr>
        <w:t>•</w:t>
      </w:r>
      <w:r>
        <w:rPr>
          <w:lang w:val="en-US" w:eastAsia="zh-CN"/>
        </w:rPr>
        <w:tab/>
      </w:r>
      <w:r w:rsidR="00D10D35" w:rsidRPr="005E256F">
        <w:rPr>
          <w:lang w:val="en-US" w:eastAsia="zh-CN"/>
        </w:rPr>
        <w:t>GMPCS</w:t>
      </w:r>
      <w:r w:rsidR="00612F64">
        <w:rPr>
          <w:rFonts w:hint="eastAsia"/>
          <w:lang w:val="en-US" w:eastAsia="zh-CN"/>
        </w:rPr>
        <w:t>系统操作者的函；</w:t>
      </w:r>
    </w:p>
    <w:p w:rsidR="00D10D35" w:rsidRPr="005E256F" w:rsidRDefault="00B40C3A" w:rsidP="00B40C3A">
      <w:pPr>
        <w:pStyle w:val="enumlev1"/>
        <w:rPr>
          <w:lang w:eastAsia="zh-CN"/>
        </w:rPr>
      </w:pPr>
      <w:r w:rsidRPr="00B40C3A">
        <w:rPr>
          <w:lang w:val="en-US" w:eastAsia="zh-CN"/>
        </w:rPr>
        <w:t>•</w:t>
      </w:r>
      <w:r>
        <w:rPr>
          <w:lang w:val="en-US" w:eastAsia="zh-CN"/>
        </w:rPr>
        <w:tab/>
      </w:r>
      <w:r w:rsidR="00D10D35" w:rsidRPr="005E256F">
        <w:rPr>
          <w:lang w:val="en-US" w:eastAsia="zh-CN"/>
        </w:rPr>
        <w:t>GMPCS</w:t>
      </w:r>
      <w:r w:rsidR="00612F64">
        <w:rPr>
          <w:rFonts w:hint="eastAsia"/>
          <w:lang w:val="en-US" w:eastAsia="zh-CN"/>
        </w:rPr>
        <w:t>终端制造商的函；</w:t>
      </w:r>
    </w:p>
    <w:p w:rsidR="00D10D35" w:rsidRPr="005E256F" w:rsidRDefault="00B40C3A" w:rsidP="00B40C3A">
      <w:pPr>
        <w:pStyle w:val="enumlev1"/>
        <w:rPr>
          <w:lang w:eastAsia="zh-CN"/>
        </w:rPr>
      </w:pPr>
      <w:r w:rsidRPr="00B40C3A">
        <w:rPr>
          <w:lang w:val="en-US" w:eastAsia="zh-CN"/>
        </w:rPr>
        <w:t>•</w:t>
      </w:r>
      <w:r>
        <w:rPr>
          <w:lang w:val="en-US" w:eastAsia="zh-CN"/>
        </w:rPr>
        <w:tab/>
      </w:r>
      <w:r w:rsidR="00612F64">
        <w:rPr>
          <w:rFonts w:hint="eastAsia"/>
          <w:lang w:val="en-US" w:eastAsia="zh-CN"/>
        </w:rPr>
        <w:t>型号核准主管部门的函。</w:t>
      </w:r>
    </w:p>
    <w:p w:rsidR="00D10D35" w:rsidRDefault="00DA1986" w:rsidP="00B40C3A">
      <w:pPr>
        <w:ind w:firstLineChars="200" w:firstLine="480"/>
        <w:rPr>
          <w:lang w:val="en-US" w:eastAsia="zh-CN"/>
        </w:rPr>
      </w:pPr>
      <w:r>
        <w:rPr>
          <w:rFonts w:hint="eastAsia"/>
          <w:lang w:eastAsia="zh-CN"/>
        </w:rPr>
        <w:t>在分析并确认已正确实施相关程序后，国际电联秘书长发出确认收悉函，告知</w:t>
      </w:r>
      <w:r w:rsidR="00D10D35" w:rsidRPr="005E256F">
        <w:rPr>
          <w:lang w:val="en-US" w:eastAsia="zh-CN"/>
        </w:rPr>
        <w:t>GMPCS</w:t>
      </w:r>
      <w:r>
        <w:rPr>
          <w:rFonts w:hint="eastAsia"/>
          <w:lang w:val="en-US" w:eastAsia="zh-CN"/>
        </w:rPr>
        <w:t>终端制造商所有要求的函均已收悉，制造商可在终端上粘贴</w:t>
      </w:r>
      <w:r w:rsidR="00D10D35" w:rsidRPr="005E256F">
        <w:rPr>
          <w:lang w:val="en-US" w:eastAsia="zh-CN"/>
        </w:rPr>
        <w:t>GMPCS-MoU</w:t>
      </w:r>
      <w:r>
        <w:rPr>
          <w:rFonts w:hint="eastAsia"/>
          <w:lang w:val="en-US" w:eastAsia="zh-CN"/>
        </w:rPr>
        <w:t>标志。</w:t>
      </w:r>
    </w:p>
    <w:p w:rsidR="00D10D35" w:rsidRDefault="00DA1986" w:rsidP="00B40C3A">
      <w:pPr>
        <w:ind w:firstLineChars="200" w:firstLine="480"/>
        <w:rPr>
          <w:lang w:val="en-US" w:eastAsia="zh-CN"/>
        </w:rPr>
      </w:pPr>
      <w:r>
        <w:rPr>
          <w:rFonts w:hint="eastAsia"/>
          <w:lang w:val="en-US" w:eastAsia="zh-CN"/>
        </w:rPr>
        <w:t>根据《安排和程序》，当</w:t>
      </w:r>
      <w:r w:rsidR="00D10D35" w:rsidRPr="00177642">
        <w:rPr>
          <w:lang w:val="en-US" w:eastAsia="zh-CN"/>
        </w:rPr>
        <w:t>GMPCS</w:t>
      </w:r>
      <w:r>
        <w:rPr>
          <w:rFonts w:hint="eastAsia"/>
          <w:lang w:val="en-US" w:eastAsia="zh-CN"/>
        </w:rPr>
        <w:t>终端制造商首次向国际电联通知新的终端时，它需要签署并向国际电联秘书长发送以下文件：</w:t>
      </w:r>
    </w:p>
    <w:p w:rsidR="00D10D35" w:rsidRPr="0085635C" w:rsidRDefault="00B40C3A" w:rsidP="00B40C3A">
      <w:pPr>
        <w:pStyle w:val="enumlev1"/>
        <w:rPr>
          <w:lang w:val="en-US" w:eastAsia="zh-CN"/>
        </w:rPr>
      </w:pPr>
      <w:r>
        <w:rPr>
          <w:lang w:eastAsia="zh-CN"/>
        </w:rPr>
        <w:t>•</w:t>
      </w:r>
      <w:r>
        <w:rPr>
          <w:lang w:eastAsia="zh-CN"/>
        </w:rPr>
        <w:tab/>
      </w:r>
      <w:r w:rsidR="00D10D35" w:rsidRPr="00177642">
        <w:rPr>
          <w:lang w:eastAsia="zh-CN"/>
        </w:rPr>
        <w:t>GMPCS-MoU</w:t>
      </w:r>
      <w:r w:rsidR="00DA1986">
        <w:rPr>
          <w:rFonts w:hint="eastAsia"/>
          <w:lang w:eastAsia="zh-CN"/>
        </w:rPr>
        <w:t>；</w:t>
      </w:r>
    </w:p>
    <w:p w:rsidR="00D10D35" w:rsidRPr="00E11B2A" w:rsidRDefault="00B40C3A" w:rsidP="00B40C3A">
      <w:pPr>
        <w:pStyle w:val="enumlev1"/>
        <w:rPr>
          <w:lang w:val="en-US" w:eastAsia="zh-CN"/>
        </w:rPr>
      </w:pPr>
      <w:r w:rsidRPr="00B40C3A">
        <w:rPr>
          <w:lang w:val="en-US" w:eastAsia="zh-CN"/>
        </w:rPr>
        <w:t>•</w:t>
      </w:r>
      <w:r>
        <w:rPr>
          <w:lang w:val="en-US" w:eastAsia="zh-CN"/>
        </w:rPr>
        <w:tab/>
      </w:r>
      <w:r w:rsidR="00DA1986">
        <w:rPr>
          <w:rFonts w:hint="eastAsia"/>
          <w:lang w:val="en-US" w:eastAsia="zh-CN"/>
        </w:rPr>
        <w:t>以上第</w:t>
      </w:r>
      <w:r w:rsidR="00DA1986">
        <w:rPr>
          <w:rFonts w:hint="eastAsia"/>
          <w:lang w:val="en-US" w:eastAsia="zh-CN"/>
        </w:rPr>
        <w:t>5</w:t>
      </w:r>
      <w:r w:rsidR="00DA1986">
        <w:rPr>
          <w:rFonts w:hint="eastAsia"/>
          <w:lang w:val="en-US" w:eastAsia="zh-CN"/>
        </w:rPr>
        <w:t>部分所述的、授权</w:t>
      </w:r>
      <w:r w:rsidR="00DA1986" w:rsidRPr="00E11B2A">
        <w:rPr>
          <w:lang w:val="en-US" w:eastAsia="zh-CN"/>
        </w:rPr>
        <w:t>GMPCS</w:t>
      </w:r>
      <w:r w:rsidR="00DA1986">
        <w:rPr>
          <w:rFonts w:hint="eastAsia"/>
          <w:lang w:val="en-US" w:eastAsia="zh-CN"/>
        </w:rPr>
        <w:t>终端制造商向已在国际电联登记的终端上粘贴</w:t>
      </w:r>
      <w:r w:rsidR="00DA1986" w:rsidRPr="00E11B2A">
        <w:rPr>
          <w:lang w:eastAsia="zh-CN"/>
        </w:rPr>
        <w:t>GMPCS-MoU</w:t>
      </w:r>
      <w:r w:rsidR="00DA1986">
        <w:rPr>
          <w:rFonts w:hint="eastAsia"/>
          <w:lang w:eastAsia="zh-CN"/>
        </w:rPr>
        <w:t>标志时使用国际电联简称“</w:t>
      </w:r>
      <w:r w:rsidR="00DA1986">
        <w:rPr>
          <w:rFonts w:hint="eastAsia"/>
          <w:lang w:eastAsia="zh-CN"/>
        </w:rPr>
        <w:t>ITU</w:t>
      </w:r>
      <w:r w:rsidR="00DA1986">
        <w:rPr>
          <w:rFonts w:hint="eastAsia"/>
          <w:lang w:eastAsia="zh-CN"/>
        </w:rPr>
        <w:t>”的</w:t>
      </w:r>
      <w:r w:rsidR="00D10D35" w:rsidRPr="00264A69">
        <w:rPr>
          <w:lang w:val="en-US" w:eastAsia="zh-CN"/>
        </w:rPr>
        <w:t>GMPCS</w:t>
      </w:r>
      <w:r w:rsidR="00DA1986">
        <w:rPr>
          <w:rFonts w:hint="eastAsia"/>
          <w:lang w:val="en-US" w:eastAsia="zh-CN"/>
        </w:rPr>
        <w:t>终端制造商授权协议。</w:t>
      </w:r>
    </w:p>
    <w:p w:rsidR="00D10D35" w:rsidRDefault="00DA1986" w:rsidP="00B40C3A">
      <w:pPr>
        <w:ind w:firstLineChars="200" w:firstLine="480"/>
        <w:rPr>
          <w:lang w:val="en-US" w:eastAsia="zh-CN"/>
        </w:rPr>
      </w:pPr>
      <w:r>
        <w:rPr>
          <w:rFonts w:hint="eastAsia"/>
          <w:lang w:eastAsia="zh-CN"/>
        </w:rPr>
        <w:t>国际电联秘书长致函</w:t>
      </w:r>
      <w:r w:rsidR="00D10D35" w:rsidRPr="0047691B">
        <w:rPr>
          <w:bCs/>
          <w:lang w:val="en-US" w:eastAsia="zh-CN"/>
        </w:rPr>
        <w:t>GMPCS</w:t>
      </w:r>
      <w:r>
        <w:rPr>
          <w:rFonts w:hint="eastAsia"/>
          <w:bCs/>
          <w:lang w:val="en-US" w:eastAsia="zh-CN"/>
        </w:rPr>
        <w:t>终端制造商，确认收到已签署的</w:t>
      </w:r>
      <w:r w:rsidRPr="0047691B">
        <w:rPr>
          <w:lang w:val="en-US" w:eastAsia="zh-CN"/>
        </w:rPr>
        <w:t>GMPCS-MoU</w:t>
      </w:r>
      <w:r>
        <w:rPr>
          <w:rFonts w:hint="eastAsia"/>
          <w:lang w:val="en-US" w:eastAsia="zh-CN"/>
        </w:rPr>
        <w:t>的原件并签署</w:t>
      </w:r>
      <w:r w:rsidRPr="00264A69">
        <w:rPr>
          <w:lang w:val="en-US" w:eastAsia="zh-CN"/>
        </w:rPr>
        <w:t>GMPCS</w:t>
      </w:r>
      <w:r>
        <w:rPr>
          <w:rFonts w:hint="eastAsia"/>
          <w:lang w:val="en-US" w:eastAsia="zh-CN"/>
        </w:rPr>
        <w:t>终端制造商授权协议。</w:t>
      </w:r>
    </w:p>
    <w:p w:rsidR="00D10D35" w:rsidRPr="00097B73" w:rsidRDefault="00D10D35" w:rsidP="00DA1986">
      <w:pPr>
        <w:pStyle w:val="Heading1"/>
        <w:rPr>
          <w:lang w:eastAsia="zh-CN"/>
        </w:rPr>
      </w:pPr>
      <w:r w:rsidRPr="00097B73">
        <w:rPr>
          <w:lang w:eastAsia="zh-CN"/>
        </w:rPr>
        <w:t>7</w:t>
      </w:r>
      <w:r w:rsidRPr="00097B73">
        <w:rPr>
          <w:lang w:eastAsia="zh-CN"/>
        </w:rPr>
        <w:tab/>
      </w:r>
      <w:r w:rsidR="00DA1986">
        <w:rPr>
          <w:rFonts w:hint="eastAsia"/>
          <w:lang w:eastAsia="zh-CN"/>
        </w:rPr>
        <w:t>已登记终端的数量</w:t>
      </w:r>
    </w:p>
    <w:p w:rsidR="00D10D35" w:rsidRDefault="00DA1986" w:rsidP="00B40C3A">
      <w:pPr>
        <w:ind w:firstLineChars="200" w:firstLine="480"/>
        <w:rPr>
          <w:szCs w:val="24"/>
          <w:lang w:val="en-US" w:eastAsia="zh-CN"/>
        </w:rPr>
      </w:pPr>
      <w:r>
        <w:rPr>
          <w:rFonts w:hint="eastAsia"/>
          <w:szCs w:val="24"/>
          <w:lang w:val="en-US" w:eastAsia="zh-CN"/>
        </w:rPr>
        <w:t>下表说明了每年在国际电联登记的</w:t>
      </w:r>
      <w:r w:rsidR="00D10D35" w:rsidRPr="00C90F9D">
        <w:rPr>
          <w:szCs w:val="24"/>
          <w:lang w:val="en-US" w:eastAsia="zh-CN"/>
        </w:rPr>
        <w:t>GMPCS</w:t>
      </w:r>
      <w:r>
        <w:rPr>
          <w:rFonts w:hint="eastAsia"/>
          <w:szCs w:val="24"/>
          <w:lang w:val="en-US" w:eastAsia="zh-CN"/>
        </w:rPr>
        <w:t>终端的数量。</w:t>
      </w:r>
    </w:p>
    <w:p w:rsidR="00D10D35" w:rsidRPr="00C90F9D" w:rsidRDefault="00D10D35" w:rsidP="00D10D35">
      <w:pPr>
        <w:rPr>
          <w:szCs w:val="24"/>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1801"/>
      </w:tblGrid>
      <w:tr w:rsidR="00D10D35" w:rsidRPr="00937D97" w:rsidTr="004C495B">
        <w:trPr>
          <w:jc w:val="center"/>
        </w:trPr>
        <w:tc>
          <w:tcPr>
            <w:tcW w:w="2593" w:type="dxa"/>
            <w:shd w:val="clear" w:color="auto" w:fill="auto"/>
            <w:vAlign w:val="center"/>
          </w:tcPr>
          <w:p w:rsidR="00D10D35" w:rsidRPr="00937D97" w:rsidRDefault="004C495B" w:rsidP="00B40C3A">
            <w:pPr>
              <w:pStyle w:val="Tablehead"/>
              <w:rPr>
                <w:lang w:val="en-US"/>
              </w:rPr>
            </w:pPr>
            <w:r>
              <w:rPr>
                <w:rFonts w:hint="eastAsia"/>
                <w:lang w:val="en-US" w:eastAsia="zh-CN"/>
              </w:rPr>
              <w:t>年份</w:t>
            </w:r>
          </w:p>
        </w:tc>
        <w:tc>
          <w:tcPr>
            <w:tcW w:w="1801" w:type="dxa"/>
            <w:shd w:val="clear" w:color="auto" w:fill="auto"/>
            <w:vAlign w:val="center"/>
          </w:tcPr>
          <w:p w:rsidR="00D10D35" w:rsidRPr="00937D97" w:rsidRDefault="004C495B" w:rsidP="00B40C3A">
            <w:pPr>
              <w:pStyle w:val="Tablehead"/>
              <w:rPr>
                <w:lang w:val="en-US" w:eastAsia="zh-CN"/>
              </w:rPr>
            </w:pPr>
            <w:r>
              <w:rPr>
                <w:rFonts w:hint="eastAsia"/>
                <w:lang w:val="en-US" w:eastAsia="zh-CN"/>
              </w:rPr>
              <w:t>终端数量</w:t>
            </w:r>
          </w:p>
        </w:tc>
      </w:tr>
      <w:tr w:rsidR="00D10D35" w:rsidRPr="00937D97" w:rsidTr="004C495B">
        <w:trPr>
          <w:jc w:val="center"/>
        </w:trPr>
        <w:tc>
          <w:tcPr>
            <w:tcW w:w="2593" w:type="dxa"/>
            <w:shd w:val="clear" w:color="auto" w:fill="auto"/>
            <w:vAlign w:val="center"/>
          </w:tcPr>
          <w:p w:rsidR="00D10D35" w:rsidRPr="00937D97" w:rsidRDefault="00D10D35" w:rsidP="004C495B">
            <w:pPr>
              <w:jc w:val="center"/>
              <w:rPr>
                <w:lang w:val="en-US"/>
              </w:rPr>
            </w:pPr>
            <w:r w:rsidRPr="00937D97">
              <w:rPr>
                <w:lang w:val="en-US"/>
              </w:rPr>
              <w:t>2016</w:t>
            </w:r>
          </w:p>
        </w:tc>
        <w:tc>
          <w:tcPr>
            <w:tcW w:w="1801" w:type="dxa"/>
            <w:shd w:val="clear" w:color="auto" w:fill="auto"/>
            <w:vAlign w:val="center"/>
          </w:tcPr>
          <w:p w:rsidR="00D10D35" w:rsidRPr="00937D97" w:rsidRDefault="00D10D35" w:rsidP="004C495B">
            <w:pPr>
              <w:jc w:val="center"/>
              <w:rPr>
                <w:lang w:val="en-US"/>
              </w:rPr>
            </w:pPr>
            <w:r w:rsidRPr="00937D97">
              <w:rPr>
                <w:lang w:val="en-US"/>
              </w:rPr>
              <w:t>2</w:t>
            </w:r>
          </w:p>
        </w:tc>
      </w:tr>
      <w:tr w:rsidR="00D10D35" w:rsidRPr="00937D97" w:rsidTr="004C495B">
        <w:trPr>
          <w:jc w:val="center"/>
        </w:trPr>
        <w:tc>
          <w:tcPr>
            <w:tcW w:w="2593" w:type="dxa"/>
            <w:shd w:val="clear" w:color="auto" w:fill="auto"/>
            <w:vAlign w:val="center"/>
          </w:tcPr>
          <w:p w:rsidR="00D10D35" w:rsidRPr="00937D97" w:rsidRDefault="00D10D35" w:rsidP="004C495B">
            <w:pPr>
              <w:jc w:val="center"/>
              <w:rPr>
                <w:lang w:val="en-US"/>
              </w:rPr>
            </w:pPr>
            <w:r w:rsidRPr="00937D97">
              <w:rPr>
                <w:lang w:val="en-US"/>
              </w:rPr>
              <w:t>2015</w:t>
            </w:r>
          </w:p>
        </w:tc>
        <w:tc>
          <w:tcPr>
            <w:tcW w:w="1801" w:type="dxa"/>
            <w:shd w:val="clear" w:color="auto" w:fill="auto"/>
            <w:vAlign w:val="center"/>
          </w:tcPr>
          <w:p w:rsidR="00D10D35" w:rsidRPr="00937D97" w:rsidRDefault="00D10D35" w:rsidP="004C495B">
            <w:pPr>
              <w:jc w:val="center"/>
              <w:rPr>
                <w:lang w:val="en-US"/>
              </w:rPr>
            </w:pPr>
            <w:r w:rsidRPr="00937D97">
              <w:rPr>
                <w:lang w:val="en-US"/>
              </w:rPr>
              <w:t>4</w:t>
            </w:r>
          </w:p>
        </w:tc>
      </w:tr>
      <w:tr w:rsidR="00D10D35" w:rsidRPr="00937D97" w:rsidTr="004C495B">
        <w:trPr>
          <w:jc w:val="center"/>
        </w:trPr>
        <w:tc>
          <w:tcPr>
            <w:tcW w:w="2593" w:type="dxa"/>
            <w:shd w:val="clear" w:color="auto" w:fill="auto"/>
            <w:vAlign w:val="center"/>
          </w:tcPr>
          <w:p w:rsidR="00D10D35" w:rsidRPr="00937D97" w:rsidRDefault="00D10D35" w:rsidP="004C495B">
            <w:pPr>
              <w:jc w:val="center"/>
              <w:rPr>
                <w:lang w:val="en-US"/>
              </w:rPr>
            </w:pPr>
            <w:r w:rsidRPr="00937D97">
              <w:rPr>
                <w:lang w:val="en-US"/>
              </w:rPr>
              <w:t>2014</w:t>
            </w:r>
          </w:p>
        </w:tc>
        <w:tc>
          <w:tcPr>
            <w:tcW w:w="1801" w:type="dxa"/>
            <w:shd w:val="clear" w:color="auto" w:fill="auto"/>
            <w:vAlign w:val="center"/>
          </w:tcPr>
          <w:p w:rsidR="00D10D35" w:rsidRDefault="00D10D35" w:rsidP="004C495B">
            <w:pPr>
              <w:jc w:val="center"/>
            </w:pPr>
            <w:r w:rsidRPr="00937D97">
              <w:rPr>
                <w:lang w:val="en-US"/>
              </w:rPr>
              <w:t>10</w:t>
            </w:r>
          </w:p>
        </w:tc>
      </w:tr>
      <w:tr w:rsidR="00D10D35" w:rsidRPr="00937D97" w:rsidTr="004C495B">
        <w:trPr>
          <w:jc w:val="center"/>
        </w:trPr>
        <w:tc>
          <w:tcPr>
            <w:tcW w:w="2593" w:type="dxa"/>
            <w:shd w:val="clear" w:color="auto" w:fill="auto"/>
            <w:vAlign w:val="center"/>
          </w:tcPr>
          <w:p w:rsidR="00D10D35" w:rsidRPr="00937D97" w:rsidRDefault="00D10D35" w:rsidP="004C495B">
            <w:pPr>
              <w:jc w:val="center"/>
              <w:rPr>
                <w:lang w:val="en-US"/>
              </w:rPr>
            </w:pPr>
            <w:r w:rsidRPr="00937D97">
              <w:rPr>
                <w:lang w:val="en-US"/>
              </w:rPr>
              <w:t>2013</w:t>
            </w:r>
          </w:p>
        </w:tc>
        <w:tc>
          <w:tcPr>
            <w:tcW w:w="1801" w:type="dxa"/>
            <w:shd w:val="clear" w:color="auto" w:fill="auto"/>
            <w:vAlign w:val="center"/>
          </w:tcPr>
          <w:p w:rsidR="00D10D35" w:rsidRDefault="00D10D35" w:rsidP="004C495B">
            <w:pPr>
              <w:jc w:val="center"/>
            </w:pPr>
            <w:r w:rsidRPr="00937D97">
              <w:rPr>
                <w:lang w:val="en-US"/>
              </w:rPr>
              <w:t>6</w:t>
            </w:r>
          </w:p>
        </w:tc>
      </w:tr>
      <w:tr w:rsidR="00D10D35" w:rsidRPr="00937D97" w:rsidTr="004C495B">
        <w:trPr>
          <w:jc w:val="center"/>
        </w:trPr>
        <w:tc>
          <w:tcPr>
            <w:tcW w:w="2593" w:type="dxa"/>
            <w:shd w:val="clear" w:color="auto" w:fill="auto"/>
            <w:vAlign w:val="center"/>
          </w:tcPr>
          <w:p w:rsidR="00D10D35" w:rsidRPr="00937D97" w:rsidRDefault="00D10D35" w:rsidP="004C495B">
            <w:pPr>
              <w:jc w:val="center"/>
              <w:rPr>
                <w:lang w:val="en-US"/>
              </w:rPr>
            </w:pPr>
            <w:r w:rsidRPr="00937D97">
              <w:rPr>
                <w:lang w:val="en-US"/>
              </w:rPr>
              <w:t>2012</w:t>
            </w:r>
          </w:p>
        </w:tc>
        <w:tc>
          <w:tcPr>
            <w:tcW w:w="1801" w:type="dxa"/>
            <w:shd w:val="clear" w:color="auto" w:fill="auto"/>
            <w:vAlign w:val="center"/>
          </w:tcPr>
          <w:p w:rsidR="00D10D35" w:rsidRDefault="00D10D35" w:rsidP="004C495B">
            <w:pPr>
              <w:jc w:val="center"/>
            </w:pPr>
            <w:r w:rsidRPr="00937D97">
              <w:rPr>
                <w:lang w:val="en-US"/>
              </w:rPr>
              <w:t>2</w:t>
            </w:r>
          </w:p>
        </w:tc>
      </w:tr>
      <w:tr w:rsidR="00D10D35" w:rsidRPr="00937D97" w:rsidTr="004C495B">
        <w:trPr>
          <w:jc w:val="center"/>
        </w:trPr>
        <w:tc>
          <w:tcPr>
            <w:tcW w:w="2593" w:type="dxa"/>
            <w:shd w:val="clear" w:color="auto" w:fill="auto"/>
            <w:vAlign w:val="center"/>
          </w:tcPr>
          <w:p w:rsidR="00D10D35" w:rsidRPr="00937D97" w:rsidRDefault="00D10D35" w:rsidP="004C495B">
            <w:pPr>
              <w:jc w:val="center"/>
              <w:rPr>
                <w:lang w:val="en-US"/>
              </w:rPr>
            </w:pPr>
            <w:r w:rsidRPr="00937D97">
              <w:rPr>
                <w:lang w:val="en-US"/>
              </w:rPr>
              <w:t>2011</w:t>
            </w:r>
          </w:p>
        </w:tc>
        <w:tc>
          <w:tcPr>
            <w:tcW w:w="1801" w:type="dxa"/>
            <w:shd w:val="clear" w:color="auto" w:fill="auto"/>
            <w:vAlign w:val="center"/>
          </w:tcPr>
          <w:p w:rsidR="00D10D35" w:rsidRDefault="00D10D35" w:rsidP="004C495B">
            <w:pPr>
              <w:jc w:val="center"/>
            </w:pPr>
            <w:r w:rsidRPr="00937D97">
              <w:rPr>
                <w:lang w:val="en-US"/>
              </w:rPr>
              <w:t>4</w:t>
            </w:r>
          </w:p>
        </w:tc>
      </w:tr>
      <w:tr w:rsidR="00D10D35" w:rsidRPr="00937D97" w:rsidTr="004C495B">
        <w:trPr>
          <w:jc w:val="center"/>
        </w:trPr>
        <w:tc>
          <w:tcPr>
            <w:tcW w:w="2593" w:type="dxa"/>
            <w:shd w:val="clear" w:color="auto" w:fill="auto"/>
            <w:vAlign w:val="center"/>
          </w:tcPr>
          <w:p w:rsidR="00D10D35" w:rsidRPr="00937D97" w:rsidRDefault="00D10D35" w:rsidP="004C495B">
            <w:pPr>
              <w:jc w:val="center"/>
              <w:rPr>
                <w:lang w:val="en-US"/>
              </w:rPr>
            </w:pPr>
            <w:r w:rsidRPr="00937D97">
              <w:rPr>
                <w:lang w:val="en-US"/>
              </w:rPr>
              <w:t>2010</w:t>
            </w:r>
          </w:p>
        </w:tc>
        <w:tc>
          <w:tcPr>
            <w:tcW w:w="1801" w:type="dxa"/>
            <w:shd w:val="clear" w:color="auto" w:fill="auto"/>
            <w:vAlign w:val="center"/>
          </w:tcPr>
          <w:p w:rsidR="00D10D35" w:rsidRDefault="00D10D35" w:rsidP="004C495B">
            <w:pPr>
              <w:jc w:val="center"/>
            </w:pPr>
            <w:r w:rsidRPr="00937D97">
              <w:rPr>
                <w:lang w:val="en-US"/>
              </w:rPr>
              <w:t>4</w:t>
            </w:r>
          </w:p>
        </w:tc>
      </w:tr>
      <w:tr w:rsidR="00D10D35" w:rsidRPr="00937D97" w:rsidTr="004C495B">
        <w:trPr>
          <w:jc w:val="center"/>
        </w:trPr>
        <w:tc>
          <w:tcPr>
            <w:tcW w:w="2593" w:type="dxa"/>
            <w:shd w:val="clear" w:color="auto" w:fill="auto"/>
            <w:vAlign w:val="center"/>
          </w:tcPr>
          <w:p w:rsidR="00D10D35" w:rsidRPr="00937D97" w:rsidRDefault="00D10D35" w:rsidP="004C495B">
            <w:pPr>
              <w:jc w:val="center"/>
              <w:rPr>
                <w:lang w:val="en-US"/>
              </w:rPr>
            </w:pPr>
            <w:r w:rsidRPr="00937D97">
              <w:rPr>
                <w:lang w:val="en-US"/>
              </w:rPr>
              <w:t>2009</w:t>
            </w:r>
          </w:p>
        </w:tc>
        <w:tc>
          <w:tcPr>
            <w:tcW w:w="1801" w:type="dxa"/>
            <w:shd w:val="clear" w:color="auto" w:fill="auto"/>
            <w:vAlign w:val="center"/>
          </w:tcPr>
          <w:p w:rsidR="00D10D35" w:rsidRDefault="00D10D35" w:rsidP="004C495B">
            <w:pPr>
              <w:jc w:val="center"/>
            </w:pPr>
            <w:r w:rsidRPr="00937D97">
              <w:rPr>
                <w:lang w:val="en-US"/>
              </w:rPr>
              <w:t>6</w:t>
            </w:r>
          </w:p>
        </w:tc>
      </w:tr>
      <w:tr w:rsidR="00D10D35" w:rsidRPr="00937D97" w:rsidTr="004C495B">
        <w:trPr>
          <w:jc w:val="center"/>
        </w:trPr>
        <w:tc>
          <w:tcPr>
            <w:tcW w:w="2593" w:type="dxa"/>
            <w:shd w:val="clear" w:color="auto" w:fill="auto"/>
            <w:vAlign w:val="center"/>
          </w:tcPr>
          <w:p w:rsidR="00D10D35" w:rsidRPr="00937D97" w:rsidRDefault="00D10D35" w:rsidP="004C495B">
            <w:pPr>
              <w:jc w:val="center"/>
              <w:rPr>
                <w:lang w:val="en-US"/>
              </w:rPr>
            </w:pPr>
            <w:r w:rsidRPr="00937D97">
              <w:rPr>
                <w:lang w:val="en-US"/>
              </w:rPr>
              <w:t>2008</w:t>
            </w:r>
          </w:p>
        </w:tc>
        <w:tc>
          <w:tcPr>
            <w:tcW w:w="1801" w:type="dxa"/>
            <w:shd w:val="clear" w:color="auto" w:fill="auto"/>
            <w:vAlign w:val="center"/>
          </w:tcPr>
          <w:p w:rsidR="00D10D35" w:rsidRDefault="00D10D35" w:rsidP="004C495B">
            <w:pPr>
              <w:jc w:val="center"/>
            </w:pPr>
            <w:r w:rsidRPr="00937D97">
              <w:rPr>
                <w:lang w:val="en-US"/>
              </w:rPr>
              <w:t>5</w:t>
            </w:r>
          </w:p>
        </w:tc>
      </w:tr>
      <w:tr w:rsidR="00D10D35" w:rsidRPr="00937D97" w:rsidTr="004C495B">
        <w:trPr>
          <w:jc w:val="center"/>
        </w:trPr>
        <w:tc>
          <w:tcPr>
            <w:tcW w:w="2593" w:type="dxa"/>
            <w:shd w:val="clear" w:color="auto" w:fill="auto"/>
            <w:vAlign w:val="center"/>
          </w:tcPr>
          <w:p w:rsidR="00D10D35" w:rsidRPr="00937D97" w:rsidRDefault="00D10D35" w:rsidP="004C495B">
            <w:pPr>
              <w:jc w:val="center"/>
              <w:rPr>
                <w:lang w:val="en-US"/>
              </w:rPr>
            </w:pPr>
            <w:r w:rsidRPr="00937D97">
              <w:rPr>
                <w:lang w:val="en-US"/>
              </w:rPr>
              <w:t>2007</w:t>
            </w:r>
          </w:p>
        </w:tc>
        <w:tc>
          <w:tcPr>
            <w:tcW w:w="1801" w:type="dxa"/>
            <w:shd w:val="clear" w:color="auto" w:fill="auto"/>
            <w:vAlign w:val="center"/>
          </w:tcPr>
          <w:p w:rsidR="00D10D35" w:rsidRDefault="00D10D35" w:rsidP="004C495B">
            <w:pPr>
              <w:jc w:val="center"/>
            </w:pPr>
            <w:r w:rsidRPr="00937D97">
              <w:rPr>
                <w:lang w:val="en-US"/>
              </w:rPr>
              <w:t>3</w:t>
            </w:r>
          </w:p>
        </w:tc>
      </w:tr>
      <w:tr w:rsidR="00D10D35" w:rsidRPr="00937D97" w:rsidTr="004C495B">
        <w:trPr>
          <w:jc w:val="center"/>
        </w:trPr>
        <w:tc>
          <w:tcPr>
            <w:tcW w:w="2593" w:type="dxa"/>
            <w:shd w:val="clear" w:color="auto" w:fill="auto"/>
            <w:vAlign w:val="center"/>
          </w:tcPr>
          <w:p w:rsidR="00D10D35" w:rsidRPr="00937D97" w:rsidRDefault="00D10D35" w:rsidP="004C495B">
            <w:pPr>
              <w:jc w:val="center"/>
              <w:rPr>
                <w:lang w:val="en-US"/>
              </w:rPr>
            </w:pPr>
            <w:r w:rsidRPr="00937D97">
              <w:rPr>
                <w:lang w:val="en-US"/>
              </w:rPr>
              <w:t>2006</w:t>
            </w:r>
          </w:p>
        </w:tc>
        <w:tc>
          <w:tcPr>
            <w:tcW w:w="1801" w:type="dxa"/>
            <w:shd w:val="clear" w:color="auto" w:fill="auto"/>
            <w:vAlign w:val="center"/>
          </w:tcPr>
          <w:p w:rsidR="00D10D35" w:rsidRDefault="00D10D35" w:rsidP="004C495B">
            <w:pPr>
              <w:jc w:val="center"/>
            </w:pPr>
            <w:r w:rsidRPr="00937D97">
              <w:rPr>
                <w:lang w:val="en-US"/>
              </w:rPr>
              <w:t>7</w:t>
            </w:r>
          </w:p>
        </w:tc>
      </w:tr>
      <w:tr w:rsidR="00D10D35" w:rsidRPr="00937D97" w:rsidTr="004C495B">
        <w:trPr>
          <w:jc w:val="center"/>
        </w:trPr>
        <w:tc>
          <w:tcPr>
            <w:tcW w:w="2593" w:type="dxa"/>
            <w:shd w:val="clear" w:color="auto" w:fill="auto"/>
            <w:vAlign w:val="center"/>
          </w:tcPr>
          <w:p w:rsidR="00D10D35" w:rsidRPr="00937D97" w:rsidRDefault="00D10D35" w:rsidP="004C495B">
            <w:pPr>
              <w:jc w:val="center"/>
              <w:rPr>
                <w:lang w:val="en-US"/>
              </w:rPr>
            </w:pPr>
            <w:r w:rsidRPr="00937D97">
              <w:rPr>
                <w:lang w:val="en-US"/>
              </w:rPr>
              <w:t>2005</w:t>
            </w:r>
          </w:p>
        </w:tc>
        <w:tc>
          <w:tcPr>
            <w:tcW w:w="1801" w:type="dxa"/>
            <w:shd w:val="clear" w:color="auto" w:fill="auto"/>
            <w:vAlign w:val="center"/>
          </w:tcPr>
          <w:p w:rsidR="00D10D35" w:rsidRDefault="00D10D35" w:rsidP="004C495B">
            <w:pPr>
              <w:jc w:val="center"/>
            </w:pPr>
            <w:r w:rsidRPr="00937D97">
              <w:rPr>
                <w:lang w:val="en-US"/>
              </w:rPr>
              <w:t>3</w:t>
            </w:r>
          </w:p>
        </w:tc>
      </w:tr>
      <w:tr w:rsidR="00D10D35" w:rsidRPr="00937D97" w:rsidTr="004C495B">
        <w:trPr>
          <w:jc w:val="center"/>
        </w:trPr>
        <w:tc>
          <w:tcPr>
            <w:tcW w:w="2593" w:type="dxa"/>
            <w:shd w:val="clear" w:color="auto" w:fill="auto"/>
            <w:vAlign w:val="center"/>
          </w:tcPr>
          <w:p w:rsidR="00D10D35" w:rsidRPr="00937D97" w:rsidRDefault="00D10D35" w:rsidP="004C495B">
            <w:pPr>
              <w:jc w:val="center"/>
              <w:rPr>
                <w:lang w:val="en-US"/>
              </w:rPr>
            </w:pPr>
            <w:r w:rsidRPr="00937D97">
              <w:rPr>
                <w:lang w:val="en-US"/>
              </w:rPr>
              <w:t>2004</w:t>
            </w:r>
          </w:p>
        </w:tc>
        <w:tc>
          <w:tcPr>
            <w:tcW w:w="1801" w:type="dxa"/>
            <w:shd w:val="clear" w:color="auto" w:fill="auto"/>
            <w:vAlign w:val="center"/>
          </w:tcPr>
          <w:p w:rsidR="00D10D35" w:rsidRDefault="00D10D35" w:rsidP="004C495B">
            <w:pPr>
              <w:jc w:val="center"/>
            </w:pPr>
            <w:r>
              <w:t>-</w:t>
            </w:r>
          </w:p>
        </w:tc>
      </w:tr>
      <w:tr w:rsidR="00D10D35" w:rsidRPr="00937D97" w:rsidTr="004C495B">
        <w:trPr>
          <w:jc w:val="center"/>
        </w:trPr>
        <w:tc>
          <w:tcPr>
            <w:tcW w:w="2593" w:type="dxa"/>
            <w:shd w:val="clear" w:color="auto" w:fill="auto"/>
            <w:vAlign w:val="center"/>
          </w:tcPr>
          <w:p w:rsidR="00D10D35" w:rsidRPr="00937D97" w:rsidRDefault="00D10D35" w:rsidP="004C495B">
            <w:pPr>
              <w:jc w:val="center"/>
              <w:rPr>
                <w:lang w:val="en-US"/>
              </w:rPr>
            </w:pPr>
            <w:r w:rsidRPr="00937D97">
              <w:rPr>
                <w:lang w:val="en-US"/>
              </w:rPr>
              <w:t>2003</w:t>
            </w:r>
          </w:p>
        </w:tc>
        <w:tc>
          <w:tcPr>
            <w:tcW w:w="1801" w:type="dxa"/>
            <w:shd w:val="clear" w:color="auto" w:fill="auto"/>
            <w:vAlign w:val="center"/>
          </w:tcPr>
          <w:p w:rsidR="00D10D35" w:rsidRDefault="00D10D35" w:rsidP="004C495B">
            <w:pPr>
              <w:jc w:val="center"/>
            </w:pPr>
            <w:r w:rsidRPr="00937D97">
              <w:rPr>
                <w:lang w:val="en-US"/>
              </w:rPr>
              <w:t>2</w:t>
            </w:r>
          </w:p>
        </w:tc>
      </w:tr>
      <w:tr w:rsidR="00D10D35" w:rsidRPr="00937D97" w:rsidTr="004C495B">
        <w:trPr>
          <w:jc w:val="center"/>
        </w:trPr>
        <w:tc>
          <w:tcPr>
            <w:tcW w:w="2593" w:type="dxa"/>
            <w:shd w:val="clear" w:color="auto" w:fill="auto"/>
            <w:vAlign w:val="center"/>
          </w:tcPr>
          <w:p w:rsidR="00D10D35" w:rsidRPr="00937D97" w:rsidRDefault="00D10D35" w:rsidP="004C495B">
            <w:pPr>
              <w:jc w:val="center"/>
              <w:rPr>
                <w:lang w:val="en-US"/>
              </w:rPr>
            </w:pPr>
            <w:r w:rsidRPr="00937D97">
              <w:rPr>
                <w:lang w:val="en-US"/>
              </w:rPr>
              <w:t>2002</w:t>
            </w:r>
          </w:p>
        </w:tc>
        <w:tc>
          <w:tcPr>
            <w:tcW w:w="1801" w:type="dxa"/>
            <w:shd w:val="clear" w:color="auto" w:fill="auto"/>
            <w:vAlign w:val="center"/>
          </w:tcPr>
          <w:p w:rsidR="00D10D35" w:rsidRDefault="00D10D35" w:rsidP="004C495B">
            <w:pPr>
              <w:jc w:val="center"/>
            </w:pPr>
            <w:r w:rsidRPr="00937D97">
              <w:rPr>
                <w:lang w:val="en-US"/>
              </w:rPr>
              <w:t>2</w:t>
            </w:r>
          </w:p>
        </w:tc>
      </w:tr>
      <w:tr w:rsidR="00D10D35" w:rsidRPr="00937D97" w:rsidTr="004C495B">
        <w:trPr>
          <w:jc w:val="center"/>
        </w:trPr>
        <w:tc>
          <w:tcPr>
            <w:tcW w:w="2593" w:type="dxa"/>
            <w:shd w:val="clear" w:color="auto" w:fill="auto"/>
            <w:vAlign w:val="center"/>
          </w:tcPr>
          <w:p w:rsidR="00D10D35" w:rsidRPr="00937D97" w:rsidRDefault="00D10D35" w:rsidP="004C495B">
            <w:pPr>
              <w:jc w:val="center"/>
              <w:rPr>
                <w:lang w:val="en-US"/>
              </w:rPr>
            </w:pPr>
            <w:r w:rsidRPr="00937D97">
              <w:rPr>
                <w:lang w:val="en-US"/>
              </w:rPr>
              <w:lastRenderedPageBreak/>
              <w:t>2001</w:t>
            </w:r>
          </w:p>
        </w:tc>
        <w:tc>
          <w:tcPr>
            <w:tcW w:w="1801" w:type="dxa"/>
            <w:shd w:val="clear" w:color="auto" w:fill="auto"/>
            <w:vAlign w:val="center"/>
          </w:tcPr>
          <w:p w:rsidR="00D10D35" w:rsidRDefault="00D10D35" w:rsidP="004C495B">
            <w:pPr>
              <w:jc w:val="center"/>
            </w:pPr>
            <w:r w:rsidRPr="00937D97">
              <w:rPr>
                <w:lang w:val="en-US"/>
              </w:rPr>
              <w:t>2</w:t>
            </w:r>
          </w:p>
        </w:tc>
      </w:tr>
      <w:tr w:rsidR="00D10D35" w:rsidRPr="00937D97" w:rsidTr="004C495B">
        <w:trPr>
          <w:jc w:val="center"/>
        </w:trPr>
        <w:tc>
          <w:tcPr>
            <w:tcW w:w="2593" w:type="dxa"/>
            <w:shd w:val="clear" w:color="auto" w:fill="auto"/>
            <w:vAlign w:val="center"/>
          </w:tcPr>
          <w:p w:rsidR="00D10D35" w:rsidRDefault="00D10D35" w:rsidP="004C495B">
            <w:pPr>
              <w:jc w:val="center"/>
            </w:pPr>
            <w:r w:rsidRPr="00937D97">
              <w:rPr>
                <w:lang w:val="en-US"/>
              </w:rPr>
              <w:t>2000</w:t>
            </w:r>
          </w:p>
        </w:tc>
        <w:tc>
          <w:tcPr>
            <w:tcW w:w="1801" w:type="dxa"/>
            <w:shd w:val="clear" w:color="auto" w:fill="auto"/>
            <w:vAlign w:val="center"/>
          </w:tcPr>
          <w:p w:rsidR="00D10D35" w:rsidRDefault="00D10D35" w:rsidP="004C495B">
            <w:pPr>
              <w:jc w:val="center"/>
            </w:pPr>
            <w:r w:rsidRPr="00937D97">
              <w:rPr>
                <w:lang w:val="en-US"/>
              </w:rPr>
              <w:t>6</w:t>
            </w:r>
          </w:p>
        </w:tc>
      </w:tr>
      <w:tr w:rsidR="00D10D35" w:rsidRPr="00937D97" w:rsidTr="004C495B">
        <w:trPr>
          <w:jc w:val="center"/>
        </w:trPr>
        <w:tc>
          <w:tcPr>
            <w:tcW w:w="2593" w:type="dxa"/>
            <w:shd w:val="clear" w:color="auto" w:fill="auto"/>
            <w:vAlign w:val="center"/>
          </w:tcPr>
          <w:p w:rsidR="00D10D35" w:rsidRDefault="00D10D35" w:rsidP="004C495B">
            <w:pPr>
              <w:jc w:val="center"/>
            </w:pPr>
            <w:r w:rsidRPr="00937D97">
              <w:rPr>
                <w:lang w:val="en-US"/>
              </w:rPr>
              <w:t>1999</w:t>
            </w:r>
          </w:p>
        </w:tc>
        <w:tc>
          <w:tcPr>
            <w:tcW w:w="1801" w:type="dxa"/>
            <w:shd w:val="clear" w:color="auto" w:fill="auto"/>
            <w:vAlign w:val="center"/>
          </w:tcPr>
          <w:p w:rsidR="00D10D35" w:rsidRDefault="00D10D35" w:rsidP="004C495B">
            <w:pPr>
              <w:jc w:val="center"/>
            </w:pPr>
            <w:r w:rsidRPr="00937D97">
              <w:rPr>
                <w:lang w:val="en-US"/>
              </w:rPr>
              <w:t>12</w:t>
            </w:r>
          </w:p>
        </w:tc>
      </w:tr>
      <w:tr w:rsidR="00D10D35" w:rsidRPr="00937D97" w:rsidTr="004C495B">
        <w:trPr>
          <w:jc w:val="center"/>
        </w:trPr>
        <w:tc>
          <w:tcPr>
            <w:tcW w:w="2593" w:type="dxa"/>
            <w:shd w:val="clear" w:color="auto" w:fill="auto"/>
            <w:vAlign w:val="center"/>
          </w:tcPr>
          <w:p w:rsidR="00D10D35" w:rsidRDefault="00D10D35" w:rsidP="004C495B">
            <w:pPr>
              <w:jc w:val="center"/>
            </w:pPr>
            <w:r w:rsidRPr="00937D97">
              <w:rPr>
                <w:lang w:val="en-US"/>
              </w:rPr>
              <w:t>1998</w:t>
            </w:r>
          </w:p>
        </w:tc>
        <w:tc>
          <w:tcPr>
            <w:tcW w:w="1801" w:type="dxa"/>
            <w:shd w:val="clear" w:color="auto" w:fill="auto"/>
            <w:vAlign w:val="center"/>
          </w:tcPr>
          <w:p w:rsidR="00D10D35" w:rsidRDefault="00D10D35" w:rsidP="004C495B">
            <w:pPr>
              <w:jc w:val="center"/>
            </w:pPr>
            <w:r w:rsidRPr="00937D97">
              <w:rPr>
                <w:lang w:val="en-US"/>
              </w:rPr>
              <w:t>5</w:t>
            </w:r>
          </w:p>
        </w:tc>
      </w:tr>
    </w:tbl>
    <w:p w:rsidR="00D10D35" w:rsidRPr="00097B73" w:rsidRDefault="00D10D35" w:rsidP="00DA1986">
      <w:pPr>
        <w:pStyle w:val="Heading1"/>
      </w:pPr>
      <w:bookmarkStart w:id="13" w:name="_Toc225584401"/>
      <w:r w:rsidRPr="00097B73">
        <w:t>8</w:t>
      </w:r>
      <w:r w:rsidRPr="00097B73">
        <w:tab/>
      </w:r>
      <w:r w:rsidR="00DA1986">
        <w:rPr>
          <w:rFonts w:hint="eastAsia"/>
          <w:lang w:eastAsia="zh-CN"/>
        </w:rPr>
        <w:t>结论</w:t>
      </w:r>
      <w:bookmarkEnd w:id="13"/>
    </w:p>
    <w:p w:rsidR="00D10D35" w:rsidRDefault="00DA1986" w:rsidP="00B40C3A">
      <w:pPr>
        <w:ind w:firstLineChars="200" w:firstLine="480"/>
        <w:rPr>
          <w:lang w:val="en-US" w:eastAsia="zh-CN"/>
        </w:rPr>
      </w:pPr>
      <w:r>
        <w:rPr>
          <w:rFonts w:hint="eastAsia"/>
          <w:lang w:val="en-US" w:eastAsia="zh-CN"/>
        </w:rPr>
        <w:t>《</w:t>
      </w:r>
      <w:r w:rsidR="00D10D35" w:rsidRPr="004E23F0">
        <w:rPr>
          <w:lang w:val="en-US" w:eastAsia="zh-CN"/>
        </w:rPr>
        <w:t>GMPCS-MoU</w:t>
      </w:r>
      <w:r>
        <w:rPr>
          <w:rFonts w:hint="eastAsia"/>
          <w:lang w:val="en-US" w:eastAsia="zh-CN"/>
        </w:rPr>
        <w:t>安排》和</w:t>
      </w:r>
      <w:r w:rsidR="00D10D35" w:rsidRPr="004E23F0">
        <w:rPr>
          <w:lang w:val="en-US" w:eastAsia="zh-CN"/>
        </w:rPr>
        <w:t>GMPCS-MoU</w:t>
      </w:r>
      <w:r>
        <w:rPr>
          <w:rFonts w:hint="eastAsia"/>
          <w:lang w:val="en-US" w:eastAsia="zh-CN"/>
        </w:rPr>
        <w:t>标志的实施在促进</w:t>
      </w:r>
      <w:r w:rsidRPr="004E23F0">
        <w:rPr>
          <w:lang w:eastAsia="zh-CN"/>
        </w:rPr>
        <w:t>GMPCS</w:t>
      </w:r>
      <w:r>
        <w:rPr>
          <w:rFonts w:hint="eastAsia"/>
          <w:lang w:eastAsia="zh-CN"/>
        </w:rPr>
        <w:t>终端的全球流通和跨境漫游以及</w:t>
      </w:r>
      <w:r w:rsidR="00C92382">
        <w:rPr>
          <w:rFonts w:hint="eastAsia"/>
          <w:lang w:eastAsia="zh-CN"/>
        </w:rPr>
        <w:t>尽早引入</w:t>
      </w:r>
      <w:r w:rsidR="00C92382" w:rsidRPr="004E23F0">
        <w:rPr>
          <w:lang w:eastAsia="zh-CN"/>
        </w:rPr>
        <w:t>GMPCS</w:t>
      </w:r>
      <w:r w:rsidR="00C92382">
        <w:rPr>
          <w:rFonts w:hint="eastAsia"/>
          <w:lang w:eastAsia="zh-CN"/>
        </w:rPr>
        <w:t>业务</w:t>
      </w:r>
      <w:r>
        <w:rPr>
          <w:rFonts w:hint="eastAsia"/>
          <w:lang w:eastAsia="zh-CN"/>
        </w:rPr>
        <w:t>方面</w:t>
      </w:r>
      <w:r w:rsidR="00C92382">
        <w:rPr>
          <w:rFonts w:hint="eastAsia"/>
          <w:lang w:eastAsia="zh-CN"/>
        </w:rPr>
        <w:t>取得了很大成功。</w:t>
      </w:r>
      <w:r w:rsidR="008A16CD">
        <w:rPr>
          <w:rFonts w:hint="eastAsia"/>
          <w:lang w:val="en-US" w:eastAsia="zh-CN"/>
        </w:rPr>
        <w:t>针对型号核准、简化审批、识别（标注）、获得业务数据以及与</w:t>
      </w:r>
      <w:r w:rsidR="008A16CD">
        <w:rPr>
          <w:lang w:eastAsia="zh-CN"/>
        </w:rPr>
        <w:t>GMPCS</w:t>
      </w:r>
      <w:r w:rsidR="008A16CD">
        <w:rPr>
          <w:rFonts w:hint="eastAsia"/>
          <w:lang w:eastAsia="zh-CN"/>
        </w:rPr>
        <w:t>终端</w:t>
      </w:r>
      <w:r w:rsidR="008A16CD">
        <w:rPr>
          <w:rFonts w:hint="eastAsia"/>
          <w:lang w:val="en-US" w:eastAsia="zh-CN"/>
        </w:rPr>
        <w:t>自由流通有关的海关建议制定的安排已证明成效显著。</w:t>
      </w:r>
    </w:p>
    <w:p w:rsidR="00D10D35" w:rsidRDefault="00D10D35" w:rsidP="00D10D35">
      <w:pPr>
        <w:rPr>
          <w:lang w:val="en-US" w:eastAsia="zh-CN"/>
        </w:rPr>
      </w:pPr>
    </w:p>
    <w:p w:rsidR="00166C1F" w:rsidRPr="00166C1F" w:rsidRDefault="00166C1F" w:rsidP="00166C1F">
      <w:pPr>
        <w:rPr>
          <w:lang w:eastAsia="zh-CN"/>
        </w:rPr>
      </w:pPr>
    </w:p>
    <w:p w:rsidR="00166C1F" w:rsidRDefault="00166C1F">
      <w:pPr>
        <w:jc w:val="center"/>
      </w:pPr>
      <w:r>
        <w:t>______________</w:t>
      </w:r>
    </w:p>
    <w:sectPr w:rsidR="00166C1F" w:rsidSect="00A5181E">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C6F" w:rsidRDefault="00BB5C6F">
      <w:r>
        <w:separator/>
      </w:r>
    </w:p>
  </w:endnote>
  <w:endnote w:type="continuationSeparator" w:id="0">
    <w:p w:rsidR="00BB5C6F" w:rsidRDefault="00BB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C6F" w:rsidRPr="006F31AB" w:rsidRDefault="00755A3F" w:rsidP="002E4235">
    <w:pPr>
      <w:pStyle w:val="Footer"/>
      <w:rPr>
        <w:lang w:eastAsia="zh-CN"/>
      </w:rPr>
    </w:pPr>
    <w:fldSimple w:instr=" FILENAME \p  \* MERGEFORMAT ">
      <w:r>
        <w:t>P:\TRAD\C\ITU-R\AG\RAG16\000\001ADD03C.docx</w:t>
      </w:r>
    </w:fldSimple>
    <w:r w:rsidR="00BB5C6F">
      <w:rPr>
        <w:rFonts w:hint="eastAsia"/>
        <w:lang w:eastAsia="zh-CN"/>
      </w:rPr>
      <w:t xml:space="preserve"> (3</w:t>
    </w:r>
    <w:r w:rsidR="00BB5C6F">
      <w:rPr>
        <w:lang w:eastAsia="zh-CN"/>
      </w:rPr>
      <w:t>95803</w:t>
    </w:r>
    <w:r w:rsidR="00BB5C6F">
      <w:rPr>
        <w:rFonts w:hint="eastAsia"/>
        <w:lang w:eastAsia="zh-CN"/>
      </w:rPr>
      <w:t>)</w:t>
    </w:r>
    <w:r w:rsidR="00BB5C6F">
      <w:tab/>
    </w:r>
    <w:r w:rsidR="00BB5C6F">
      <w:fldChar w:fldCharType="begin"/>
    </w:r>
    <w:r w:rsidR="00BB5C6F">
      <w:instrText xml:space="preserve"> SAVEDATE \@ DD.MM.YY </w:instrText>
    </w:r>
    <w:r w:rsidR="00BB5C6F">
      <w:fldChar w:fldCharType="separate"/>
    </w:r>
    <w:r w:rsidR="000928A0">
      <w:t>22.04.16</w:t>
    </w:r>
    <w:r w:rsidR="00BB5C6F">
      <w:fldChar w:fldCharType="end"/>
    </w:r>
    <w:r w:rsidR="00BB5C6F">
      <w:tab/>
    </w:r>
    <w:r w:rsidR="00BB5C6F">
      <w:fldChar w:fldCharType="begin"/>
    </w:r>
    <w:r w:rsidR="00BB5C6F">
      <w:instrText xml:space="preserve"> PRINTDATE \@ DD.MM.YY </w:instrText>
    </w:r>
    <w:r w:rsidR="00BB5C6F">
      <w:fldChar w:fldCharType="separate"/>
    </w:r>
    <w:r>
      <w:t>22.04.16</w:t>
    </w:r>
    <w:r w:rsidR="00BB5C6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C6F" w:rsidRPr="002E4235" w:rsidRDefault="00755A3F" w:rsidP="002E4235">
    <w:pPr>
      <w:pStyle w:val="Footer"/>
      <w:rPr>
        <w:lang w:eastAsia="zh-CN"/>
      </w:rPr>
    </w:pPr>
    <w:fldSimple w:instr=" FILENAME \p  \* MERGEFORMAT ">
      <w:r>
        <w:t>P:\TRAD\C\ITU-R\AG\RAG16\000\001ADD03C.docx</w:t>
      </w:r>
    </w:fldSimple>
    <w:r w:rsidR="00BB5C6F">
      <w:rPr>
        <w:rFonts w:hint="eastAsia"/>
        <w:lang w:eastAsia="zh-CN"/>
      </w:rPr>
      <w:t xml:space="preserve"> (3</w:t>
    </w:r>
    <w:r w:rsidR="00BB5C6F">
      <w:rPr>
        <w:lang w:eastAsia="zh-CN"/>
      </w:rPr>
      <w:t>95803</w:t>
    </w:r>
    <w:r w:rsidR="00BB5C6F">
      <w:rPr>
        <w:rFonts w:hint="eastAsia"/>
        <w:lang w:eastAsia="zh-CN"/>
      </w:rPr>
      <w:t>)</w:t>
    </w:r>
    <w:r w:rsidR="00BB5C6F">
      <w:tab/>
    </w:r>
    <w:r w:rsidR="00BB5C6F">
      <w:fldChar w:fldCharType="begin"/>
    </w:r>
    <w:r w:rsidR="00BB5C6F">
      <w:instrText xml:space="preserve"> SAVEDATE \@ DD.MM.YY </w:instrText>
    </w:r>
    <w:r w:rsidR="00BB5C6F">
      <w:fldChar w:fldCharType="separate"/>
    </w:r>
    <w:r w:rsidR="000928A0">
      <w:t>22.04.16</w:t>
    </w:r>
    <w:r w:rsidR="00BB5C6F">
      <w:fldChar w:fldCharType="end"/>
    </w:r>
    <w:r w:rsidR="00BB5C6F">
      <w:tab/>
    </w:r>
    <w:r w:rsidR="00BB5C6F">
      <w:fldChar w:fldCharType="begin"/>
    </w:r>
    <w:r w:rsidR="00BB5C6F">
      <w:instrText xml:space="preserve"> PRINTDATE \@ DD.MM.YY </w:instrText>
    </w:r>
    <w:r w:rsidR="00BB5C6F">
      <w:fldChar w:fldCharType="separate"/>
    </w:r>
    <w:r>
      <w:t>22.04.16</w:t>
    </w:r>
    <w:r w:rsidR="00BB5C6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C6F" w:rsidRDefault="00BB5C6F">
      <w:r>
        <w:t>____________________</w:t>
      </w:r>
    </w:p>
  </w:footnote>
  <w:footnote w:type="continuationSeparator" w:id="0">
    <w:p w:rsidR="00BB5C6F" w:rsidRDefault="00BB5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C6F" w:rsidRPr="00AF0B82" w:rsidRDefault="00BB5C6F" w:rsidP="000A4F34">
    <w:pPr>
      <w:pStyle w:val="Header"/>
    </w:pPr>
    <w:r>
      <w:fldChar w:fldCharType="begin"/>
    </w:r>
    <w:r>
      <w:instrText xml:space="preserve"> PAGE </w:instrText>
    </w:r>
    <w:r>
      <w:fldChar w:fldCharType="separate"/>
    </w:r>
    <w:r w:rsidR="00B40C3A">
      <w:rPr>
        <w:noProof/>
      </w:rPr>
      <w:t>2</w:t>
    </w:r>
    <w:r>
      <w:fldChar w:fldCharType="end"/>
    </w:r>
  </w:p>
  <w:p w:rsidR="00BB5C6F" w:rsidRPr="00AF0B82" w:rsidRDefault="00BB5C6F" w:rsidP="00755A3F">
    <w:pPr>
      <w:pStyle w:val="Header"/>
      <w:rPr>
        <w:lang w:eastAsia="zh-CN"/>
      </w:rPr>
    </w:pPr>
    <w:r w:rsidRPr="00DA14F5">
      <w:rPr>
        <w:lang w:val="en-CA"/>
      </w:rPr>
      <w:t>RAG</w:t>
    </w:r>
    <w:r>
      <w:rPr>
        <w:lang w:val="en-CA"/>
      </w:rPr>
      <w:t>-</w:t>
    </w:r>
    <w:r w:rsidRPr="00DA14F5">
      <w:rPr>
        <w:lang w:val="en-CA"/>
      </w:rPr>
      <w:t>1</w:t>
    </w:r>
    <w:r>
      <w:rPr>
        <w:lang w:val="en-CA"/>
      </w:rPr>
      <w:t>6</w:t>
    </w:r>
    <w:r w:rsidRPr="00DA14F5">
      <w:rPr>
        <w:lang w:val="en-CA"/>
      </w:rPr>
      <w:t>/1(Add.</w:t>
    </w:r>
    <w:r w:rsidR="00755A3F">
      <w:rPr>
        <w:rFonts w:hint="eastAsia"/>
        <w:lang w:val="en-CA" w:eastAsia="zh-CN"/>
      </w:rPr>
      <w:t>3</w:t>
    </w:r>
    <w:r>
      <w:rPr>
        <w:lang w:val="en-CA"/>
      </w:rPr>
      <w:t>)</w:t>
    </w:r>
    <w:r w:rsidRPr="00DA14F5">
      <w:rPr>
        <w:lang w:val="en-CA"/>
      </w:rPr>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11269"/>
    <w:multiLevelType w:val="hybridMultilevel"/>
    <w:tmpl w:val="19B0E8E8"/>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D5155CB"/>
    <w:multiLevelType w:val="multilevel"/>
    <w:tmpl w:val="399C711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1470"/>
        </w:tabs>
        <w:ind w:left="1470" w:hanging="39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699A"/>
    <w:multiLevelType w:val="hybridMultilevel"/>
    <w:tmpl w:val="8688AF3C"/>
    <w:lvl w:ilvl="0" w:tplc="1EAAD37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3B770C"/>
    <w:multiLevelType w:val="hybridMultilevel"/>
    <w:tmpl w:val="AE9285B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8"/>
  </w:num>
  <w:num w:numId="13">
    <w:abstractNumId w:val="30"/>
  </w:num>
  <w:num w:numId="14">
    <w:abstractNumId w:val="26"/>
  </w:num>
  <w:num w:numId="15">
    <w:abstractNumId w:val="23"/>
  </w:num>
  <w:num w:numId="16">
    <w:abstractNumId w:val="29"/>
  </w:num>
  <w:num w:numId="17">
    <w:abstractNumId w:val="22"/>
  </w:num>
  <w:num w:numId="18">
    <w:abstractNumId w:val="10"/>
  </w:num>
  <w:num w:numId="19">
    <w:abstractNumId w:val="16"/>
  </w:num>
  <w:num w:numId="20">
    <w:abstractNumId w:val="17"/>
  </w:num>
  <w:num w:numId="21">
    <w:abstractNumId w:val="20"/>
  </w:num>
  <w:num w:numId="22">
    <w:abstractNumId w:val="31"/>
  </w:num>
  <w:num w:numId="23">
    <w:abstractNumId w:val="24"/>
  </w:num>
  <w:num w:numId="24">
    <w:abstractNumId w:val="25"/>
  </w:num>
  <w:num w:numId="25">
    <w:abstractNumId w:val="11"/>
  </w:num>
  <w:num w:numId="26">
    <w:abstractNumId w:val="21"/>
  </w:num>
  <w:num w:numId="27">
    <w:abstractNumId w:val="15"/>
  </w:num>
  <w:num w:numId="28">
    <w:abstractNumId w:val="19"/>
  </w:num>
  <w:num w:numId="29">
    <w:abstractNumId w:val="14"/>
  </w:num>
  <w:num w:numId="30">
    <w:abstractNumId w:val="12"/>
  </w:num>
  <w:num w:numId="31">
    <w:abstractNumId w:val="1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93"/>
    <w:rsid w:val="00020106"/>
    <w:rsid w:val="00021007"/>
    <w:rsid w:val="00034C59"/>
    <w:rsid w:val="00062FA4"/>
    <w:rsid w:val="0006614B"/>
    <w:rsid w:val="00082FBE"/>
    <w:rsid w:val="000842A3"/>
    <w:rsid w:val="00084871"/>
    <w:rsid w:val="00085541"/>
    <w:rsid w:val="000928A0"/>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66C1F"/>
    <w:rsid w:val="001722B2"/>
    <w:rsid w:val="00175850"/>
    <w:rsid w:val="00193A09"/>
    <w:rsid w:val="00194AD3"/>
    <w:rsid w:val="0019729C"/>
    <w:rsid w:val="001A5A4C"/>
    <w:rsid w:val="001B032E"/>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B7B6E"/>
    <w:rsid w:val="002C5CAC"/>
    <w:rsid w:val="002C69A2"/>
    <w:rsid w:val="002E4235"/>
    <w:rsid w:val="002E6592"/>
    <w:rsid w:val="002F340E"/>
    <w:rsid w:val="002F666E"/>
    <w:rsid w:val="002F6A4E"/>
    <w:rsid w:val="002F7978"/>
    <w:rsid w:val="00302A9B"/>
    <w:rsid w:val="00303349"/>
    <w:rsid w:val="003040E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C5441"/>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C495B"/>
    <w:rsid w:val="004D08EB"/>
    <w:rsid w:val="004E5C65"/>
    <w:rsid w:val="004F3435"/>
    <w:rsid w:val="0050528F"/>
    <w:rsid w:val="00507D0A"/>
    <w:rsid w:val="00513BEA"/>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D75C2"/>
    <w:rsid w:val="005E40CA"/>
    <w:rsid w:val="005E6891"/>
    <w:rsid w:val="005F0CAC"/>
    <w:rsid w:val="005F4A85"/>
    <w:rsid w:val="0060404C"/>
    <w:rsid w:val="00606766"/>
    <w:rsid w:val="0060773B"/>
    <w:rsid w:val="00612F64"/>
    <w:rsid w:val="00614DF9"/>
    <w:rsid w:val="00617963"/>
    <w:rsid w:val="006217DA"/>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C31B9"/>
    <w:rsid w:val="006C32B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47D24"/>
    <w:rsid w:val="00755A3F"/>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0F77"/>
    <w:rsid w:val="00823553"/>
    <w:rsid w:val="008243CD"/>
    <w:rsid w:val="00824751"/>
    <w:rsid w:val="00824ADB"/>
    <w:rsid w:val="0082609B"/>
    <w:rsid w:val="008261D5"/>
    <w:rsid w:val="008274E9"/>
    <w:rsid w:val="008278E0"/>
    <w:rsid w:val="00841C76"/>
    <w:rsid w:val="0084602B"/>
    <w:rsid w:val="00847E2F"/>
    <w:rsid w:val="008552AB"/>
    <w:rsid w:val="008558A1"/>
    <w:rsid w:val="00855B4C"/>
    <w:rsid w:val="00857695"/>
    <w:rsid w:val="00861C2D"/>
    <w:rsid w:val="0087115D"/>
    <w:rsid w:val="00872009"/>
    <w:rsid w:val="0088263F"/>
    <w:rsid w:val="0088755C"/>
    <w:rsid w:val="008954AA"/>
    <w:rsid w:val="008A16CD"/>
    <w:rsid w:val="008A56A5"/>
    <w:rsid w:val="008B06FC"/>
    <w:rsid w:val="008C1346"/>
    <w:rsid w:val="008C34A4"/>
    <w:rsid w:val="008C7B07"/>
    <w:rsid w:val="008D06A4"/>
    <w:rsid w:val="008E11BE"/>
    <w:rsid w:val="008F1F07"/>
    <w:rsid w:val="008F50C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18D4"/>
    <w:rsid w:val="009C521B"/>
    <w:rsid w:val="009F6C40"/>
    <w:rsid w:val="00A038FA"/>
    <w:rsid w:val="00A054E3"/>
    <w:rsid w:val="00A05E32"/>
    <w:rsid w:val="00A06654"/>
    <w:rsid w:val="00A07083"/>
    <w:rsid w:val="00A16CB2"/>
    <w:rsid w:val="00A177BA"/>
    <w:rsid w:val="00A23B71"/>
    <w:rsid w:val="00A23E26"/>
    <w:rsid w:val="00A25EC7"/>
    <w:rsid w:val="00A27ECF"/>
    <w:rsid w:val="00A31B2A"/>
    <w:rsid w:val="00A32C3E"/>
    <w:rsid w:val="00A363F4"/>
    <w:rsid w:val="00A42068"/>
    <w:rsid w:val="00A43ACF"/>
    <w:rsid w:val="00A43DC2"/>
    <w:rsid w:val="00A4665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33A89"/>
    <w:rsid w:val="00B40C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B5C6F"/>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2382"/>
    <w:rsid w:val="00C94697"/>
    <w:rsid w:val="00CA0939"/>
    <w:rsid w:val="00CB2BE8"/>
    <w:rsid w:val="00CB7F4E"/>
    <w:rsid w:val="00CC1C81"/>
    <w:rsid w:val="00CE1DEC"/>
    <w:rsid w:val="00CE20C1"/>
    <w:rsid w:val="00CE4A49"/>
    <w:rsid w:val="00CE6FDB"/>
    <w:rsid w:val="00CF38C3"/>
    <w:rsid w:val="00CF6EFF"/>
    <w:rsid w:val="00D0037A"/>
    <w:rsid w:val="00D02852"/>
    <w:rsid w:val="00D05AA4"/>
    <w:rsid w:val="00D07201"/>
    <w:rsid w:val="00D10D35"/>
    <w:rsid w:val="00D16D78"/>
    <w:rsid w:val="00D22D5C"/>
    <w:rsid w:val="00D33A41"/>
    <w:rsid w:val="00D476FB"/>
    <w:rsid w:val="00D57861"/>
    <w:rsid w:val="00D6793C"/>
    <w:rsid w:val="00D72A39"/>
    <w:rsid w:val="00D769B3"/>
    <w:rsid w:val="00D77F6A"/>
    <w:rsid w:val="00D80A4C"/>
    <w:rsid w:val="00D8149F"/>
    <w:rsid w:val="00D83981"/>
    <w:rsid w:val="00D872CB"/>
    <w:rsid w:val="00D91C7F"/>
    <w:rsid w:val="00D97093"/>
    <w:rsid w:val="00DA1986"/>
    <w:rsid w:val="00DC0054"/>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1523"/>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C7AE1"/>
    <w:rsid w:val="00FD4917"/>
    <w:rsid w:val="00FF35AA"/>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46D4377-DF42-4BFC-83F3-57EC1D82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166C1F"/>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47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en/gmpcs/Pages/MoUArrangements.aspx" TargetMode="External"/><Relationship Id="rId18" Type="http://schemas.openxmlformats.org/officeDocument/2006/relationships/hyperlink" Target="http://www.itu.int/en/gmpcs/Pages/GMPCSSearch.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gmpcs/Pages/MoUArrangements.aspx" TargetMode="External"/><Relationship Id="rId17" Type="http://schemas.openxmlformats.org/officeDocument/2006/relationships/hyperlink" Target="http://www.itu.int/en/gmpcs/Pages/Administrations.aspx?RootFolder=%2Fen%2Fgmpcs%2FAdministrations%2FTerminal%5FType%5FApprova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cgi-bin/htsh/mm/scripts/gd.list?_search=SIGNPARTYMEMBSTAT" TargetMode="External"/><Relationship Id="rId20" Type="http://schemas.openxmlformats.org/officeDocument/2006/relationships/hyperlink" Target="http://www.itu.int/en/gmpcs/Pages/MoUArrangement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foru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cgi-bin/htsh/mm/scripts/gd.list?_search=SIGNPARTYGMPCS" TargetMode="External"/><Relationship Id="rId23" Type="http://schemas.openxmlformats.org/officeDocument/2006/relationships/footer" Target="footer2.xml"/><Relationship Id="rId10" Type="http://schemas.openxmlformats.org/officeDocument/2006/relationships/hyperlink" Target="http://www.itu.int/publ/D-HDB-GMPCS-1999/en"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en/gmpcs/Pages/ITUSecretaryGeneral.aspx?RootFolder=%2Fen%2Fgmpcs%2FITU%20Secretary%20General%2FResolution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G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FDA79-44AA-4F70-BB0F-73654AE8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PC_RAG16.dotx</Template>
  <TotalTime>15</TotalTime>
  <Pages>5</Pages>
  <Words>2794</Words>
  <Characters>1690</Characters>
  <Application>Microsoft Office Word</Application>
  <DocSecurity>0</DocSecurity>
  <Lines>14</Lines>
  <Paragraphs>8</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4476</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Zheng, Bingy</dc:creator>
  <cp:keywords>RAG03-1</cp:keywords>
  <dc:description>Document RAG08-1/1-E  For: _x000d_Document date: 12 December 2007_x000d_Saved by JJF44233 at 15:38:46 on 18/12/2007</dc:description>
  <cp:lastModifiedBy>Yuan, Tianxiang</cp:lastModifiedBy>
  <cp:revision>3</cp:revision>
  <cp:lastPrinted>2016-04-22T11:12:00Z</cp:lastPrinted>
  <dcterms:created xsi:type="dcterms:W3CDTF">2016-04-25T07:59:00Z</dcterms:created>
  <dcterms:modified xsi:type="dcterms:W3CDTF">2016-04-25T08:14:00Z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