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RPr="00671FEE" w:rsidTr="003E1608">
        <w:trPr>
          <w:cantSplit/>
        </w:trPr>
        <w:tc>
          <w:tcPr>
            <w:tcW w:w="6619" w:type="dxa"/>
          </w:tcPr>
          <w:p w:rsidR="003E1608" w:rsidRPr="00671FEE" w:rsidRDefault="00E165ED" w:rsidP="001C4DC2">
            <w:pPr>
              <w:pStyle w:val="Committee"/>
              <w:framePr w:hSpace="0" w:wrap="auto" w:hAnchor="text" w:yAlign="inline"/>
              <w:tabs>
                <w:tab w:val="clear" w:pos="2268"/>
                <w:tab w:val="left" w:pos="2448"/>
              </w:tabs>
              <w:bidi/>
              <w:rPr>
                <w:rFonts w:ascii="Verdana" w:hAnsi="Verdana" w:cs="Traditional Arabic"/>
                <w:sz w:val="30"/>
                <w:szCs w:val="30"/>
              </w:rPr>
            </w:pPr>
            <w:r w:rsidRPr="00671FEE">
              <w:rPr>
                <w:rFonts w:ascii="Verdana" w:hAnsi="Verdana" w:cs="Traditional Arabic"/>
                <w:bCs/>
                <w:sz w:val="19"/>
                <w:szCs w:val="30"/>
                <w:rtl/>
                <w:lang w:val="en-US" w:bidi="ar-EG"/>
              </w:rPr>
              <w:t xml:space="preserve">اللجنة </w:t>
            </w:r>
            <w:r w:rsidR="001C4DC2">
              <w:rPr>
                <w:rFonts w:ascii="Verdana" w:hAnsi="Verdana" w:cs="Traditional Arabic"/>
                <w:bCs/>
                <w:sz w:val="19"/>
                <w:szCs w:val="30"/>
                <w:lang w:val="en-US" w:bidi="ar-EG"/>
              </w:rPr>
              <w:t>4</w:t>
            </w:r>
          </w:p>
        </w:tc>
        <w:tc>
          <w:tcPr>
            <w:tcW w:w="3053" w:type="dxa"/>
            <w:vAlign w:val="center"/>
          </w:tcPr>
          <w:p w:rsidR="003E1608" w:rsidRPr="00671FEE" w:rsidRDefault="003E1608" w:rsidP="003E1608">
            <w:pPr>
              <w:pStyle w:val="Adress"/>
              <w:framePr w:hSpace="0" w:wrap="auto" w:xAlign="left" w:yAlign="inline"/>
              <w:rPr>
                <w:rFonts w:ascii="Verdana" w:hAnsi="Verdana"/>
                <w:rtl/>
              </w:rPr>
            </w:pPr>
            <w:r w:rsidRPr="00671FEE">
              <w:rPr>
                <w:rFonts w:ascii="Verdana" w:hAnsi="Verdana"/>
                <w:rtl/>
              </w:rPr>
              <w:t xml:space="preserve">الوثيقة </w:t>
            </w:r>
            <w:r w:rsidRPr="00671FEE">
              <w:rPr>
                <w:rFonts w:ascii="Verdana" w:hAnsi="Verdana"/>
              </w:rPr>
              <w:t>242-</w:t>
            </w:r>
            <w:r w:rsidR="00671FEE" w:rsidRPr="00671FEE">
              <w:rPr>
                <w:rFonts w:ascii="Verdana" w:hAnsi="Verdana"/>
              </w:rPr>
              <w:t>A</w:t>
            </w:r>
          </w:p>
        </w:tc>
      </w:tr>
      <w:tr w:rsidR="00764079" w:rsidRPr="00671FEE" w:rsidTr="003E1608">
        <w:trPr>
          <w:cantSplit/>
        </w:trPr>
        <w:tc>
          <w:tcPr>
            <w:tcW w:w="6619" w:type="dxa"/>
          </w:tcPr>
          <w:p w:rsidR="00764079" w:rsidRPr="00671FEE" w:rsidRDefault="00764079" w:rsidP="00D44350">
            <w:pPr>
              <w:pStyle w:val="Adress"/>
              <w:framePr w:hSpace="0" w:wrap="auto" w:xAlign="left" w:yAlign="inline"/>
              <w:rPr>
                <w:rFonts w:ascii="Verdana" w:hAnsi="Verdana"/>
                <w:rtl/>
              </w:rPr>
            </w:pPr>
          </w:p>
        </w:tc>
        <w:tc>
          <w:tcPr>
            <w:tcW w:w="3053" w:type="dxa"/>
            <w:vAlign w:val="center"/>
          </w:tcPr>
          <w:p w:rsidR="00764079" w:rsidRPr="00671FEE" w:rsidRDefault="00764079" w:rsidP="00D44350">
            <w:pPr>
              <w:pStyle w:val="Adress"/>
              <w:framePr w:hSpace="0" w:wrap="auto" w:xAlign="left" w:yAlign="inline"/>
              <w:rPr>
                <w:rFonts w:ascii="Verdana" w:hAnsi="Verdana"/>
                <w:rtl/>
              </w:rPr>
            </w:pPr>
            <w:r w:rsidRPr="00671FEE">
              <w:rPr>
                <w:rFonts w:ascii="Verdana" w:eastAsia="SimSun" w:hAnsi="Verdana"/>
              </w:rPr>
              <w:t>11</w:t>
            </w:r>
            <w:r w:rsidRPr="00671FEE">
              <w:rPr>
                <w:rFonts w:ascii="Verdana" w:eastAsia="SimSun" w:hAnsi="Verdana"/>
                <w:rtl/>
              </w:rPr>
              <w:t xml:space="preserve"> نوفمبر </w:t>
            </w:r>
            <w:r w:rsidRPr="00671FEE">
              <w:rPr>
                <w:rFonts w:ascii="Verdana" w:eastAsia="SimSun" w:hAnsi="Verdana"/>
              </w:rPr>
              <w:t>2015</w:t>
            </w:r>
          </w:p>
        </w:tc>
      </w:tr>
      <w:tr w:rsidR="00764079" w:rsidRPr="00671FEE" w:rsidTr="003E1608">
        <w:trPr>
          <w:cantSplit/>
        </w:trPr>
        <w:tc>
          <w:tcPr>
            <w:tcW w:w="6619" w:type="dxa"/>
          </w:tcPr>
          <w:p w:rsidR="00764079" w:rsidRPr="00671FEE" w:rsidRDefault="00764079" w:rsidP="00D44350">
            <w:pPr>
              <w:pStyle w:val="Adress"/>
              <w:framePr w:hSpace="0" w:wrap="auto" w:xAlign="left" w:yAlign="inline"/>
              <w:rPr>
                <w:rFonts w:ascii="Verdana" w:eastAsia="SimSun" w:hAnsi="Verdana"/>
                <w:rtl/>
              </w:rPr>
            </w:pPr>
          </w:p>
        </w:tc>
        <w:tc>
          <w:tcPr>
            <w:tcW w:w="3053" w:type="dxa"/>
            <w:vAlign w:val="center"/>
          </w:tcPr>
          <w:p w:rsidR="00764079" w:rsidRPr="00671FEE" w:rsidRDefault="00764079" w:rsidP="00D44350">
            <w:pPr>
              <w:pStyle w:val="Adress"/>
              <w:framePr w:hSpace="0" w:wrap="auto" w:xAlign="left" w:yAlign="inline"/>
              <w:rPr>
                <w:rFonts w:ascii="Verdana" w:eastAsia="SimSun" w:hAnsi="Verdana"/>
              </w:rPr>
            </w:pPr>
            <w:r w:rsidRPr="00671FEE">
              <w:rPr>
                <w:rFonts w:ascii="Verdana" w:eastAsia="SimSun" w:hAnsi="Verdana"/>
                <w:rtl/>
              </w:rPr>
              <w:t>الأصل: بالإسبانية</w:t>
            </w:r>
          </w:p>
        </w:tc>
      </w:tr>
      <w:tr w:rsidR="00764079" w:rsidRPr="00671FEE" w:rsidTr="003E1608">
        <w:trPr>
          <w:cantSplit/>
        </w:trPr>
        <w:tc>
          <w:tcPr>
            <w:tcW w:w="9672" w:type="dxa"/>
            <w:gridSpan w:val="2"/>
          </w:tcPr>
          <w:p w:rsidR="00764079" w:rsidRPr="00671FEE"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671FEE" w:rsidP="00671FEE">
            <w:pPr>
              <w:pStyle w:val="Source"/>
              <w:rPr>
                <w:rtl/>
              </w:rPr>
            </w:pPr>
            <w:r w:rsidRPr="00671FEE">
              <w:rPr>
                <w:rtl/>
                <w:lang w:bidi="ar-SA"/>
              </w:rPr>
              <w:t>بربادوس</w:t>
            </w:r>
            <w:r w:rsidR="00764079" w:rsidRPr="008204AC">
              <w:rPr>
                <w:rtl/>
              </w:rPr>
              <w:t>/</w:t>
            </w:r>
            <w:r w:rsidRPr="00671FEE">
              <w:rPr>
                <w:rtl/>
                <w:lang w:bidi="ar-SA"/>
              </w:rPr>
              <w:t>المكسيك</w:t>
            </w:r>
          </w:p>
        </w:tc>
      </w:tr>
      <w:tr w:rsidR="00764079" w:rsidRPr="00671FEE" w:rsidTr="003E1608">
        <w:trPr>
          <w:cantSplit/>
        </w:trPr>
        <w:tc>
          <w:tcPr>
            <w:tcW w:w="9672" w:type="dxa"/>
            <w:gridSpan w:val="2"/>
          </w:tcPr>
          <w:p w:rsidR="00764079" w:rsidRPr="00BD6EF3" w:rsidRDefault="00671FEE" w:rsidP="00D44350">
            <w:pPr>
              <w:pStyle w:val="Title1"/>
              <w:spacing w:before="240"/>
              <w:rPr>
                <w:rtl/>
              </w:rPr>
            </w:pPr>
            <w:r>
              <w:rPr>
                <w:rFonts w:hint="cs"/>
                <w:rtl/>
              </w:rPr>
              <w:t>مقترحات بشأن أعمال الـمؤتـمر</w:t>
            </w:r>
          </w:p>
        </w:tc>
      </w:tr>
      <w:tr w:rsidR="00764079" w:rsidRPr="00671FEE"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671FEE">
            <w:pPr>
              <w:pStyle w:val="Agendaitem"/>
              <w:spacing w:before="240" w:line="192" w:lineRule="auto"/>
            </w:pPr>
            <w:r w:rsidRPr="008204AC">
              <w:rPr>
                <w:rtl/>
              </w:rPr>
              <w:t xml:space="preserve">البنـد </w:t>
            </w:r>
            <w:r w:rsidR="00671FEE">
              <w:t>1.1</w:t>
            </w:r>
            <w:r w:rsidRPr="008204AC">
              <w:rPr>
                <w:rtl/>
              </w:rPr>
              <w:t xml:space="preserve"> من جدول الأعمال</w:t>
            </w:r>
          </w:p>
        </w:tc>
      </w:tr>
    </w:tbl>
    <w:p w:rsidR="001D597A" w:rsidRPr="00431196" w:rsidRDefault="00EB1557" w:rsidP="00671FEE">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proofErr w:type="gramStart"/>
      <w:r w:rsidRPr="00431196">
        <w:rPr>
          <w:rFonts w:eastAsia="SimSun"/>
          <w:b/>
          <w:bCs/>
          <w:lang w:bidi="ar-SY"/>
        </w:rPr>
        <w:t>)</w:t>
      </w:r>
      <w:r w:rsidRPr="00431196">
        <w:rPr>
          <w:rFonts w:eastAsia="SimSun" w:hint="cs"/>
          <w:rtl/>
        </w:rPr>
        <w:t>؛</w:t>
      </w:r>
      <w:proofErr w:type="gramEnd"/>
    </w:p>
    <w:p w:rsidR="00F16602" w:rsidRDefault="00671FEE" w:rsidP="00671FEE">
      <w:pPr>
        <w:pStyle w:val="Headingb"/>
        <w:rPr>
          <w:rtl/>
        </w:rPr>
      </w:pPr>
      <w:r>
        <w:rPr>
          <w:rFonts w:hint="cs"/>
          <w:rtl/>
        </w:rPr>
        <w:t>مقدمة</w:t>
      </w:r>
    </w:p>
    <w:p w:rsidR="00671FEE" w:rsidRDefault="001C4DC2" w:rsidP="005D6D48">
      <w:pPr>
        <w:rPr>
          <w:rtl/>
        </w:rPr>
      </w:pPr>
      <w:r>
        <w:rPr>
          <w:rFonts w:hint="cs"/>
          <w:rtl/>
          <w:lang w:bidi="ar-EG"/>
        </w:rPr>
        <w:t xml:space="preserve">شهدت الاجتماعات السابقة لفرقة العمل </w:t>
      </w:r>
      <w:r w:rsidRPr="00E90C11">
        <w:t>4C1</w:t>
      </w:r>
      <w:r>
        <w:rPr>
          <w:rFonts w:hint="cs"/>
          <w:rtl/>
        </w:rPr>
        <w:t xml:space="preserve"> التابعة للمؤتمر العالمي للاتصالات الراديوية طرح طائفة متنوعة من المقترحات والمناقشات بشأن توزيع مختلف نطاقات التردد على أنظمة الاتصالات المتنقلة الدولية.</w:t>
      </w:r>
    </w:p>
    <w:p w:rsidR="001C4DC2" w:rsidRDefault="001C4DC2" w:rsidP="00B5684C">
      <w:pPr>
        <w:rPr>
          <w:rtl/>
        </w:rPr>
      </w:pPr>
      <w:r>
        <w:rPr>
          <w:rFonts w:hint="cs"/>
          <w:rtl/>
          <w:lang w:bidi="ar-EG"/>
        </w:rPr>
        <w:t xml:space="preserve">وتكرر إدارة المكسيك موقفها القاضي بعدم تحديد نطاق التردد </w:t>
      </w:r>
      <w:r w:rsidR="00B5684C">
        <w:t>MHz 4 200</w:t>
      </w:r>
      <w:r w:rsidR="00B5684C">
        <w:noBreakHyphen/>
        <w:t>3 400</w:t>
      </w:r>
      <w:r w:rsidR="00B5684C">
        <w:rPr>
          <w:rFonts w:hint="cs"/>
          <w:rtl/>
        </w:rPr>
        <w:t xml:space="preserve"> </w:t>
      </w:r>
      <w:r>
        <w:rPr>
          <w:rFonts w:hint="cs"/>
          <w:rtl/>
        </w:rPr>
        <w:t>لأنظمة الاتصالات المتنقلة الدولية، وبالتالي فهي تقترح عدم إدخال أي تغيير على جدول توزيع نطاقات التردد. والهدف من هذا الاقتراح هو مراعاة الوضع الراهن في الإقليم.</w:t>
      </w:r>
    </w:p>
    <w:p w:rsidR="001C4DC2" w:rsidRDefault="001C4DC2" w:rsidP="001C4DC2">
      <w:pPr>
        <w:pStyle w:val="Headingb"/>
        <w:rPr>
          <w:rtl/>
        </w:rPr>
      </w:pPr>
      <w:r>
        <w:rPr>
          <w:rFonts w:hint="cs"/>
          <w:rtl/>
        </w:rPr>
        <w:t>اعتبارات عامة</w:t>
      </w:r>
    </w:p>
    <w:p w:rsidR="001C4DC2" w:rsidRDefault="001C4DC2" w:rsidP="00EF454F">
      <w:pPr>
        <w:rPr>
          <w:rtl/>
          <w:lang w:bidi="ar-EG"/>
        </w:rPr>
      </w:pPr>
      <w:r>
        <w:rPr>
          <w:rFonts w:hint="cs"/>
          <w:rtl/>
        </w:rPr>
        <w:t xml:space="preserve">برهنت أنظمة النطاق </w:t>
      </w:r>
      <w:r>
        <w:t>C</w:t>
      </w:r>
      <w:r>
        <w:rPr>
          <w:rFonts w:hint="cs"/>
          <w:rtl/>
          <w:lang w:bidi="ar-EG"/>
        </w:rPr>
        <w:t xml:space="preserve"> على مدى العقود الأربعة الماضية على أنها أكثر موثوقية </w:t>
      </w:r>
      <w:r w:rsidR="00A21A09">
        <w:rPr>
          <w:rFonts w:hint="cs"/>
          <w:rtl/>
          <w:lang w:bidi="ar-EG"/>
        </w:rPr>
        <w:t>كأنظمة احتياطية للاتصالات بسبب قدرتها على مجابهة الأمطار، وسهولة وسرعة إقامتها، وانخفاض تكلفتها. وتتسم هذه النقاط بأهمية خاصة في البلدان المعرضة على نحو خاص للأمطار الغزيرة، والأحداث الزلزالية، والثورات البركانية، كما هو الحال في منطقة أمريكا الوسطى والبحر الكاريبي. وفي</w:t>
      </w:r>
      <w:r w:rsidR="00EF454F">
        <w:rPr>
          <w:rFonts w:hint="eastAsia"/>
          <w:rtl/>
          <w:lang w:bidi="ar-EG"/>
        </w:rPr>
        <w:t> </w:t>
      </w:r>
      <w:r w:rsidR="00A21A09">
        <w:rPr>
          <w:rFonts w:hint="cs"/>
          <w:rtl/>
          <w:lang w:bidi="ar-EG"/>
        </w:rPr>
        <w:t xml:space="preserve">الوقت الحاضر فإنه لا بديل عن أنظمة النطاق </w:t>
      </w:r>
      <w:r w:rsidR="00A21A09">
        <w:rPr>
          <w:lang w:bidi="ar-EG"/>
        </w:rPr>
        <w:t>C</w:t>
      </w:r>
      <w:r w:rsidR="00A21A09">
        <w:rPr>
          <w:rFonts w:hint="cs"/>
          <w:rtl/>
          <w:lang w:bidi="ar-EG"/>
        </w:rPr>
        <w:t xml:space="preserve"> أثناء الكوارث الطبيعية لمساندة بعثات الإنقاذ وحماية السكان المدنيين في</w:t>
      </w:r>
      <w:r w:rsidR="00EF454F">
        <w:rPr>
          <w:rFonts w:hint="eastAsia"/>
          <w:rtl/>
          <w:lang w:bidi="ar-EG"/>
        </w:rPr>
        <w:t> </w:t>
      </w:r>
      <w:r w:rsidR="00A21A09">
        <w:rPr>
          <w:rFonts w:hint="cs"/>
          <w:rtl/>
          <w:lang w:bidi="ar-EG"/>
        </w:rPr>
        <w:t>مناطق الكوارث.</w:t>
      </w:r>
    </w:p>
    <w:p w:rsidR="00A21A09" w:rsidRPr="001C4DC2" w:rsidRDefault="00A21A09" w:rsidP="00EF454F">
      <w:pPr>
        <w:rPr>
          <w:rtl/>
          <w:lang w:bidi="ar-EG"/>
        </w:rPr>
      </w:pPr>
      <w:r>
        <w:rPr>
          <w:rFonts w:hint="cs"/>
          <w:rtl/>
          <w:lang w:bidi="ar-EG"/>
        </w:rPr>
        <w:lastRenderedPageBreak/>
        <w:t xml:space="preserve">وفي بعض بلدان الإقليم </w:t>
      </w:r>
      <w:r w:rsidRPr="00A21A09">
        <w:rPr>
          <w:rFonts w:cs="Times New Roman" w:hint="cs"/>
          <w:szCs w:val="22"/>
          <w:rtl/>
          <w:lang w:bidi="ar-EG"/>
        </w:rPr>
        <w:t>2</w:t>
      </w:r>
      <w:r>
        <w:rPr>
          <w:rFonts w:hint="cs"/>
          <w:rtl/>
          <w:lang w:bidi="ar-EG"/>
        </w:rPr>
        <w:t xml:space="preserve"> يُستخدم النطاق </w:t>
      </w:r>
      <w:r w:rsidR="00EF454F">
        <w:t>MHz 4 200</w:t>
      </w:r>
      <w:r w:rsidR="00EF454F">
        <w:noBreakHyphen/>
        <w:t>3 400</w:t>
      </w:r>
      <w:r w:rsidR="00EF454F">
        <w:rPr>
          <w:rFonts w:hint="cs"/>
          <w:rtl/>
        </w:rPr>
        <w:t xml:space="preserve"> </w:t>
      </w:r>
      <w:r>
        <w:rPr>
          <w:rFonts w:hint="cs"/>
          <w:rtl/>
        </w:rPr>
        <w:t>للخدمات الحكومية الأساسية لمصلحة الجمهور العام (الأرصاد، الطيران المدني، السلامة العامة، و</w:t>
      </w:r>
      <w:bookmarkStart w:id="0" w:name="_GoBack"/>
      <w:bookmarkEnd w:id="0"/>
      <w:r>
        <w:rPr>
          <w:rFonts w:hint="cs"/>
          <w:rtl/>
        </w:rPr>
        <w:t>ما إلى ذلك) وكذلك للخدمات التجارية للقطاع الخاص (البث المباشر إلى المنازل، القنوات عبر الأثير، توصيل الأنظمة المتنقلة، وما إليها).</w:t>
      </w:r>
    </w:p>
    <w:p w:rsidR="00671FEE" w:rsidRDefault="00A21A09" w:rsidP="00C50958">
      <w:pPr>
        <w:rPr>
          <w:rtl/>
        </w:rPr>
      </w:pPr>
      <w:r>
        <w:rPr>
          <w:rFonts w:hint="cs"/>
          <w:rtl/>
        </w:rPr>
        <w:t xml:space="preserve">وتقر دراسات الاتحاد الدولي للاتصالات بأن من المتعذر، في ظل الوضع الراهن للتكنولوجيا، </w:t>
      </w:r>
      <w:r w:rsidR="009E471B">
        <w:rPr>
          <w:rFonts w:hint="cs"/>
          <w:rtl/>
        </w:rPr>
        <w:t xml:space="preserve">جعل </w:t>
      </w:r>
      <w:r w:rsidR="001B2945">
        <w:rPr>
          <w:rFonts w:hint="cs"/>
          <w:rtl/>
        </w:rPr>
        <w:t>استعمال الخدمة الثابتة الساتلية متسقاً مع إدخال أنظمة الاتصالات المتنقلة الدولية في</w:t>
      </w:r>
      <w:r>
        <w:rPr>
          <w:rFonts w:hint="cs"/>
          <w:rtl/>
        </w:rPr>
        <w:t xml:space="preserve"> ا</w:t>
      </w:r>
      <w:r>
        <w:rPr>
          <w:rFonts w:hint="cs"/>
          <w:rtl/>
          <w:lang w:bidi="ar-EG"/>
        </w:rPr>
        <w:t>لنطاق</w:t>
      </w:r>
      <w:r w:rsidR="00EF454F">
        <w:rPr>
          <w:rFonts w:hint="cs"/>
          <w:rtl/>
          <w:lang w:bidi="ar-EG"/>
        </w:rPr>
        <w:t xml:space="preserve"> </w:t>
      </w:r>
      <w:r w:rsidR="00EF454F">
        <w:t>MHz 4 200</w:t>
      </w:r>
      <w:r w:rsidR="00EF454F">
        <w:noBreakHyphen/>
        <w:t>3 400</w:t>
      </w:r>
      <w:r w:rsidR="00837854">
        <w:rPr>
          <w:rFonts w:hint="cs"/>
          <w:rtl/>
        </w:rPr>
        <w:t xml:space="preserve"> ووفقاً لتقرير قطاع الاتصالات الراديوية </w:t>
      </w:r>
      <w:r w:rsidR="00837854" w:rsidRPr="002A3046">
        <w:t>M.2109</w:t>
      </w:r>
      <w:r w:rsidR="00837854">
        <w:rPr>
          <w:rFonts w:hint="cs"/>
          <w:rtl/>
        </w:rPr>
        <w:t xml:space="preserve"> فإن المصاعب التقنية ذاتها ستنطبق على النطاق </w:t>
      </w:r>
      <w:r w:rsidR="00EF454F">
        <w:t>MHz 4 800</w:t>
      </w:r>
      <w:r w:rsidR="00EF454F">
        <w:noBreakHyphen/>
        <w:t>4 500</w:t>
      </w:r>
      <w:r w:rsidR="00837854">
        <w:rPr>
          <w:rFonts w:hint="cs"/>
          <w:rtl/>
        </w:rPr>
        <w:t xml:space="preserve"> (فضاء-أرض)، الموزع على الخدمة الثابتة الساتلية بموجب التذييل </w:t>
      </w:r>
      <w:r w:rsidR="00837854" w:rsidRPr="002A3046">
        <w:rPr>
          <w:b/>
          <w:bCs/>
        </w:rPr>
        <w:t>30</w:t>
      </w:r>
      <w:r w:rsidR="00837854" w:rsidRPr="002A3046">
        <w:rPr>
          <w:b/>
          <w:bCs/>
          <w:lang w:val="en-CA"/>
        </w:rPr>
        <w:t>B</w:t>
      </w:r>
      <w:r w:rsidR="00837854">
        <w:rPr>
          <w:rFonts w:hint="cs"/>
          <w:rtl/>
        </w:rPr>
        <w:t>، والهادف إلى ضمان النفاذ المنصف لكل البلدان إلى المدار المستقر بالنسبة للأرض في</w:t>
      </w:r>
      <w:r w:rsidR="00C50958">
        <w:rPr>
          <w:rFonts w:hint="eastAsia"/>
          <w:rtl/>
        </w:rPr>
        <w:t> </w:t>
      </w:r>
      <w:r w:rsidR="00837854">
        <w:rPr>
          <w:rFonts w:hint="cs"/>
          <w:rtl/>
        </w:rPr>
        <w:t>أي</w:t>
      </w:r>
      <w:r w:rsidR="00C50958">
        <w:rPr>
          <w:rFonts w:hint="eastAsia"/>
          <w:rtl/>
        </w:rPr>
        <w:t> </w:t>
      </w:r>
      <w:r w:rsidR="00837854">
        <w:rPr>
          <w:rFonts w:hint="cs"/>
          <w:rtl/>
        </w:rPr>
        <w:t>زمان ومكان.</w:t>
      </w:r>
    </w:p>
    <w:p w:rsidR="00837854" w:rsidRDefault="00837854" w:rsidP="001B2945">
      <w:pPr>
        <w:rPr>
          <w:rtl/>
        </w:rPr>
      </w:pPr>
      <w:r>
        <w:rPr>
          <w:rFonts w:hint="cs"/>
          <w:rtl/>
        </w:rPr>
        <w:t xml:space="preserve">وأشارت العديد من الإدارات، لا في الإقليم </w:t>
      </w:r>
      <w:r w:rsidRPr="001B2945">
        <w:rPr>
          <w:rFonts w:cs="Times New Roman" w:hint="cs"/>
          <w:szCs w:val="22"/>
          <w:rtl/>
        </w:rPr>
        <w:t>2</w:t>
      </w:r>
      <w:r>
        <w:rPr>
          <w:rFonts w:hint="cs"/>
          <w:rtl/>
        </w:rPr>
        <w:t xml:space="preserve"> وحده بل وفي الإقليمين </w:t>
      </w:r>
      <w:r w:rsidRPr="001B2945">
        <w:rPr>
          <w:rFonts w:cs="Times New Roman" w:hint="cs"/>
          <w:szCs w:val="22"/>
          <w:rtl/>
        </w:rPr>
        <w:t>1</w:t>
      </w:r>
      <w:r>
        <w:rPr>
          <w:rFonts w:hint="cs"/>
          <w:rtl/>
        </w:rPr>
        <w:t xml:space="preserve"> و</w:t>
      </w:r>
      <w:r w:rsidRPr="001B2945">
        <w:rPr>
          <w:rFonts w:cs="Times New Roman" w:hint="cs"/>
          <w:szCs w:val="22"/>
          <w:rtl/>
        </w:rPr>
        <w:t>3</w:t>
      </w:r>
      <w:r>
        <w:rPr>
          <w:rFonts w:hint="cs"/>
          <w:rtl/>
        </w:rPr>
        <w:t xml:space="preserve">، بالإضافة إلى وكالات دولية مثل منظمة الطيران المدني الدولي، إلى زيادة في حالات التداخل الضار على شبكات </w:t>
      </w:r>
      <w:r>
        <w:rPr>
          <w:color w:val="000000"/>
          <w:rtl/>
        </w:rPr>
        <w:t xml:space="preserve">المطاريف ذات الفتحات الصغيرة </w:t>
      </w:r>
      <w:r>
        <w:rPr>
          <w:rFonts w:hint="cs"/>
          <w:color w:val="000000"/>
          <w:rtl/>
        </w:rPr>
        <w:t xml:space="preserve">جداً </w:t>
      </w:r>
      <w:r>
        <w:rPr>
          <w:color w:val="000000"/>
        </w:rPr>
        <w:t>(VSAT)</w:t>
      </w:r>
      <w:r>
        <w:rPr>
          <w:rFonts w:hint="cs"/>
          <w:color w:val="000000"/>
          <w:rtl/>
        </w:rPr>
        <w:t xml:space="preserve"> </w:t>
      </w:r>
      <w:r>
        <w:rPr>
          <w:rFonts w:hint="cs"/>
          <w:rtl/>
        </w:rPr>
        <w:t xml:space="preserve">المكرسة للملاحة الجوية المدنية والأرصاد، وهو ما يمكن أن يعرض للخطر سلامة الركاب </w:t>
      </w:r>
      <w:r w:rsidR="00DC7DC7">
        <w:rPr>
          <w:rFonts w:hint="cs"/>
          <w:rtl/>
        </w:rPr>
        <w:t>والنقل الجوي</w:t>
      </w:r>
      <w:r>
        <w:rPr>
          <w:rFonts w:hint="cs"/>
          <w:rtl/>
        </w:rPr>
        <w:t xml:space="preserve"> المدني عموما.</w:t>
      </w:r>
    </w:p>
    <w:p w:rsidR="00837854" w:rsidRDefault="00837854" w:rsidP="00EF454F">
      <w:pPr>
        <w:rPr>
          <w:rtl/>
          <w:lang w:val="en-CA"/>
        </w:rPr>
      </w:pPr>
      <w:r>
        <w:rPr>
          <w:rFonts w:hint="cs"/>
          <w:rtl/>
        </w:rPr>
        <w:t xml:space="preserve">وفي </w:t>
      </w:r>
      <w:r w:rsidR="002F2362">
        <w:rPr>
          <w:rFonts w:hint="cs"/>
          <w:rtl/>
        </w:rPr>
        <w:t>هذا الوقت</w:t>
      </w:r>
      <w:r>
        <w:rPr>
          <w:rFonts w:hint="cs"/>
          <w:rtl/>
        </w:rPr>
        <w:t xml:space="preserve"> هناك طائفة واسعة من الأنظمة المنشورة في عدد من البلدان والموفرة لخدمات اتصالات ساتلية حيوية باستخدام ترددات النطاق </w:t>
      </w:r>
      <w:r>
        <w:t>C</w:t>
      </w:r>
      <w:r>
        <w:rPr>
          <w:rFonts w:hint="cs"/>
          <w:rtl/>
          <w:lang w:bidi="ar-EG"/>
        </w:rPr>
        <w:t xml:space="preserve"> (</w:t>
      </w:r>
      <w:r w:rsidR="00EF454F">
        <w:t>MHz 4 200</w:t>
      </w:r>
      <w:r w:rsidR="00EF454F">
        <w:noBreakHyphen/>
        <w:t>3 400</w:t>
      </w:r>
      <w:r w:rsidR="00EF454F">
        <w:rPr>
          <w:rFonts w:hint="cs"/>
          <w:rtl/>
        </w:rPr>
        <w:t xml:space="preserve"> </w:t>
      </w:r>
      <w:r>
        <w:rPr>
          <w:rFonts w:hint="cs"/>
          <w:rtl/>
        </w:rPr>
        <w:t>و</w:t>
      </w:r>
      <w:r w:rsidR="00EF454F">
        <w:t>MHz 6 700</w:t>
      </w:r>
      <w:r w:rsidR="00EF454F">
        <w:noBreakHyphen/>
        <w:t>5 850</w:t>
      </w:r>
      <w:r>
        <w:rPr>
          <w:rFonts w:hint="cs"/>
          <w:rtl/>
          <w:lang w:val="en-CA"/>
        </w:rPr>
        <w:t>) التي يجب مراعاتها لضمان</w:t>
      </w:r>
      <w:r w:rsidR="001B2945">
        <w:rPr>
          <w:rFonts w:hint="cs"/>
          <w:rtl/>
          <w:lang w:val="en-CA"/>
        </w:rPr>
        <w:t xml:space="preserve"> إمكانية</w:t>
      </w:r>
      <w:r>
        <w:rPr>
          <w:rFonts w:hint="cs"/>
          <w:rtl/>
          <w:lang w:val="en-CA"/>
        </w:rPr>
        <w:t xml:space="preserve"> تشغيلها</w:t>
      </w:r>
      <w:r w:rsidR="002F2362">
        <w:rPr>
          <w:rFonts w:hint="cs"/>
          <w:rtl/>
          <w:lang w:val="en-CA"/>
        </w:rPr>
        <w:t xml:space="preserve"> دون تعرضها للتداخل الضار.</w:t>
      </w:r>
    </w:p>
    <w:p w:rsidR="002F2362" w:rsidRDefault="002F2362" w:rsidP="00C50958">
      <w:pPr>
        <w:rPr>
          <w:rtl/>
          <w:lang w:bidi="ar-EG"/>
        </w:rPr>
      </w:pPr>
      <w:r>
        <w:rPr>
          <w:rFonts w:hint="cs"/>
          <w:rtl/>
          <w:lang w:bidi="ar-EG"/>
        </w:rPr>
        <w:t xml:space="preserve">ويعتبر التشغيل الخالي من التداخل للاتصالات الساتلية باستخدام النطاق </w:t>
      </w:r>
      <w:r>
        <w:rPr>
          <w:lang w:bidi="ar-EG"/>
        </w:rPr>
        <w:t>C</w:t>
      </w:r>
      <w:r>
        <w:rPr>
          <w:rFonts w:hint="cs"/>
          <w:rtl/>
          <w:lang w:bidi="ar-EG"/>
        </w:rPr>
        <w:t xml:space="preserve"> أمراً أساسياً لأن هذا النطاق يتيح مزايا عديدة عظمية بالمقارنة مع نطاق</w:t>
      </w:r>
      <w:r w:rsidR="001B2945">
        <w:rPr>
          <w:rFonts w:hint="cs"/>
          <w:rtl/>
          <w:lang w:bidi="ar-EG"/>
        </w:rPr>
        <w:t>ات</w:t>
      </w:r>
      <w:r>
        <w:rPr>
          <w:rFonts w:hint="cs"/>
          <w:rtl/>
          <w:lang w:bidi="ar-EG"/>
        </w:rPr>
        <w:t xml:space="preserve"> التردد الأخرى المستخدمة بصورة شائعة أيضاً من جانب السواتل، مثل النطاق</w:t>
      </w:r>
      <w:r w:rsidR="00C50958">
        <w:rPr>
          <w:rFonts w:hint="eastAsia"/>
          <w:rtl/>
          <w:lang w:bidi="ar-EG"/>
        </w:rPr>
        <w:t> </w:t>
      </w:r>
      <w:r w:rsidRPr="002A3046">
        <w:rPr>
          <w:lang w:val="en-CA"/>
        </w:rPr>
        <w:t>Ku</w:t>
      </w:r>
      <w:r>
        <w:rPr>
          <w:rFonts w:hint="cs"/>
          <w:rtl/>
          <w:lang w:val="en-CA"/>
        </w:rPr>
        <w:t xml:space="preserve"> والنطاق</w:t>
      </w:r>
      <w:r w:rsidR="00C50958">
        <w:rPr>
          <w:rFonts w:hint="eastAsia"/>
          <w:rtl/>
          <w:lang w:val="en-CA"/>
        </w:rPr>
        <w:t> </w:t>
      </w:r>
      <w:proofErr w:type="spellStart"/>
      <w:r w:rsidRPr="002A3046">
        <w:rPr>
          <w:lang w:val="en-CA"/>
        </w:rPr>
        <w:t>Ka</w:t>
      </w:r>
      <w:proofErr w:type="spellEnd"/>
      <w:r>
        <w:rPr>
          <w:rFonts w:hint="cs"/>
          <w:rtl/>
          <w:lang w:val="en-CA"/>
        </w:rPr>
        <w:t xml:space="preserve">. وتيسر خصائص انتشار النطاق </w:t>
      </w:r>
      <w:r>
        <w:t>C</w:t>
      </w:r>
      <w:r>
        <w:rPr>
          <w:rFonts w:hint="cs"/>
          <w:rtl/>
          <w:lang w:bidi="ar-EG"/>
        </w:rPr>
        <w:t xml:space="preserve"> الحصول على تغطية عريضة مما يتيح وصل مناطق واسعة أو قارات باستخدام البصمة ذاتها. وكما سبقت الإشارة فإن نطاق التردد هذا متين للغاية، وبمقدوره تحمل تردي الإشارة الناجم عن الأمطار، إذ أنه في</w:t>
      </w:r>
      <w:r w:rsidR="00C50958">
        <w:rPr>
          <w:rFonts w:hint="eastAsia"/>
          <w:rtl/>
          <w:lang w:bidi="ar-EG"/>
        </w:rPr>
        <w:t> </w:t>
      </w:r>
      <w:r>
        <w:rPr>
          <w:rFonts w:hint="cs"/>
          <w:rtl/>
          <w:lang w:bidi="ar-EG"/>
        </w:rPr>
        <w:t>حين أن الأمطار تستطيع أحياناً أن تؤدي إلى تردي إشارة الخدمات التي تستخدم نطاقات تردد أعلى، فإن الخدمات التي يوفرها النطاق</w:t>
      </w:r>
      <w:r w:rsidR="00C50958">
        <w:rPr>
          <w:rFonts w:hint="eastAsia"/>
          <w:rtl/>
          <w:lang w:bidi="ar-EG"/>
        </w:rPr>
        <w:t> </w:t>
      </w:r>
      <w:r>
        <w:rPr>
          <w:lang w:bidi="ar-EG"/>
        </w:rPr>
        <w:t>C</w:t>
      </w:r>
      <w:r>
        <w:rPr>
          <w:rFonts w:hint="cs"/>
          <w:rtl/>
          <w:lang w:bidi="ar-EG"/>
        </w:rPr>
        <w:t xml:space="preserve"> تظل موثوقة جداً خلال فترات الهطولات الكثيفة.</w:t>
      </w:r>
    </w:p>
    <w:p w:rsidR="002F2362" w:rsidRPr="002F2362" w:rsidRDefault="002F2362" w:rsidP="002F2362">
      <w:pPr>
        <w:rPr>
          <w:rtl/>
          <w:lang w:bidi="ar-EG"/>
        </w:rPr>
      </w:pPr>
      <w:r>
        <w:rPr>
          <w:rFonts w:hint="cs"/>
          <w:rtl/>
          <w:lang w:bidi="ar-EG"/>
        </w:rPr>
        <w:t>وفي الوقت ذاته فإن الخدمات الساتلية في هذا النطاق تتعايش مع خدمات الاتصالات الراديوية الأخرى دون أية صعوبات خطيرة. ويرجع ذلك إلى الخصائص التقنية والتشغيلية لمثل هذه الخدمات، ولكن هذه الخصائص مع ذلك مميزة عن خصائص الاتصالات المتنقلة الدولية. وليست نتائج الدراسات التقنية التي أجراها الاتحاد الدولي للاتصالات قاطعة في هذا الشأن، وقد أظهرت أن هناك بعض الصعوبات فيما يتعلق بتمكين أنظمة الاتصالات المتنقلة الدولية من التعايش مع الخدمات الساتلية.</w:t>
      </w:r>
    </w:p>
    <w:p w:rsidR="00671FEE" w:rsidRDefault="00671FEE" w:rsidP="00671FEE">
      <w:pPr>
        <w:pStyle w:val="Headingb"/>
        <w:rPr>
          <w:rtl/>
        </w:rPr>
      </w:pPr>
      <w:r>
        <w:rPr>
          <w:rFonts w:hint="cs"/>
          <w:rtl/>
        </w:rPr>
        <w:t>اعتبارات خاصة</w:t>
      </w:r>
    </w:p>
    <w:p w:rsidR="00671FEE" w:rsidRDefault="00671FEE" w:rsidP="00C50958">
      <w:pPr>
        <w:pStyle w:val="enumlev1"/>
        <w:spacing w:before="120"/>
      </w:pPr>
      <w:proofErr w:type="gramStart"/>
      <w:r>
        <w:t>1</w:t>
      </w:r>
      <w:proofErr w:type="gramEnd"/>
      <w:r>
        <w:tab/>
      </w:r>
      <w:r w:rsidR="00DC7DC7">
        <w:rPr>
          <w:rFonts w:hint="cs"/>
          <w:rtl/>
        </w:rPr>
        <w:t xml:space="preserve">بالنسبة للإدارتين الموقعتين على هذا المقترح فإن استخدام النطاق </w:t>
      </w:r>
      <w:r w:rsidR="00DC7DC7">
        <w:t>C</w:t>
      </w:r>
      <w:r w:rsidR="00DC7DC7">
        <w:rPr>
          <w:rFonts w:hint="cs"/>
          <w:rtl/>
          <w:lang w:bidi="ar-EG"/>
        </w:rPr>
        <w:t xml:space="preserve"> يتسم بأهمية بالغة لتوفير الخدمات عبر الأنظمة الساتلية، وهناك عدد من الأسباب الجيدة للحفاظ على وضع عدم إدخال التغييرات.</w:t>
      </w:r>
    </w:p>
    <w:p w:rsidR="00671FEE" w:rsidRDefault="00671FEE" w:rsidP="00C50958">
      <w:pPr>
        <w:pStyle w:val="enumlev1"/>
        <w:spacing w:before="120"/>
        <w:rPr>
          <w:lang w:bidi="ar-EG"/>
        </w:rPr>
      </w:pPr>
      <w:proofErr w:type="gramStart"/>
      <w:r>
        <w:rPr>
          <w:lang w:bidi="ar-EG"/>
        </w:rPr>
        <w:t>2</w:t>
      </w:r>
      <w:r>
        <w:rPr>
          <w:lang w:bidi="ar-EG"/>
        </w:rPr>
        <w:tab/>
      </w:r>
      <w:r w:rsidR="001B2945">
        <w:rPr>
          <w:rFonts w:hint="cs"/>
          <w:rtl/>
          <w:lang w:bidi="ar-EG"/>
        </w:rPr>
        <w:t>و</w:t>
      </w:r>
      <w:r w:rsidR="00DC7DC7">
        <w:rPr>
          <w:rFonts w:hint="cs"/>
          <w:rtl/>
          <w:lang w:bidi="ar-EG"/>
        </w:rPr>
        <w:t xml:space="preserve">في الحالة الخاصة للمكسيك فقد تم توزيع على نظام السواتل المكسيكي </w:t>
      </w:r>
      <w:r w:rsidR="00DC7DC7" w:rsidRPr="00A92FE2">
        <w:t>MEXSAT</w:t>
      </w:r>
      <w:r w:rsidR="00DC7DC7">
        <w:rPr>
          <w:rFonts w:hint="cs"/>
          <w:rtl/>
        </w:rPr>
        <w:t xml:space="preserve"> لتشغيل القطاع</w:t>
      </w:r>
      <w:r w:rsidR="005F1537">
        <w:rPr>
          <w:rFonts w:hint="eastAsia"/>
          <w:rtl/>
        </w:rPr>
        <w:t> </w:t>
      </w:r>
      <w:r w:rsidR="005F1537">
        <w:t>MHz 3 700</w:t>
      </w:r>
      <w:r w:rsidR="005F1537">
        <w:noBreakHyphen/>
        <w:t>3 400</w:t>
      </w:r>
      <w:r w:rsidR="005F1537">
        <w:rPr>
          <w:rFonts w:hint="cs"/>
          <w:rtl/>
        </w:rPr>
        <w:t xml:space="preserve"> </w:t>
      </w:r>
      <w:r w:rsidR="00DC7DC7">
        <w:rPr>
          <w:rFonts w:hint="cs"/>
          <w:rtl/>
        </w:rPr>
        <w:t xml:space="preserve">(فضاء-أرض) من جانب ساتل ذكرى المائتي عام الذي أُطلق بنجاح في ديسمبر </w:t>
      </w:r>
      <w:r w:rsidR="00DC7DC7" w:rsidRPr="001B2945">
        <w:rPr>
          <w:rFonts w:cs="Times New Roman" w:hint="cs"/>
          <w:szCs w:val="22"/>
          <w:rtl/>
        </w:rPr>
        <w:t>2012</w:t>
      </w:r>
      <w:r w:rsidR="00DC7DC7">
        <w:rPr>
          <w:rFonts w:hint="cs"/>
          <w:rtl/>
        </w:rPr>
        <w:t xml:space="preserve"> على الموقع المداري </w:t>
      </w:r>
      <w:r w:rsidR="00DC7DC7" w:rsidRPr="001B2945">
        <w:rPr>
          <w:rFonts w:cs="Times New Roman" w:hint="cs"/>
          <w:szCs w:val="22"/>
          <w:rtl/>
        </w:rPr>
        <w:t>114</w:t>
      </w:r>
      <w:r w:rsidR="00DC7DC7">
        <w:rPr>
          <w:rFonts w:hint="cs"/>
          <w:rtl/>
        </w:rPr>
        <w:t>,</w:t>
      </w:r>
      <w:r w:rsidR="00DC7DC7" w:rsidRPr="001B2945">
        <w:rPr>
          <w:rFonts w:cs="Times New Roman" w:hint="cs"/>
          <w:szCs w:val="22"/>
          <w:rtl/>
        </w:rPr>
        <w:t>9</w:t>
      </w:r>
      <w:r w:rsidR="00DC7DC7">
        <w:rPr>
          <w:rFonts w:hint="cs"/>
          <w:rtl/>
        </w:rPr>
        <w:t xml:space="preserve"> درجة غرباً ويوفر في </w:t>
      </w:r>
      <w:r w:rsidR="001B2945">
        <w:rPr>
          <w:rFonts w:hint="cs"/>
          <w:rtl/>
        </w:rPr>
        <w:t>الوقت</w:t>
      </w:r>
      <w:r w:rsidR="00DC7DC7">
        <w:rPr>
          <w:rFonts w:hint="cs"/>
          <w:rtl/>
        </w:rPr>
        <w:t xml:space="preserve"> الراهن خدمات الأمن القومي وخدمات الاتصالات الحكومية؛ ويشمل ذلك برنامج "</w:t>
      </w:r>
      <w:r w:rsidR="00DC7DC7" w:rsidRPr="00A92FE2">
        <w:t xml:space="preserve">México </w:t>
      </w:r>
      <w:proofErr w:type="spellStart"/>
      <w:r w:rsidR="00DC7DC7" w:rsidRPr="00A92FE2">
        <w:t>Conectado</w:t>
      </w:r>
      <w:proofErr w:type="spellEnd"/>
      <w:r w:rsidR="00DC7DC7">
        <w:rPr>
          <w:rFonts w:hint="cs"/>
          <w:rtl/>
        </w:rPr>
        <w:t>" وبرامج مهمة أ</w:t>
      </w:r>
      <w:r w:rsidR="001B2945">
        <w:rPr>
          <w:rFonts w:hint="cs"/>
          <w:rtl/>
        </w:rPr>
        <w:t>خ</w:t>
      </w:r>
      <w:r w:rsidR="00DC7DC7">
        <w:rPr>
          <w:rFonts w:hint="cs"/>
          <w:rtl/>
        </w:rPr>
        <w:t>رى للتغطية الاجتماعية للأراضي الوطنية بما في ذلك المنطقة الاقتصادية الخالصة.</w:t>
      </w:r>
      <w:proofErr w:type="gramEnd"/>
    </w:p>
    <w:p w:rsidR="002919E1" w:rsidRPr="002919E1" w:rsidRDefault="00671FEE" w:rsidP="00C50958">
      <w:pPr>
        <w:pStyle w:val="enumlev1"/>
        <w:spacing w:before="120"/>
        <w:rPr>
          <w:noProof/>
          <w:rtl/>
        </w:rPr>
      </w:pPr>
      <w:proofErr w:type="gramStart"/>
      <w:r>
        <w:rPr>
          <w:lang w:bidi="ar-EG"/>
        </w:rPr>
        <w:t>3</w:t>
      </w:r>
      <w:r>
        <w:rPr>
          <w:lang w:bidi="ar-EG"/>
        </w:rPr>
        <w:tab/>
      </w:r>
      <w:r w:rsidR="009E471B">
        <w:rPr>
          <w:rFonts w:hint="cs"/>
          <w:rtl/>
          <w:lang w:bidi="ar-EG"/>
        </w:rPr>
        <w:t>وتتقاسم</w:t>
      </w:r>
      <w:proofErr w:type="gramEnd"/>
      <w:r w:rsidR="009E471B">
        <w:rPr>
          <w:rFonts w:hint="cs"/>
          <w:rtl/>
          <w:lang w:bidi="ar-EG"/>
        </w:rPr>
        <w:t xml:space="preserve"> الإدارتان الموقعتان على هذا المقترح، بصفتهما إدارات مبلغة لمختلف الشبكات الساتلية العاملة وكسلطات مرخِّصة لمشغلي السواتل الأجنبية لتوفير الخدمات على أراضيها، هدف حماية الخدمات الساتلية لفائدة الجمهور العام، ولاسيما تلك الخدمات التي تشكل عنصراً أساسياً في تحقيق خطط التوصيلية التي صاغتها الحكومة على المستوى الدستوري وتعمل على وضعها موضع التنفيذ.</w:t>
      </w:r>
    </w:p>
    <w:p w:rsidR="009F37C9" w:rsidRDefault="00EB1557" w:rsidP="008A6056">
      <w:pPr>
        <w:pStyle w:val="ArtNo"/>
        <w:rPr>
          <w:rtl/>
        </w:rPr>
      </w:pPr>
      <w:r>
        <w:rPr>
          <w:rtl/>
        </w:rPr>
        <w:lastRenderedPageBreak/>
        <w:t xml:space="preserve">المـادة </w:t>
      </w:r>
      <w:r w:rsidRPr="008462AD">
        <w:rPr>
          <w:rStyle w:val="href"/>
        </w:rPr>
        <w:t>5</w:t>
      </w:r>
    </w:p>
    <w:p w:rsidR="009F37C9" w:rsidRPr="007031A9" w:rsidRDefault="00EB1557" w:rsidP="009F37C9">
      <w:pPr>
        <w:pStyle w:val="Arttitle"/>
        <w:rPr>
          <w:b w:val="0"/>
          <w:rtl/>
        </w:rPr>
      </w:pPr>
      <w:bookmarkStart w:id="1" w:name="_Toc331055733"/>
      <w:r w:rsidRPr="007031A9">
        <w:rPr>
          <w:b w:val="0"/>
          <w:rtl/>
        </w:rPr>
        <w:t>توزيع نطاقات التردد</w:t>
      </w:r>
      <w:bookmarkEnd w:id="1"/>
    </w:p>
    <w:p w:rsidR="009F37C9" w:rsidRDefault="00EB1557" w:rsidP="00B7446F">
      <w:pPr>
        <w:pStyle w:val="Section1"/>
      </w:pPr>
      <w:r w:rsidRPr="007031A9">
        <w:rPr>
          <w:rtl/>
        </w:rPr>
        <w:t xml:space="preserve">القسم </w:t>
      </w:r>
      <w:proofErr w:type="gramStart"/>
      <w:r w:rsidRPr="007031A9">
        <w:t>IV</w:t>
      </w:r>
      <w:r w:rsidRPr="007031A9">
        <w:rPr>
          <w:rtl/>
        </w:rPr>
        <w:t xml:space="preserve"> </w:t>
      </w:r>
      <w:r>
        <w:rPr>
          <w:rFonts w:hint="cs"/>
          <w:rtl/>
        </w:rPr>
        <w:t xml:space="preserve"> </w:t>
      </w:r>
      <w:r w:rsidRPr="007031A9">
        <w:rPr>
          <w:rtl/>
        </w:rPr>
        <w:t>-</w:t>
      </w:r>
      <w:proofErr w:type="gramEnd"/>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C50958">
        <w:rPr>
          <w:rFonts w:asciiTheme="majorBidi" w:hAnsiTheme="majorBidi" w:cstheme="majorBidi"/>
          <w:sz w:val="22"/>
          <w:szCs w:val="30"/>
        </w:rPr>
        <w:t>1.2</w:t>
      </w:r>
      <w:r w:rsidRPr="003801F3">
        <w:rPr>
          <w:b w:val="0"/>
          <w:bCs w:val="0"/>
          <w:sz w:val="22"/>
          <w:szCs w:val="30"/>
          <w:rtl/>
        </w:rPr>
        <w:t>)</w:t>
      </w:r>
    </w:p>
    <w:p w:rsidR="004A2E73" w:rsidRDefault="00EB1557">
      <w:pPr>
        <w:pStyle w:val="Proposal"/>
      </w:pPr>
      <w:r>
        <w:rPr>
          <w:u w:val="single"/>
        </w:rPr>
        <w:t>NOC</w:t>
      </w:r>
      <w:r>
        <w:tab/>
        <w:t>BRB/MEX/242/1</w:t>
      </w:r>
    </w:p>
    <w:p w:rsidR="009F37C9" w:rsidRPr="002F7F63" w:rsidRDefault="00EB1557">
      <w:pPr>
        <w:pStyle w:val="Tabletitle"/>
        <w:rPr>
          <w:rtl/>
        </w:rPr>
        <w:pPrChange w:id="2"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030"/>
        <w:gridCol w:w="3030"/>
        <w:gridCol w:w="17"/>
        <w:gridCol w:w="3270"/>
      </w:tblGrid>
      <w:tr w:rsidR="006339CB" w:rsidRPr="006253DB" w:rsidTr="006339CB">
        <w:trPr>
          <w:cantSplit/>
          <w:jc w:val="right"/>
        </w:trPr>
        <w:tc>
          <w:tcPr>
            <w:tcW w:w="5000" w:type="pct"/>
            <w:gridSpan w:val="4"/>
            <w:tcBorders>
              <w:top w:val="single" w:sz="4" w:space="0" w:color="auto"/>
              <w:left w:val="single" w:sz="4" w:space="0" w:color="auto"/>
              <w:bottom w:val="single" w:sz="4" w:space="0" w:color="auto"/>
              <w:right w:val="single" w:sz="4" w:space="0" w:color="auto"/>
            </w:tcBorders>
          </w:tcPr>
          <w:p w:rsidR="006339CB" w:rsidRPr="006253DB" w:rsidRDefault="00EB1557" w:rsidP="006339CB">
            <w:pPr>
              <w:pStyle w:val="Tablehead"/>
              <w:ind w:left="227" w:right="57" w:hanging="170"/>
            </w:pPr>
            <w:r w:rsidRPr="006253DB">
              <w:rPr>
                <w:rtl/>
              </w:rPr>
              <w:t>التوزيع على الخدمات</w:t>
            </w:r>
          </w:p>
        </w:tc>
      </w:tr>
      <w:tr w:rsidR="006339CB" w:rsidRPr="006253DB" w:rsidTr="00671FEE">
        <w:trPr>
          <w:cantSplit/>
          <w:jc w:val="right"/>
        </w:trPr>
        <w:tc>
          <w:tcPr>
            <w:tcW w:w="1621" w:type="pct"/>
            <w:tcBorders>
              <w:top w:val="single" w:sz="4" w:space="0" w:color="auto"/>
              <w:left w:val="single" w:sz="6" w:space="0" w:color="auto"/>
              <w:bottom w:val="single" w:sz="4" w:space="0" w:color="auto"/>
              <w:right w:val="single" w:sz="6" w:space="0" w:color="auto"/>
            </w:tcBorders>
          </w:tcPr>
          <w:p w:rsidR="006339CB" w:rsidRPr="006253DB" w:rsidRDefault="00EB1557" w:rsidP="006339CB">
            <w:pPr>
              <w:pStyle w:val="Tablehead"/>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6339CB" w:rsidRPr="006253DB" w:rsidRDefault="00EB1557" w:rsidP="006339CB">
            <w:pPr>
              <w:pStyle w:val="Tablehead"/>
              <w:ind w:left="227" w:right="57" w:hanging="170"/>
            </w:pPr>
            <w:r w:rsidRPr="006253DB">
              <w:rPr>
                <w:rtl/>
              </w:rPr>
              <w:t xml:space="preserve">الإقليم </w:t>
            </w:r>
            <w:r w:rsidRPr="006253DB">
              <w:t>2</w:t>
            </w:r>
          </w:p>
        </w:tc>
        <w:tc>
          <w:tcPr>
            <w:tcW w:w="1758" w:type="pct"/>
            <w:gridSpan w:val="2"/>
            <w:tcBorders>
              <w:top w:val="single" w:sz="4" w:space="0" w:color="auto"/>
              <w:left w:val="single" w:sz="6" w:space="0" w:color="auto"/>
              <w:bottom w:val="single" w:sz="4" w:space="0" w:color="auto"/>
              <w:right w:val="single" w:sz="6" w:space="0" w:color="auto"/>
            </w:tcBorders>
          </w:tcPr>
          <w:p w:rsidR="006339CB" w:rsidRPr="006253DB" w:rsidRDefault="00EB1557" w:rsidP="006339CB">
            <w:pPr>
              <w:pStyle w:val="Tablehead"/>
              <w:ind w:left="227" w:right="57" w:hanging="170"/>
            </w:pPr>
            <w:r w:rsidRPr="006253DB">
              <w:rPr>
                <w:rtl/>
              </w:rPr>
              <w:t xml:space="preserve">الإقليم </w:t>
            </w:r>
            <w:r w:rsidRPr="006253DB">
              <w:t>3</w:t>
            </w:r>
          </w:p>
        </w:tc>
      </w:tr>
      <w:tr w:rsidR="006339CB" w:rsidRPr="006253DB" w:rsidTr="00671FEE">
        <w:trPr>
          <w:cantSplit/>
          <w:trHeight w:val="1702"/>
          <w:jc w:val="right"/>
        </w:trPr>
        <w:tc>
          <w:tcPr>
            <w:tcW w:w="1621" w:type="pct"/>
            <w:vMerge w:val="restart"/>
            <w:tcBorders>
              <w:top w:val="single" w:sz="6" w:space="0" w:color="auto"/>
              <w:left w:val="single" w:sz="6" w:space="0" w:color="auto"/>
              <w:bottom w:val="single" w:sz="6" w:space="0" w:color="auto"/>
              <w:right w:val="single" w:sz="6" w:space="0" w:color="auto"/>
            </w:tcBorders>
          </w:tcPr>
          <w:p w:rsidR="006339CB" w:rsidRPr="00FA3B95" w:rsidRDefault="00EB1557" w:rsidP="006339CB">
            <w:pPr>
              <w:pStyle w:val="TabletextS5"/>
              <w:spacing w:line="240" w:lineRule="exact"/>
              <w:ind w:left="227" w:right="57"/>
              <w:rPr>
                <w:rStyle w:val="Tablefreq"/>
              </w:rPr>
            </w:pPr>
            <w:r w:rsidRPr="00FA3B95">
              <w:rPr>
                <w:rStyle w:val="Tablefreq"/>
              </w:rPr>
              <w:t>3 600-3 400</w:t>
            </w:r>
          </w:p>
          <w:p w:rsidR="006339CB" w:rsidRPr="00930CEF" w:rsidRDefault="00EB1557" w:rsidP="006339CB">
            <w:pPr>
              <w:pStyle w:val="TabletextS5"/>
              <w:spacing w:line="240" w:lineRule="exact"/>
              <w:ind w:left="227" w:right="57"/>
              <w:rPr>
                <w:b/>
                <w:bCs/>
                <w:rtl/>
              </w:rPr>
            </w:pPr>
            <w:r w:rsidRPr="00930CEF">
              <w:rPr>
                <w:b/>
                <w:bCs/>
                <w:rtl/>
              </w:rPr>
              <w:t>ثابتة</w:t>
            </w:r>
          </w:p>
          <w:p w:rsidR="006339CB" w:rsidRPr="006253DB" w:rsidRDefault="00EB1557" w:rsidP="006339CB">
            <w:pPr>
              <w:pStyle w:val="TabletextS5"/>
              <w:spacing w:line="240" w:lineRule="exact"/>
              <w:ind w:left="227" w:right="57"/>
            </w:pPr>
            <w:r w:rsidRPr="006253DB">
              <w:rPr>
                <w:b/>
                <w:bCs/>
                <w:rtl/>
              </w:rPr>
              <w:t>ثابتة ساتلية</w:t>
            </w:r>
            <w:r w:rsidRPr="006253DB">
              <w:rPr>
                <w:rtl/>
              </w:rPr>
              <w:t xml:space="preserve"> </w:t>
            </w:r>
            <w:r w:rsidRPr="006253DB">
              <w:rPr>
                <w:rtl/>
              </w:rPr>
              <w:br/>
              <w:t>(فضاء-أرض)</w:t>
            </w:r>
          </w:p>
          <w:p w:rsidR="006339CB" w:rsidRPr="006253DB" w:rsidRDefault="00EB1557" w:rsidP="006339CB">
            <w:pPr>
              <w:pStyle w:val="TabletextS5"/>
              <w:spacing w:line="240" w:lineRule="exact"/>
              <w:ind w:left="227" w:right="57"/>
            </w:pPr>
            <w:r w:rsidRPr="006253DB">
              <w:rPr>
                <w:rtl/>
              </w:rPr>
              <w:t xml:space="preserve">متنقلة </w:t>
            </w:r>
            <w:r w:rsidRPr="00671FEE">
              <w:rPr>
                <w:rStyle w:val="Artref"/>
              </w:rPr>
              <w:t>430A.5</w:t>
            </w:r>
            <w:r w:rsidRPr="006253DB">
              <w:t xml:space="preserve"> </w:t>
            </w:r>
          </w:p>
          <w:p w:rsidR="006339CB" w:rsidRPr="006253DB" w:rsidRDefault="00EB1557" w:rsidP="006339CB">
            <w:pPr>
              <w:pStyle w:val="TabletextS5"/>
              <w:spacing w:line="240" w:lineRule="exact"/>
              <w:ind w:left="227" w:right="57"/>
            </w:pPr>
            <w:r w:rsidRPr="006253DB">
              <w:rPr>
                <w:rtl/>
              </w:rPr>
              <w:t>تحديد راديوي للموقع</w:t>
            </w:r>
          </w:p>
          <w:p w:rsidR="006339CB" w:rsidRPr="006253DB" w:rsidRDefault="00C50958" w:rsidP="006339CB">
            <w:pPr>
              <w:pStyle w:val="TabletextS5"/>
              <w:spacing w:line="240" w:lineRule="exact"/>
              <w:ind w:left="227" w:right="57"/>
              <w:rPr>
                <w:rtl/>
              </w:rPr>
            </w:pPr>
          </w:p>
          <w:p w:rsidR="006339CB" w:rsidRPr="006253DB" w:rsidRDefault="00C50958" w:rsidP="006339CB">
            <w:pPr>
              <w:pStyle w:val="TabletextS5"/>
              <w:spacing w:line="240" w:lineRule="exact"/>
              <w:ind w:left="227" w:right="57"/>
              <w:rPr>
                <w:rtl/>
              </w:rPr>
            </w:pPr>
          </w:p>
          <w:p w:rsidR="006339CB" w:rsidRPr="006253DB" w:rsidRDefault="00C50958" w:rsidP="006339CB">
            <w:pPr>
              <w:pStyle w:val="TabletextS5"/>
              <w:spacing w:line="240" w:lineRule="exact"/>
              <w:ind w:left="227" w:right="57"/>
              <w:rPr>
                <w:rtl/>
              </w:rPr>
            </w:pPr>
          </w:p>
          <w:p w:rsidR="006339CB" w:rsidRDefault="00C50958" w:rsidP="006339CB">
            <w:pPr>
              <w:pStyle w:val="TabletextS5"/>
              <w:spacing w:line="240" w:lineRule="exact"/>
              <w:ind w:left="227" w:right="57"/>
              <w:rPr>
                <w:rtl/>
              </w:rPr>
            </w:pPr>
          </w:p>
          <w:p w:rsidR="006339CB" w:rsidRDefault="00C50958" w:rsidP="006339CB">
            <w:pPr>
              <w:pStyle w:val="TabletextS5"/>
              <w:spacing w:line="240" w:lineRule="exact"/>
              <w:ind w:left="227" w:right="57"/>
              <w:rPr>
                <w:rtl/>
              </w:rPr>
            </w:pPr>
          </w:p>
          <w:p w:rsidR="006339CB" w:rsidRPr="006253DB" w:rsidRDefault="00C50958" w:rsidP="006339CB">
            <w:pPr>
              <w:pStyle w:val="TabletextS5"/>
              <w:spacing w:line="240" w:lineRule="exact"/>
              <w:ind w:left="227" w:right="57"/>
              <w:rPr>
                <w:rtl/>
              </w:rPr>
            </w:pPr>
          </w:p>
          <w:p w:rsidR="006339CB" w:rsidRPr="00930CEF" w:rsidRDefault="00EB1557" w:rsidP="006339CB">
            <w:pPr>
              <w:pStyle w:val="TabletextS5"/>
              <w:spacing w:line="240" w:lineRule="exact"/>
              <w:ind w:left="227" w:right="57"/>
              <w:rPr>
                <w:rStyle w:val="Artref"/>
                <w:rtl/>
              </w:rPr>
            </w:pPr>
            <w:r w:rsidRPr="00930CEF">
              <w:rPr>
                <w:rStyle w:val="Artref"/>
              </w:rPr>
              <w:t>431.5</w:t>
            </w:r>
          </w:p>
          <w:p w:rsidR="006339CB" w:rsidRPr="00887315" w:rsidRDefault="00C50958" w:rsidP="00C93E18">
            <w:pPr>
              <w:pStyle w:val="TabletextS5"/>
              <w:pBdr>
                <w:bottom w:val="single" w:sz="4" w:space="1" w:color="auto"/>
              </w:pBdr>
              <w:spacing w:line="240" w:lineRule="exact"/>
              <w:rPr>
                <w:rStyle w:val="Tablefreq"/>
                <w:sz w:val="16"/>
                <w:szCs w:val="22"/>
              </w:rPr>
            </w:pPr>
          </w:p>
          <w:p w:rsidR="006339CB" w:rsidRPr="00EF63E8" w:rsidRDefault="00EB1557" w:rsidP="006339CB">
            <w:pPr>
              <w:pStyle w:val="TabletextS5"/>
              <w:spacing w:line="240" w:lineRule="exact"/>
              <w:ind w:left="227" w:right="57"/>
              <w:rPr>
                <w:rStyle w:val="Tablefreq"/>
                <w:rFonts w:ascii="Times New Roman" w:hAnsi="Times New Roman"/>
                <w:b w:val="0"/>
                <w:bCs w:val="0"/>
              </w:rPr>
            </w:pPr>
            <w:r w:rsidRPr="00FA3B95">
              <w:rPr>
                <w:rStyle w:val="Tablefreq"/>
              </w:rPr>
              <w:t>4 200-3 600</w:t>
            </w:r>
          </w:p>
          <w:p w:rsidR="006339CB" w:rsidRPr="00EF63E8" w:rsidRDefault="00EB1557" w:rsidP="006339CB">
            <w:pPr>
              <w:pStyle w:val="TabletextS5"/>
              <w:spacing w:line="240" w:lineRule="exact"/>
              <w:ind w:left="227" w:right="57"/>
              <w:rPr>
                <w:b/>
                <w:bCs/>
              </w:rPr>
            </w:pPr>
            <w:r w:rsidRPr="00EF63E8">
              <w:rPr>
                <w:b/>
                <w:bCs/>
                <w:rtl/>
              </w:rPr>
              <w:t>ثابتة</w:t>
            </w:r>
          </w:p>
          <w:p w:rsidR="006339CB" w:rsidRPr="006253DB" w:rsidRDefault="00EB1557" w:rsidP="006339CB">
            <w:pPr>
              <w:pStyle w:val="TabletextS5"/>
              <w:spacing w:line="240" w:lineRule="exact"/>
              <w:ind w:left="227" w:right="57"/>
            </w:pPr>
            <w:r w:rsidRPr="006253DB">
              <w:rPr>
                <w:b/>
                <w:bCs/>
                <w:rtl/>
              </w:rPr>
              <w:t>ثابتة ساتلية</w:t>
            </w:r>
            <w:r w:rsidRPr="006253DB">
              <w:rPr>
                <w:rtl/>
              </w:rPr>
              <w:t xml:space="preserve"> </w:t>
            </w:r>
            <w:r w:rsidRPr="006253DB">
              <w:rPr>
                <w:rtl/>
              </w:rPr>
              <w:br/>
              <w:t>(فضاء-أرض)</w:t>
            </w:r>
          </w:p>
          <w:p w:rsidR="006339CB" w:rsidRPr="006253DB" w:rsidRDefault="00EB1557" w:rsidP="006339CB">
            <w:pPr>
              <w:pStyle w:val="TabletextS5"/>
              <w:spacing w:line="240" w:lineRule="exact"/>
              <w:ind w:left="227" w:right="57"/>
              <w:rPr>
                <w:rtl/>
              </w:rPr>
            </w:pPr>
            <w:r w:rsidRPr="006253DB">
              <w:rPr>
                <w:rtl/>
              </w:rPr>
              <w:t>متنقلة</w:t>
            </w:r>
          </w:p>
        </w:tc>
        <w:tc>
          <w:tcPr>
            <w:tcW w:w="1630" w:type="pct"/>
            <w:gridSpan w:val="2"/>
            <w:tcBorders>
              <w:top w:val="single" w:sz="6" w:space="0" w:color="auto"/>
              <w:left w:val="single" w:sz="6" w:space="0" w:color="auto"/>
              <w:bottom w:val="single" w:sz="4" w:space="0" w:color="auto"/>
              <w:right w:val="single" w:sz="6" w:space="0" w:color="auto"/>
            </w:tcBorders>
            <w:shd w:val="clear" w:color="auto" w:fill="auto"/>
          </w:tcPr>
          <w:p w:rsidR="006339CB" w:rsidRPr="00FA3B95" w:rsidRDefault="00EB1557" w:rsidP="006339CB">
            <w:pPr>
              <w:pStyle w:val="TabletextS5"/>
              <w:spacing w:line="240" w:lineRule="exact"/>
              <w:ind w:left="227" w:right="57"/>
              <w:rPr>
                <w:rStyle w:val="Tablefreq"/>
              </w:rPr>
            </w:pPr>
            <w:r w:rsidRPr="00FA3B95">
              <w:rPr>
                <w:rStyle w:val="Tablefreq"/>
              </w:rPr>
              <w:t>3 500-3 400</w:t>
            </w:r>
          </w:p>
          <w:p w:rsidR="006339CB" w:rsidRPr="00930CEF" w:rsidRDefault="00EB1557" w:rsidP="006339CB">
            <w:pPr>
              <w:pStyle w:val="TabletextS5"/>
              <w:spacing w:line="240" w:lineRule="exact"/>
              <w:ind w:left="227" w:right="57"/>
              <w:rPr>
                <w:b/>
                <w:bCs/>
                <w:rtl/>
              </w:rPr>
            </w:pPr>
            <w:r w:rsidRPr="00930CEF">
              <w:rPr>
                <w:b/>
                <w:bCs/>
                <w:rtl/>
              </w:rPr>
              <w:t>ثابتة</w:t>
            </w:r>
          </w:p>
          <w:p w:rsidR="006339CB" w:rsidRPr="006253DB" w:rsidRDefault="00EB1557"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EB1557" w:rsidP="006339CB">
            <w:pPr>
              <w:pStyle w:val="TabletextS5"/>
              <w:spacing w:line="240" w:lineRule="exact"/>
              <w:ind w:left="227" w:right="57"/>
            </w:pPr>
            <w:r w:rsidRPr="006253DB">
              <w:rPr>
                <w:rtl/>
              </w:rPr>
              <w:t>هواة</w:t>
            </w:r>
          </w:p>
          <w:p w:rsidR="006339CB" w:rsidRPr="006253DB" w:rsidRDefault="00EB1557" w:rsidP="006339CB">
            <w:pPr>
              <w:pStyle w:val="TabletextS5"/>
              <w:spacing w:line="240" w:lineRule="exact"/>
              <w:ind w:left="227" w:right="57"/>
              <w:rPr>
                <w:rtl/>
              </w:rPr>
            </w:pPr>
            <w:r w:rsidRPr="006253DB">
              <w:rPr>
                <w:rtl/>
              </w:rPr>
              <w:t xml:space="preserve">متنقلة </w:t>
            </w:r>
            <w:r w:rsidRPr="00F92CD7">
              <w:rPr>
                <w:rStyle w:val="Artref"/>
              </w:rPr>
              <w:t>431A.5</w:t>
            </w:r>
            <w:r w:rsidRPr="006253DB">
              <w:t xml:space="preserve"> </w:t>
            </w:r>
            <w:r w:rsidRPr="006253DB">
              <w:rPr>
                <w:rtl/>
              </w:rPr>
              <w:br/>
              <w:t xml:space="preserve">تحديد راديوي للموقع </w:t>
            </w:r>
            <w:r w:rsidRPr="00F92CD7">
              <w:rPr>
                <w:rStyle w:val="Artref"/>
              </w:rPr>
              <w:t>433.5</w:t>
            </w:r>
          </w:p>
          <w:p w:rsidR="006339CB" w:rsidRPr="00F92CD7" w:rsidRDefault="00EB1557" w:rsidP="006339CB">
            <w:pPr>
              <w:pStyle w:val="TabletextS5"/>
              <w:spacing w:line="240" w:lineRule="exact"/>
              <w:ind w:left="227" w:right="57"/>
              <w:rPr>
                <w:rStyle w:val="Artref"/>
              </w:rPr>
            </w:pPr>
            <w:r w:rsidRPr="00F92CD7">
              <w:rPr>
                <w:rStyle w:val="Artref"/>
              </w:rPr>
              <w:t>282.5</w:t>
            </w:r>
          </w:p>
        </w:tc>
        <w:tc>
          <w:tcPr>
            <w:tcW w:w="1749" w:type="pct"/>
            <w:tcBorders>
              <w:left w:val="single" w:sz="6" w:space="0" w:color="auto"/>
              <w:bottom w:val="single" w:sz="6" w:space="0" w:color="auto"/>
              <w:right w:val="single" w:sz="6" w:space="0" w:color="auto"/>
            </w:tcBorders>
          </w:tcPr>
          <w:p w:rsidR="006339CB" w:rsidRPr="00FA3B95" w:rsidRDefault="00EB1557" w:rsidP="006339CB">
            <w:pPr>
              <w:pStyle w:val="TabletextS5"/>
              <w:spacing w:line="240" w:lineRule="exact"/>
              <w:ind w:left="227" w:right="57"/>
              <w:rPr>
                <w:rStyle w:val="Tablefreq"/>
              </w:rPr>
            </w:pPr>
            <w:r w:rsidRPr="00FA3B95">
              <w:rPr>
                <w:rStyle w:val="Tablefreq"/>
              </w:rPr>
              <w:t>3 500-3 400</w:t>
            </w:r>
          </w:p>
          <w:p w:rsidR="006339CB" w:rsidRPr="00930CEF" w:rsidRDefault="00EB1557" w:rsidP="006339CB">
            <w:pPr>
              <w:pStyle w:val="TabletextS5"/>
              <w:spacing w:line="240" w:lineRule="exact"/>
              <w:ind w:left="227" w:right="57"/>
              <w:rPr>
                <w:b/>
                <w:bCs/>
                <w:rtl/>
              </w:rPr>
            </w:pPr>
            <w:r w:rsidRPr="00930CEF">
              <w:rPr>
                <w:b/>
                <w:bCs/>
                <w:rtl/>
              </w:rPr>
              <w:t>ثابتة</w:t>
            </w:r>
          </w:p>
          <w:p w:rsidR="006339CB" w:rsidRPr="006253DB" w:rsidRDefault="00EB1557"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EB1557" w:rsidP="006339CB">
            <w:pPr>
              <w:pStyle w:val="TabletextS5"/>
              <w:spacing w:line="240" w:lineRule="exact"/>
              <w:ind w:left="227" w:right="57"/>
            </w:pPr>
            <w:r w:rsidRPr="006253DB">
              <w:rPr>
                <w:rtl/>
              </w:rPr>
              <w:t>هواة</w:t>
            </w:r>
          </w:p>
          <w:p w:rsidR="006339CB" w:rsidRPr="006253DB" w:rsidRDefault="00EB1557" w:rsidP="006339CB">
            <w:pPr>
              <w:pStyle w:val="TabletextS5"/>
              <w:spacing w:line="240" w:lineRule="exact"/>
              <w:ind w:left="227" w:right="57"/>
              <w:rPr>
                <w:rtl/>
              </w:rPr>
            </w:pPr>
            <w:proofErr w:type="gramStart"/>
            <w:r w:rsidRPr="006253DB">
              <w:rPr>
                <w:rtl/>
              </w:rPr>
              <w:t>متنقلة</w:t>
            </w:r>
            <w:r>
              <w:rPr>
                <w:rFonts w:hint="cs"/>
                <w:rtl/>
              </w:rPr>
              <w:t xml:space="preserve"> </w:t>
            </w:r>
            <w:r w:rsidRPr="006253DB">
              <w:rPr>
                <w:rtl/>
              </w:rPr>
              <w:t xml:space="preserve"> </w:t>
            </w:r>
            <w:r w:rsidRPr="00F92CD7">
              <w:rPr>
                <w:rStyle w:val="Artref"/>
              </w:rPr>
              <w:t>432</w:t>
            </w:r>
            <w:proofErr w:type="gramEnd"/>
            <w:r w:rsidRPr="00F92CD7">
              <w:rPr>
                <w:rStyle w:val="Artref"/>
              </w:rPr>
              <w:t>B.5</w:t>
            </w:r>
            <w:r w:rsidRPr="006253DB">
              <w:rPr>
                <w:rtl/>
              </w:rPr>
              <w:t> </w:t>
            </w:r>
            <w:r w:rsidRPr="006253DB">
              <w:t xml:space="preserve"> </w:t>
            </w:r>
          </w:p>
          <w:p w:rsidR="006339CB" w:rsidRPr="006253DB" w:rsidRDefault="00EB1557" w:rsidP="006339CB">
            <w:pPr>
              <w:pStyle w:val="TabletextS5"/>
              <w:spacing w:line="240" w:lineRule="exact"/>
              <w:ind w:left="227" w:right="57"/>
            </w:pPr>
            <w:r w:rsidRPr="006253DB">
              <w:rPr>
                <w:rtl/>
              </w:rPr>
              <w:t xml:space="preserve">تحديد راديوي </w:t>
            </w:r>
            <w:proofErr w:type="gramStart"/>
            <w:r w:rsidRPr="006253DB">
              <w:rPr>
                <w:rtl/>
              </w:rPr>
              <w:t>للموقع</w:t>
            </w:r>
            <w:r>
              <w:rPr>
                <w:rFonts w:hint="cs"/>
                <w:rtl/>
              </w:rPr>
              <w:t xml:space="preserve"> </w:t>
            </w:r>
            <w:r w:rsidRPr="006253DB">
              <w:rPr>
                <w:rtl/>
              </w:rPr>
              <w:t xml:space="preserve"> </w:t>
            </w:r>
            <w:r w:rsidRPr="00F92CD7">
              <w:rPr>
                <w:rStyle w:val="Artref"/>
              </w:rPr>
              <w:t>433.5</w:t>
            </w:r>
            <w:proofErr w:type="gramEnd"/>
          </w:p>
          <w:p w:rsidR="006339CB" w:rsidRPr="00930CEF" w:rsidRDefault="00EB1557" w:rsidP="006339CB">
            <w:pPr>
              <w:pStyle w:val="TabletextS5"/>
              <w:spacing w:line="240" w:lineRule="exact"/>
              <w:ind w:left="227" w:right="57"/>
              <w:rPr>
                <w:rStyle w:val="Artref"/>
              </w:rPr>
            </w:pPr>
            <w:r w:rsidRPr="00930CEF">
              <w:rPr>
                <w:rStyle w:val="Artref"/>
              </w:rPr>
              <w:t>432.5  282.5</w:t>
            </w:r>
            <w:r w:rsidRPr="00930CEF">
              <w:rPr>
                <w:rStyle w:val="Artref"/>
                <w:rtl/>
              </w:rPr>
              <w:t xml:space="preserve">  </w:t>
            </w:r>
            <w:r w:rsidRPr="00930CEF">
              <w:rPr>
                <w:rStyle w:val="Artref"/>
              </w:rPr>
              <w:t>432A.5</w:t>
            </w:r>
          </w:p>
        </w:tc>
      </w:tr>
      <w:tr w:rsidR="006339CB" w:rsidRPr="006253DB" w:rsidTr="00671FEE">
        <w:trPr>
          <w:cantSplit/>
          <w:trHeight w:val="1385"/>
          <w:jc w:val="right"/>
        </w:trPr>
        <w:tc>
          <w:tcPr>
            <w:tcW w:w="1621" w:type="pct"/>
            <w:vMerge/>
            <w:tcBorders>
              <w:top w:val="single" w:sz="6" w:space="0" w:color="auto"/>
              <w:left w:val="single" w:sz="6" w:space="0" w:color="auto"/>
              <w:bottom w:val="single" w:sz="6" w:space="0" w:color="auto"/>
              <w:right w:val="single" w:sz="6" w:space="0" w:color="auto"/>
            </w:tcBorders>
          </w:tcPr>
          <w:p w:rsidR="006339CB" w:rsidRPr="006253DB" w:rsidRDefault="00C50958" w:rsidP="006339CB">
            <w:pPr>
              <w:ind w:left="227" w:right="57" w:hanging="170"/>
              <w:rPr>
                <w:rStyle w:val="Tablefreq"/>
              </w:rPr>
            </w:pPr>
          </w:p>
        </w:tc>
        <w:tc>
          <w:tcPr>
            <w:tcW w:w="1630" w:type="pct"/>
            <w:gridSpan w:val="2"/>
            <w:vMerge w:val="restart"/>
            <w:tcBorders>
              <w:top w:val="single" w:sz="4" w:space="0" w:color="auto"/>
              <w:left w:val="single" w:sz="6" w:space="0" w:color="auto"/>
              <w:bottom w:val="single" w:sz="6" w:space="0" w:color="auto"/>
              <w:right w:val="single" w:sz="6" w:space="0" w:color="auto"/>
            </w:tcBorders>
            <w:shd w:val="clear" w:color="auto" w:fill="auto"/>
          </w:tcPr>
          <w:p w:rsidR="006339CB" w:rsidRPr="00FA3B95" w:rsidRDefault="00EB1557" w:rsidP="006339CB">
            <w:pPr>
              <w:pStyle w:val="TabletextS5"/>
              <w:spacing w:line="240" w:lineRule="exact"/>
              <w:ind w:left="227" w:right="57"/>
              <w:rPr>
                <w:rStyle w:val="Tablefreq"/>
              </w:rPr>
            </w:pPr>
            <w:r w:rsidRPr="00FA3B95">
              <w:rPr>
                <w:rStyle w:val="Tablefreq"/>
              </w:rPr>
              <w:t>3 700-3 500</w:t>
            </w:r>
          </w:p>
          <w:p w:rsidR="006339CB" w:rsidRPr="006253DB" w:rsidRDefault="00EB1557" w:rsidP="006339CB">
            <w:pPr>
              <w:pStyle w:val="TabletextS5"/>
              <w:spacing w:line="240" w:lineRule="exact"/>
              <w:ind w:left="227" w:right="57"/>
            </w:pPr>
            <w:r w:rsidRPr="006253DB">
              <w:rPr>
                <w:b/>
                <w:bCs/>
                <w:rtl/>
              </w:rPr>
              <w:t>ثابتة</w:t>
            </w:r>
          </w:p>
          <w:p w:rsidR="006339CB" w:rsidRPr="006253DB" w:rsidRDefault="00EB1557"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EB1557" w:rsidP="006339CB">
            <w:pPr>
              <w:pStyle w:val="TabletextS5"/>
              <w:spacing w:line="240" w:lineRule="exact"/>
              <w:ind w:left="227" w:right="57"/>
              <w:rPr>
                <w:rtl/>
              </w:rPr>
            </w:pPr>
            <w:r w:rsidRPr="006253DB">
              <w:rPr>
                <w:b/>
                <w:bCs/>
                <w:rtl/>
              </w:rPr>
              <w:t>متنقلة</w:t>
            </w:r>
            <w:r w:rsidRPr="006253DB">
              <w:rPr>
                <w:rtl/>
              </w:rPr>
              <w:t xml:space="preserve"> باستثناء المتنقلة للطيران </w:t>
            </w:r>
          </w:p>
          <w:p w:rsidR="006339CB" w:rsidRPr="006253DB" w:rsidRDefault="00EB1557" w:rsidP="006339CB">
            <w:pPr>
              <w:pStyle w:val="TabletextS5"/>
              <w:spacing w:line="240" w:lineRule="exact"/>
              <w:ind w:left="227" w:right="57"/>
              <w:rPr>
                <w:rtl/>
              </w:rPr>
            </w:pPr>
            <w:r w:rsidRPr="006253DB">
              <w:rPr>
                <w:rtl/>
              </w:rPr>
              <w:t xml:space="preserve">تحديد راديوي </w:t>
            </w:r>
            <w:proofErr w:type="gramStart"/>
            <w:r w:rsidRPr="006253DB">
              <w:rPr>
                <w:rtl/>
              </w:rPr>
              <w:t xml:space="preserve">للموقع </w:t>
            </w:r>
            <w:r w:rsidRPr="006253DB">
              <w:t xml:space="preserve"> </w:t>
            </w:r>
            <w:r w:rsidRPr="00F92CD7">
              <w:rPr>
                <w:rStyle w:val="Artref"/>
              </w:rPr>
              <w:t>433.5</w:t>
            </w:r>
            <w:proofErr w:type="gramEnd"/>
          </w:p>
          <w:p w:rsidR="006339CB" w:rsidRPr="006253DB" w:rsidRDefault="00C50958" w:rsidP="006339CB">
            <w:pPr>
              <w:pStyle w:val="TabletextS5"/>
              <w:spacing w:line="240" w:lineRule="exact"/>
              <w:ind w:left="227" w:right="57"/>
              <w:rPr>
                <w:rtl/>
              </w:rPr>
            </w:pPr>
          </w:p>
          <w:p w:rsidR="006339CB" w:rsidRPr="006253DB" w:rsidRDefault="00C50958" w:rsidP="006339CB">
            <w:pPr>
              <w:pStyle w:val="TabletextS5"/>
              <w:spacing w:line="240" w:lineRule="exact"/>
              <w:ind w:left="227" w:right="57"/>
              <w:rPr>
                <w:rtl/>
              </w:rPr>
            </w:pPr>
          </w:p>
          <w:p w:rsidR="006339CB" w:rsidRPr="006253DB" w:rsidRDefault="00C50958" w:rsidP="006339CB">
            <w:pPr>
              <w:pStyle w:val="TabletextS5"/>
              <w:spacing w:line="240" w:lineRule="exact"/>
              <w:ind w:left="227" w:right="57"/>
              <w:rPr>
                <w:rtl/>
              </w:rPr>
            </w:pPr>
          </w:p>
          <w:p w:rsidR="006339CB" w:rsidRPr="006253DB" w:rsidRDefault="00C50958" w:rsidP="006339CB">
            <w:pPr>
              <w:pStyle w:val="TabletextS5"/>
              <w:spacing w:line="240" w:lineRule="exact"/>
              <w:ind w:left="227" w:right="57"/>
              <w:rPr>
                <w:rtl/>
              </w:rPr>
            </w:pPr>
          </w:p>
          <w:p w:rsidR="006339CB" w:rsidRPr="006253DB" w:rsidRDefault="00C50958" w:rsidP="006339CB">
            <w:pPr>
              <w:pStyle w:val="TabletextS5"/>
              <w:spacing w:line="240" w:lineRule="exact"/>
              <w:ind w:left="227" w:right="57"/>
              <w:rPr>
                <w:rtl/>
              </w:rPr>
            </w:pPr>
          </w:p>
          <w:p w:rsidR="006339CB" w:rsidRPr="006253DB" w:rsidRDefault="00C50958" w:rsidP="006339CB">
            <w:pPr>
              <w:pStyle w:val="TabletextS5"/>
              <w:spacing w:line="240" w:lineRule="exact"/>
              <w:ind w:left="227" w:right="57"/>
              <w:rPr>
                <w:rStyle w:val="Tablefreq"/>
                <w:b w:val="0"/>
                <w:rtl/>
              </w:rPr>
            </w:pPr>
          </w:p>
        </w:tc>
        <w:tc>
          <w:tcPr>
            <w:tcW w:w="1749" w:type="pct"/>
            <w:tcBorders>
              <w:top w:val="single" w:sz="6" w:space="0" w:color="auto"/>
              <w:left w:val="single" w:sz="6" w:space="0" w:color="auto"/>
              <w:bottom w:val="single" w:sz="6" w:space="0" w:color="auto"/>
              <w:right w:val="single" w:sz="6" w:space="0" w:color="auto"/>
            </w:tcBorders>
          </w:tcPr>
          <w:p w:rsidR="006339CB" w:rsidRPr="00FA3B95" w:rsidRDefault="00EB1557" w:rsidP="006339CB">
            <w:pPr>
              <w:pStyle w:val="TabletextS5"/>
              <w:spacing w:line="240" w:lineRule="exact"/>
              <w:ind w:left="227" w:right="57"/>
              <w:rPr>
                <w:rStyle w:val="Tablefreq"/>
              </w:rPr>
            </w:pPr>
            <w:r w:rsidRPr="00FA3B95">
              <w:rPr>
                <w:rStyle w:val="Tablefreq"/>
              </w:rPr>
              <w:t>3 600-3 500</w:t>
            </w:r>
          </w:p>
          <w:p w:rsidR="006339CB" w:rsidRPr="006253DB" w:rsidRDefault="00EB1557" w:rsidP="006339CB">
            <w:pPr>
              <w:pStyle w:val="TabletextS5"/>
              <w:spacing w:line="240" w:lineRule="exact"/>
              <w:ind w:left="227" w:right="57"/>
            </w:pPr>
            <w:r w:rsidRPr="006253DB">
              <w:rPr>
                <w:b/>
                <w:bCs/>
                <w:rtl/>
              </w:rPr>
              <w:t>ثابتة</w:t>
            </w:r>
          </w:p>
          <w:p w:rsidR="006339CB" w:rsidRPr="006253DB" w:rsidRDefault="00EB1557"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EB1557" w:rsidP="006339CB">
            <w:pPr>
              <w:pStyle w:val="TabletextS5"/>
              <w:spacing w:line="240" w:lineRule="exact"/>
              <w:ind w:left="227" w:right="57"/>
              <w:rPr>
                <w:rtl/>
              </w:rPr>
            </w:pPr>
            <w:r w:rsidRPr="006253DB">
              <w:rPr>
                <w:b/>
                <w:bCs/>
                <w:rtl/>
              </w:rPr>
              <w:t>متنقلة</w:t>
            </w:r>
            <w:r w:rsidRPr="006253DB">
              <w:rPr>
                <w:rtl/>
              </w:rPr>
              <w:t xml:space="preserve"> باستثناء المتنقلة </w:t>
            </w:r>
            <w:proofErr w:type="gramStart"/>
            <w:r w:rsidRPr="006253DB">
              <w:rPr>
                <w:rtl/>
              </w:rPr>
              <w:t>للطيران</w:t>
            </w:r>
            <w:r>
              <w:rPr>
                <w:rFonts w:hint="cs"/>
                <w:rtl/>
              </w:rPr>
              <w:t xml:space="preserve"> </w:t>
            </w:r>
            <w:r w:rsidRPr="006253DB">
              <w:rPr>
                <w:rtl/>
              </w:rPr>
              <w:t xml:space="preserve"> </w:t>
            </w:r>
            <w:r w:rsidRPr="00F92CD7">
              <w:rPr>
                <w:rStyle w:val="Artref"/>
              </w:rPr>
              <w:t>433</w:t>
            </w:r>
            <w:proofErr w:type="gramEnd"/>
            <w:r w:rsidRPr="00F92CD7">
              <w:rPr>
                <w:rStyle w:val="Artref"/>
              </w:rPr>
              <w:t>A.5</w:t>
            </w:r>
          </w:p>
          <w:p w:rsidR="006339CB" w:rsidRPr="006253DB" w:rsidRDefault="00EB1557" w:rsidP="006339CB">
            <w:pPr>
              <w:pStyle w:val="TabletextS5"/>
              <w:spacing w:line="240" w:lineRule="exact"/>
              <w:ind w:left="227" w:right="57"/>
              <w:rPr>
                <w:rStyle w:val="Tablefreq"/>
                <w:b w:val="0"/>
              </w:rPr>
            </w:pPr>
            <w:r w:rsidRPr="006253DB">
              <w:rPr>
                <w:rtl/>
              </w:rPr>
              <w:t xml:space="preserve">تحديد راديوي </w:t>
            </w:r>
            <w:proofErr w:type="gramStart"/>
            <w:r w:rsidRPr="006253DB">
              <w:rPr>
                <w:rtl/>
              </w:rPr>
              <w:t xml:space="preserve">للموقع </w:t>
            </w:r>
            <w:r w:rsidRPr="006253DB">
              <w:t xml:space="preserve"> </w:t>
            </w:r>
            <w:r w:rsidRPr="00F92CD7">
              <w:rPr>
                <w:rStyle w:val="Artref"/>
              </w:rPr>
              <w:t>433.5</w:t>
            </w:r>
            <w:proofErr w:type="gramEnd"/>
          </w:p>
        </w:tc>
      </w:tr>
      <w:tr w:rsidR="006339CB" w:rsidRPr="006253DB" w:rsidTr="00671FEE">
        <w:trPr>
          <w:cantSplit/>
          <w:trHeight w:val="1534"/>
          <w:jc w:val="right"/>
        </w:trPr>
        <w:tc>
          <w:tcPr>
            <w:tcW w:w="1621" w:type="pct"/>
            <w:vMerge/>
            <w:tcBorders>
              <w:top w:val="single" w:sz="6" w:space="0" w:color="auto"/>
              <w:left w:val="single" w:sz="6" w:space="0" w:color="auto"/>
              <w:bottom w:val="single" w:sz="6" w:space="0" w:color="auto"/>
              <w:right w:val="single" w:sz="6" w:space="0" w:color="auto"/>
            </w:tcBorders>
          </w:tcPr>
          <w:p w:rsidR="006339CB" w:rsidRPr="006253DB" w:rsidRDefault="00C50958" w:rsidP="006339CB">
            <w:pPr>
              <w:ind w:left="227" w:right="57" w:hanging="170"/>
              <w:rPr>
                <w:rStyle w:val="Tablefreq"/>
              </w:rPr>
            </w:pPr>
          </w:p>
        </w:tc>
        <w:tc>
          <w:tcPr>
            <w:tcW w:w="1630" w:type="pct"/>
            <w:gridSpan w:val="2"/>
            <w:vMerge/>
            <w:tcBorders>
              <w:left w:val="single" w:sz="6" w:space="0" w:color="auto"/>
              <w:bottom w:val="single" w:sz="6" w:space="0" w:color="auto"/>
              <w:right w:val="single" w:sz="6" w:space="0" w:color="auto"/>
            </w:tcBorders>
            <w:shd w:val="clear" w:color="auto" w:fill="auto"/>
          </w:tcPr>
          <w:p w:rsidR="006339CB" w:rsidRPr="006253DB" w:rsidRDefault="00C50958" w:rsidP="006339CB">
            <w:pPr>
              <w:tabs>
                <w:tab w:val="left" w:pos="631"/>
              </w:tabs>
              <w:ind w:left="227" w:right="57" w:hanging="170"/>
              <w:rPr>
                <w:bCs/>
                <w:rtl/>
              </w:rPr>
            </w:pPr>
          </w:p>
        </w:tc>
        <w:tc>
          <w:tcPr>
            <w:tcW w:w="1749" w:type="pct"/>
            <w:tcBorders>
              <w:top w:val="single" w:sz="6" w:space="0" w:color="auto"/>
              <w:left w:val="single" w:sz="6" w:space="0" w:color="auto"/>
              <w:bottom w:val="single" w:sz="6" w:space="0" w:color="auto"/>
              <w:right w:val="single" w:sz="6" w:space="0" w:color="auto"/>
            </w:tcBorders>
          </w:tcPr>
          <w:p w:rsidR="006339CB" w:rsidRPr="00FA3B95" w:rsidRDefault="00EB1557" w:rsidP="006339CB">
            <w:pPr>
              <w:pStyle w:val="TabletextS5"/>
              <w:spacing w:line="240" w:lineRule="exact"/>
              <w:ind w:left="227" w:right="57"/>
              <w:rPr>
                <w:rStyle w:val="Tablefreq"/>
                <w:rtl/>
              </w:rPr>
            </w:pPr>
            <w:r w:rsidRPr="00FA3B95">
              <w:rPr>
                <w:rStyle w:val="Tablefreq"/>
              </w:rPr>
              <w:t>3 700-3 600</w:t>
            </w:r>
          </w:p>
          <w:p w:rsidR="006339CB" w:rsidRPr="006253DB" w:rsidRDefault="00EB1557" w:rsidP="006339CB">
            <w:pPr>
              <w:pStyle w:val="TabletextS5"/>
              <w:spacing w:line="240" w:lineRule="exact"/>
              <w:ind w:left="227" w:right="57"/>
            </w:pPr>
            <w:r w:rsidRPr="006253DB">
              <w:rPr>
                <w:b/>
                <w:bCs/>
                <w:rtl/>
              </w:rPr>
              <w:t>ثابتة</w:t>
            </w:r>
          </w:p>
          <w:p w:rsidR="006339CB" w:rsidRPr="006253DB" w:rsidRDefault="00EB1557" w:rsidP="006339CB">
            <w:pPr>
              <w:pStyle w:val="TabletextS5"/>
              <w:spacing w:line="240" w:lineRule="exact"/>
              <w:ind w:left="227" w:right="57"/>
              <w:rPr>
                <w:rtl/>
              </w:rPr>
            </w:pPr>
            <w:r w:rsidRPr="006253DB">
              <w:rPr>
                <w:b/>
                <w:bCs/>
                <w:rtl/>
              </w:rPr>
              <w:t>ثابتة ساتلية</w:t>
            </w:r>
            <w:r w:rsidRPr="006253DB">
              <w:rPr>
                <w:rtl/>
              </w:rPr>
              <w:t xml:space="preserve"> (فضاء-أرض)</w:t>
            </w:r>
          </w:p>
          <w:p w:rsidR="006339CB" w:rsidRPr="006253DB" w:rsidRDefault="00EB1557" w:rsidP="006339CB">
            <w:pPr>
              <w:pStyle w:val="TabletextS5"/>
              <w:spacing w:line="240" w:lineRule="exact"/>
              <w:ind w:left="227" w:right="57"/>
            </w:pPr>
            <w:r w:rsidRPr="006253DB">
              <w:rPr>
                <w:b/>
                <w:bCs/>
                <w:rtl/>
              </w:rPr>
              <w:t>متنقلة</w:t>
            </w:r>
            <w:r w:rsidRPr="006253DB">
              <w:rPr>
                <w:rtl/>
              </w:rPr>
              <w:t xml:space="preserve"> باستثناء المتنقلة للطيران</w:t>
            </w:r>
          </w:p>
          <w:p w:rsidR="006339CB" w:rsidRPr="006253DB" w:rsidRDefault="00EB1557" w:rsidP="006339CB">
            <w:pPr>
              <w:pStyle w:val="TabletextS5"/>
              <w:spacing w:line="240" w:lineRule="exact"/>
              <w:ind w:left="227" w:right="57"/>
              <w:rPr>
                <w:rtl/>
              </w:rPr>
            </w:pPr>
            <w:r w:rsidRPr="006253DB">
              <w:rPr>
                <w:rtl/>
              </w:rPr>
              <w:t>تحديد راديوي للموقع</w:t>
            </w:r>
          </w:p>
          <w:p w:rsidR="006339CB" w:rsidRPr="00F92CD7" w:rsidRDefault="00EB1557" w:rsidP="006339CB">
            <w:pPr>
              <w:pStyle w:val="TabletextS5"/>
              <w:spacing w:line="240" w:lineRule="exact"/>
              <w:ind w:left="227" w:right="57"/>
              <w:rPr>
                <w:rStyle w:val="Artref"/>
                <w:rtl/>
              </w:rPr>
            </w:pPr>
            <w:r w:rsidRPr="00F92CD7">
              <w:rPr>
                <w:rStyle w:val="Artref"/>
              </w:rPr>
              <w:t>435.5</w:t>
            </w:r>
          </w:p>
        </w:tc>
      </w:tr>
      <w:tr w:rsidR="006339CB" w:rsidRPr="006253DB" w:rsidTr="006339CB">
        <w:trPr>
          <w:cantSplit/>
          <w:trHeight w:val="954"/>
          <w:jc w:val="right"/>
        </w:trPr>
        <w:tc>
          <w:tcPr>
            <w:tcW w:w="1621" w:type="pct"/>
            <w:vMerge/>
            <w:tcBorders>
              <w:top w:val="single" w:sz="6" w:space="0" w:color="auto"/>
              <w:left w:val="single" w:sz="6" w:space="0" w:color="auto"/>
              <w:bottom w:val="single" w:sz="4" w:space="0" w:color="auto"/>
              <w:right w:val="single" w:sz="6" w:space="0" w:color="auto"/>
            </w:tcBorders>
          </w:tcPr>
          <w:p w:rsidR="006339CB" w:rsidRPr="006253DB" w:rsidRDefault="00C50958" w:rsidP="006339CB">
            <w:pPr>
              <w:ind w:left="227" w:right="57" w:hanging="170"/>
              <w:rPr>
                <w:rStyle w:val="Tablefreq"/>
              </w:rPr>
            </w:pPr>
          </w:p>
        </w:tc>
        <w:tc>
          <w:tcPr>
            <w:tcW w:w="3379" w:type="pct"/>
            <w:gridSpan w:val="3"/>
            <w:tcBorders>
              <w:top w:val="single" w:sz="6" w:space="0" w:color="auto"/>
              <w:left w:val="single" w:sz="6" w:space="0" w:color="auto"/>
              <w:bottom w:val="single" w:sz="4" w:space="0" w:color="auto"/>
              <w:right w:val="single" w:sz="6" w:space="0" w:color="auto"/>
            </w:tcBorders>
            <w:shd w:val="clear" w:color="auto" w:fill="auto"/>
          </w:tcPr>
          <w:p w:rsidR="006339CB" w:rsidRPr="00FA3B95" w:rsidRDefault="00EB1557" w:rsidP="006339CB">
            <w:pPr>
              <w:pStyle w:val="TabletextS5"/>
              <w:spacing w:line="240" w:lineRule="exact"/>
              <w:ind w:left="227" w:right="57"/>
              <w:rPr>
                <w:rStyle w:val="Tablefreq"/>
              </w:rPr>
            </w:pPr>
            <w:r w:rsidRPr="00FA3B95">
              <w:rPr>
                <w:rStyle w:val="Tablefreq"/>
              </w:rPr>
              <w:t>4 200-3 700</w:t>
            </w:r>
          </w:p>
          <w:p w:rsidR="006339CB" w:rsidRPr="00930CEF" w:rsidRDefault="00EB1557" w:rsidP="006339CB">
            <w:pPr>
              <w:pStyle w:val="TabletextS5"/>
              <w:spacing w:line="240" w:lineRule="exact"/>
              <w:ind w:left="227" w:right="57"/>
              <w:rPr>
                <w:b/>
                <w:bCs/>
              </w:rPr>
            </w:pPr>
            <w:r w:rsidRPr="00930CEF">
              <w:rPr>
                <w:b/>
                <w:bCs/>
                <w:rtl/>
              </w:rPr>
              <w:t>ثابتة</w:t>
            </w:r>
          </w:p>
          <w:p w:rsidR="006339CB" w:rsidRPr="006253DB" w:rsidRDefault="00EB1557"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EB1557" w:rsidP="006339CB">
            <w:pPr>
              <w:pStyle w:val="TabletextS5"/>
              <w:spacing w:line="240" w:lineRule="exact"/>
              <w:ind w:left="227" w:right="57"/>
              <w:rPr>
                <w:rStyle w:val="Tablefreq"/>
              </w:rPr>
            </w:pPr>
            <w:r w:rsidRPr="006253DB">
              <w:rPr>
                <w:b/>
                <w:bCs/>
                <w:rtl/>
              </w:rPr>
              <w:t>متنقلة</w:t>
            </w:r>
            <w:r w:rsidRPr="006253DB">
              <w:rPr>
                <w:rtl/>
              </w:rPr>
              <w:t xml:space="preserve"> باستثناء المتنقلة للطيران</w:t>
            </w:r>
          </w:p>
        </w:tc>
      </w:tr>
    </w:tbl>
    <w:p w:rsidR="00161A03" w:rsidRPr="009E471B" w:rsidRDefault="00EB1557" w:rsidP="007204D1">
      <w:pPr>
        <w:pStyle w:val="Reasons"/>
        <w:rPr>
          <w:b w:val="0"/>
          <w:bCs w:val="0"/>
          <w:rtl/>
          <w:lang w:bidi="ar-EG"/>
        </w:rPr>
      </w:pPr>
      <w:proofErr w:type="gramStart"/>
      <w:r>
        <w:rPr>
          <w:rtl/>
        </w:rPr>
        <w:t>الأسباب:</w:t>
      </w:r>
      <w:r>
        <w:tab/>
      </w:r>
      <w:proofErr w:type="gramEnd"/>
      <w:r w:rsidR="00161A03" w:rsidRPr="009E471B">
        <w:rPr>
          <w:rFonts w:hint="cs"/>
          <w:b w:val="0"/>
          <w:bCs w:val="0"/>
          <w:rtl/>
          <w:lang w:bidi="ar-EG"/>
        </w:rPr>
        <w:t xml:space="preserve">يمكن لتحديد النطاق </w:t>
      </w:r>
      <w:r w:rsidR="00161A03" w:rsidRPr="009E471B">
        <w:rPr>
          <w:b w:val="0"/>
          <w:bCs w:val="0"/>
          <w:lang w:bidi="ar-EG"/>
        </w:rPr>
        <w:t>MHz 4 200</w:t>
      </w:r>
      <w:r w:rsidR="00161A03" w:rsidRPr="009E471B">
        <w:rPr>
          <w:b w:val="0"/>
          <w:bCs w:val="0"/>
          <w:lang w:bidi="ar-EG"/>
        </w:rPr>
        <w:noBreakHyphen/>
        <w:t>3 400</w:t>
      </w:r>
      <w:r w:rsidR="00161A03" w:rsidRPr="009E471B">
        <w:rPr>
          <w:rFonts w:hint="cs"/>
          <w:b w:val="0"/>
          <w:bCs w:val="0"/>
          <w:rtl/>
          <w:lang w:bidi="ar-EG"/>
        </w:rPr>
        <w:t xml:space="preserve"> لأنظمة الاتصالات المتنقلة الدولية أن يتسبب في تداخلات ضارة</w:t>
      </w:r>
      <w:r w:rsidR="009E471B">
        <w:rPr>
          <w:rFonts w:hint="cs"/>
          <w:b w:val="0"/>
          <w:bCs w:val="0"/>
          <w:rtl/>
          <w:lang w:bidi="ar-EG"/>
        </w:rPr>
        <w:t xml:space="preserve"> ويؤثر على الاستمرارية وعلى جودة </w:t>
      </w:r>
      <w:r w:rsidR="00161A03" w:rsidRPr="009E471B">
        <w:rPr>
          <w:rFonts w:hint="cs"/>
          <w:b w:val="0"/>
          <w:bCs w:val="0"/>
          <w:rtl/>
          <w:lang w:bidi="ar-EG"/>
        </w:rPr>
        <w:t>الخدمات الساتلية في بلدان الإقليم </w:t>
      </w:r>
      <w:r w:rsidR="00161A03" w:rsidRPr="009E471B">
        <w:rPr>
          <w:b w:val="0"/>
          <w:bCs w:val="0"/>
          <w:lang w:bidi="ar-EG"/>
        </w:rPr>
        <w:t>2</w:t>
      </w:r>
      <w:r w:rsidR="00161A03" w:rsidRPr="009E471B">
        <w:rPr>
          <w:rFonts w:hint="cs"/>
          <w:b w:val="0"/>
          <w:bCs w:val="0"/>
          <w:rtl/>
          <w:lang w:bidi="ar-EG"/>
        </w:rPr>
        <w:t xml:space="preserve"> </w:t>
      </w:r>
      <w:r w:rsidR="009E471B">
        <w:rPr>
          <w:rFonts w:hint="cs"/>
          <w:b w:val="0"/>
          <w:bCs w:val="0"/>
          <w:rtl/>
          <w:lang w:bidi="ar-EG"/>
        </w:rPr>
        <w:t xml:space="preserve">التي تستعمل </w:t>
      </w:r>
      <w:r w:rsidRPr="009E471B">
        <w:rPr>
          <w:rFonts w:hint="cs"/>
          <w:b w:val="0"/>
          <w:bCs w:val="0"/>
          <w:rtl/>
          <w:lang w:bidi="ar-EG"/>
        </w:rPr>
        <w:t xml:space="preserve">هذه </w:t>
      </w:r>
      <w:r w:rsidR="007204D1">
        <w:rPr>
          <w:rFonts w:hint="cs"/>
          <w:b w:val="0"/>
          <w:bCs w:val="0"/>
          <w:rtl/>
          <w:lang w:bidi="ar-EG"/>
        </w:rPr>
        <w:t>الخدمات</w:t>
      </w:r>
      <w:r w:rsidRPr="009E471B">
        <w:rPr>
          <w:rFonts w:hint="cs"/>
          <w:b w:val="0"/>
          <w:bCs w:val="0"/>
          <w:rtl/>
          <w:lang w:bidi="ar-EG"/>
        </w:rPr>
        <w:t>.</w:t>
      </w:r>
    </w:p>
    <w:p w:rsidR="00EB1557" w:rsidRPr="00161A03" w:rsidRDefault="00EB1557" w:rsidP="00EB1557">
      <w:pPr>
        <w:spacing w:before="600"/>
        <w:jc w:val="center"/>
        <w:rPr>
          <w:rtl/>
          <w:lang w:bidi="ar-EG"/>
        </w:rPr>
      </w:pPr>
      <w:r>
        <w:rPr>
          <w:rFonts w:hint="cs"/>
          <w:rtl/>
          <w:lang w:bidi="ar-EG"/>
        </w:rPr>
        <w:t>___________</w:t>
      </w:r>
    </w:p>
    <w:sectPr w:rsidR="00EB1557" w:rsidRPr="00161A03">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671FEE">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E74630">
      <w:rPr>
        <w:noProof/>
        <w:lang w:val="es-ES"/>
      </w:rPr>
      <w:t>P:\ARA\ITU-R\CONF-R\CMR15\200\242A.docx</w:t>
    </w:r>
    <w:r w:rsidRPr="00CB4300">
      <w:fldChar w:fldCharType="end"/>
    </w:r>
    <w:r w:rsidRPr="00CB4300">
      <w:rPr>
        <w:lang w:val="es-ES"/>
      </w:rPr>
      <w:t xml:space="preserve">  (</w:t>
    </w:r>
    <w:r w:rsidR="00671FEE">
      <w:rPr>
        <w:lang w:val="es-ES"/>
      </w:rPr>
      <w:t>390047</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C50958">
      <w:rPr>
        <w:noProof/>
      </w:rPr>
      <w:t>12.11.15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671FEE">
    <w:pPr>
      <w:pStyle w:val="Footer"/>
      <w:rPr>
        <w:lang w:val="es-ES"/>
      </w:rPr>
    </w:pPr>
    <w:r>
      <w:fldChar w:fldCharType="begin"/>
    </w:r>
    <w:r w:rsidRPr="00CB4300">
      <w:rPr>
        <w:lang w:val="es-ES"/>
      </w:rPr>
      <w:instrText xml:space="preserve"> FILENAME \p \* MERGEFORMAT </w:instrText>
    </w:r>
    <w:r>
      <w:fldChar w:fldCharType="separate"/>
    </w:r>
    <w:r w:rsidR="00E74630">
      <w:rPr>
        <w:noProof/>
        <w:lang w:val="es-ES"/>
      </w:rPr>
      <w:t>P:\ARA\ITU-R\CONF-R\CMR15\200\242A.docx</w:t>
    </w:r>
    <w:r>
      <w:fldChar w:fldCharType="end"/>
    </w:r>
    <w:r w:rsidRPr="00CB4300">
      <w:rPr>
        <w:lang w:val="es-ES"/>
      </w:rPr>
      <w:t xml:space="preserve">   (</w:t>
    </w:r>
    <w:r w:rsidR="00671FEE">
      <w:rPr>
        <w:lang w:val="es-ES"/>
      </w:rPr>
      <w:t>390047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50958">
      <w:rPr>
        <w:noProof/>
      </w:rPr>
      <w:t>12.11.15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50958">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242-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1A03"/>
    <w:rsid w:val="001629EC"/>
    <w:rsid w:val="00167364"/>
    <w:rsid w:val="001903B2"/>
    <w:rsid w:val="001B2945"/>
    <w:rsid w:val="001C4DC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2F236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2E73"/>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2EB7"/>
    <w:rsid w:val="005C5D25"/>
    <w:rsid w:val="005D6D48"/>
    <w:rsid w:val="005D72A4"/>
    <w:rsid w:val="005F05CC"/>
    <w:rsid w:val="005F1537"/>
    <w:rsid w:val="005F65DE"/>
    <w:rsid w:val="00613492"/>
    <w:rsid w:val="006315B5"/>
    <w:rsid w:val="00651343"/>
    <w:rsid w:val="0065562F"/>
    <w:rsid w:val="00671FEE"/>
    <w:rsid w:val="00680A66"/>
    <w:rsid w:val="00681391"/>
    <w:rsid w:val="006A12AC"/>
    <w:rsid w:val="006A2162"/>
    <w:rsid w:val="006B0D94"/>
    <w:rsid w:val="006B4B90"/>
    <w:rsid w:val="006B658C"/>
    <w:rsid w:val="006D2674"/>
    <w:rsid w:val="006E38D0"/>
    <w:rsid w:val="006E465B"/>
    <w:rsid w:val="006F70BF"/>
    <w:rsid w:val="00716B1D"/>
    <w:rsid w:val="007204D1"/>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37854"/>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5629A"/>
    <w:rsid w:val="00960962"/>
    <w:rsid w:val="00972CE0"/>
    <w:rsid w:val="009A3D30"/>
    <w:rsid w:val="009B0BD8"/>
    <w:rsid w:val="009D6348"/>
    <w:rsid w:val="009E471B"/>
    <w:rsid w:val="009E613F"/>
    <w:rsid w:val="009F042B"/>
    <w:rsid w:val="009F7BA0"/>
    <w:rsid w:val="00A03FD6"/>
    <w:rsid w:val="00A116A8"/>
    <w:rsid w:val="00A21A09"/>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5684C"/>
    <w:rsid w:val="00B606BA"/>
    <w:rsid w:val="00B66817"/>
    <w:rsid w:val="00B71E3B"/>
    <w:rsid w:val="00B721D5"/>
    <w:rsid w:val="00B81CB5"/>
    <w:rsid w:val="00B8351F"/>
    <w:rsid w:val="00B86C44"/>
    <w:rsid w:val="00B9727C"/>
    <w:rsid w:val="00BA610A"/>
    <w:rsid w:val="00BA7D44"/>
    <w:rsid w:val="00BD6EF3"/>
    <w:rsid w:val="00BE69C3"/>
    <w:rsid w:val="00C1165E"/>
    <w:rsid w:val="00C217EF"/>
    <w:rsid w:val="00C22074"/>
    <w:rsid w:val="00C2377B"/>
    <w:rsid w:val="00C3693C"/>
    <w:rsid w:val="00C50958"/>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C7DC7"/>
    <w:rsid w:val="00DF2A6A"/>
    <w:rsid w:val="00DF3B72"/>
    <w:rsid w:val="00E10821"/>
    <w:rsid w:val="00E157AA"/>
    <w:rsid w:val="00E165ED"/>
    <w:rsid w:val="00E2489D"/>
    <w:rsid w:val="00E25C06"/>
    <w:rsid w:val="00E26520"/>
    <w:rsid w:val="00E343A3"/>
    <w:rsid w:val="00E51BFA"/>
    <w:rsid w:val="00E621A3"/>
    <w:rsid w:val="00E74630"/>
    <w:rsid w:val="00E77D29"/>
    <w:rsid w:val="00E833BC"/>
    <w:rsid w:val="00E8580E"/>
    <w:rsid w:val="00EA1B76"/>
    <w:rsid w:val="00EA77D7"/>
    <w:rsid w:val="00EB1557"/>
    <w:rsid w:val="00EC09B9"/>
    <w:rsid w:val="00ED048C"/>
    <w:rsid w:val="00ED4B29"/>
    <w:rsid w:val="00EF38AF"/>
    <w:rsid w:val="00EF454F"/>
    <w:rsid w:val="00F055F8"/>
    <w:rsid w:val="00F10CB4"/>
    <w:rsid w:val="00F11B3D"/>
    <w:rsid w:val="00F14763"/>
    <w:rsid w:val="00F16212"/>
    <w:rsid w:val="00F16602"/>
    <w:rsid w:val="00F2309C"/>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F0111D7-D791-4655-89DF-E356BF3F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671FEE"/>
    <w:rPr>
      <w:b w:val="0"/>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R15-WRC15-C-0242!!MSW-A</DPM_x0020_File_x0020_name>
    <DPM_x0020_Author xmlns="32a1a8c5-2265-4ebc-b7a0-2071e2c5c9bb" xsi:nil="false">Documents Proposals Manager (DPM)</DPM_x0020_Author>
    <DPM_x0020_Version xmlns="32a1a8c5-2265-4ebc-b7a0-2071e2c5c9bb" xsi:nil="false">DPM_v5.2015.11.114_prod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70616F-5353-46AD-A7C4-78918A0193F3}">
  <ds:schemaRefs>
    <ds:schemaRef ds:uri="32a1a8c5-2265-4ebc-b7a0-2071e2c5c9bb"/>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996b2e75-67fd-4955-a3b0-5ab9934cb50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AF6F936-5B36-4BD5-AB99-477E1DD1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916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R15-WRC15-C-0242!!MSW-A</vt:lpstr>
    </vt:vector>
  </TitlesOfParts>
  <Manager>General Secretariat - Pool</Manager>
  <Company>International Telecommunication Union (ITU)</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R15-WRC15-C-0242!!MSW-A</dc:title>
  <dc:creator>Documents Proposals Manager (DPM)</dc:creator>
  <cp:keywords>DPM_v5.2015.11.114_prod</cp:keywords>
  <cp:lastModifiedBy>Anbar, Mona</cp:lastModifiedBy>
  <cp:revision>10</cp:revision>
  <cp:lastPrinted>2011-11-07T13:53:00Z</cp:lastPrinted>
  <dcterms:created xsi:type="dcterms:W3CDTF">2015-11-12T09:26:00Z</dcterms:created>
  <dcterms:modified xsi:type="dcterms:W3CDTF">2015-11-12T10:37:00Z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