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DF42BB" w:rsidRDefault="00E165ED" w:rsidP="00DF42BB">
            <w:pPr>
              <w:pStyle w:val="Committee"/>
              <w:framePr w:hSpace="0" w:wrap="auto" w:hAnchor="text" w:yAlign="inline"/>
              <w:tabs>
                <w:tab w:val="clear" w:pos="2268"/>
                <w:tab w:val="left" w:pos="2448"/>
              </w:tabs>
              <w:bidi/>
              <w:rPr>
                <w:rFonts w:ascii="Verdana Bold" w:hAnsi="Verdana Bold" w:cs="Traditional Arabic"/>
                <w:bCs/>
                <w:sz w:val="19"/>
                <w:szCs w:val="30"/>
                <w:rtl/>
              </w:rPr>
            </w:pPr>
            <w:r w:rsidRPr="00DF42BB">
              <w:rPr>
                <w:rFonts w:ascii="Verdana Bold" w:hAnsi="Verdana Bold" w:cs="Traditional Arabic"/>
                <w:bCs/>
                <w:sz w:val="19"/>
                <w:szCs w:val="30"/>
                <w:rtl/>
                <w:lang w:val="en-US" w:bidi="ar-EG"/>
              </w:rPr>
              <w:t xml:space="preserve">اللجنة </w:t>
            </w:r>
            <w:r w:rsidR="00DF42BB" w:rsidRPr="00DF42BB">
              <w:rPr>
                <w:rFonts w:ascii="Verdana Bold" w:hAnsi="Verdana Bold" w:cs="Traditional Arabic"/>
                <w:bCs/>
                <w:sz w:val="19"/>
                <w:szCs w:val="30"/>
                <w:lang w:val="en-US" w:bidi="ar-EG"/>
              </w:rPr>
              <w:t>6</w:t>
            </w:r>
          </w:p>
        </w:tc>
        <w:tc>
          <w:tcPr>
            <w:tcW w:w="3053" w:type="dxa"/>
            <w:shd w:val="clear" w:color="auto" w:fill="auto"/>
            <w:vAlign w:val="center"/>
          </w:tcPr>
          <w:p w:rsidR="003E1608" w:rsidRPr="00DF42BB" w:rsidRDefault="003E1608" w:rsidP="00DF42BB">
            <w:pPr>
              <w:pStyle w:val="Adress"/>
              <w:framePr w:hSpace="0" w:wrap="auto" w:xAlign="left" w:yAlign="inline"/>
              <w:rPr>
                <w:rtl/>
              </w:rPr>
            </w:pPr>
            <w:r w:rsidRPr="00DF42BB">
              <w:rPr>
                <w:rtl/>
              </w:rPr>
              <w:t xml:space="preserve">الوثيقة </w:t>
            </w:r>
            <w:r w:rsidRPr="00DF42BB">
              <w:t>209-</w:t>
            </w:r>
            <w:r w:rsidR="00DF42BB" w:rsidRPr="00DF42BB">
              <w:t>A</w:t>
            </w:r>
          </w:p>
        </w:tc>
      </w:tr>
      <w:tr w:rsidR="00764079" w:rsidTr="003E1608">
        <w:trPr>
          <w:cantSplit/>
        </w:trPr>
        <w:tc>
          <w:tcPr>
            <w:tcW w:w="6619" w:type="dxa"/>
            <w:shd w:val="clear" w:color="auto" w:fill="auto"/>
          </w:tcPr>
          <w:p w:rsidR="00764079" w:rsidRPr="00DF42BB" w:rsidRDefault="00764079" w:rsidP="00D44350">
            <w:pPr>
              <w:pStyle w:val="Adress"/>
              <w:framePr w:hSpace="0" w:wrap="auto" w:xAlign="left" w:yAlign="inline"/>
              <w:rPr>
                <w:rtl/>
              </w:rPr>
            </w:pPr>
          </w:p>
        </w:tc>
        <w:tc>
          <w:tcPr>
            <w:tcW w:w="3053" w:type="dxa"/>
            <w:shd w:val="clear" w:color="auto" w:fill="auto"/>
            <w:vAlign w:val="center"/>
          </w:tcPr>
          <w:p w:rsidR="00764079" w:rsidRPr="00DF42BB" w:rsidRDefault="008A38A3" w:rsidP="00D44350">
            <w:pPr>
              <w:pStyle w:val="Adress"/>
              <w:framePr w:hSpace="0" w:wrap="auto" w:xAlign="left" w:yAlign="inline"/>
              <w:rPr>
                <w:rtl/>
              </w:rPr>
            </w:pPr>
            <w:r>
              <w:rPr>
                <w:rFonts w:eastAsia="SimSun"/>
              </w:rPr>
              <w:t>6</w:t>
            </w:r>
            <w:r w:rsidR="00764079" w:rsidRPr="00DF42BB">
              <w:rPr>
                <w:rFonts w:eastAsia="SimSun"/>
                <w:rtl/>
              </w:rPr>
              <w:t xml:space="preserve"> نوفمبر </w:t>
            </w:r>
            <w:r w:rsidR="00764079" w:rsidRPr="00DF42BB">
              <w:rPr>
                <w:rFonts w:eastAsia="SimSun"/>
              </w:rPr>
              <w:t>2015</w:t>
            </w:r>
          </w:p>
        </w:tc>
      </w:tr>
      <w:tr w:rsidR="00764079" w:rsidTr="003E1608">
        <w:trPr>
          <w:cantSplit/>
        </w:trPr>
        <w:tc>
          <w:tcPr>
            <w:tcW w:w="6619" w:type="dxa"/>
          </w:tcPr>
          <w:p w:rsidR="00764079" w:rsidRPr="00DF42BB" w:rsidRDefault="00764079" w:rsidP="00D44350">
            <w:pPr>
              <w:pStyle w:val="Adress"/>
              <w:framePr w:hSpace="0" w:wrap="auto" w:xAlign="left" w:yAlign="inline"/>
              <w:rPr>
                <w:rFonts w:eastAsia="SimSun" w:hint="eastAsia"/>
                <w:rtl/>
              </w:rPr>
            </w:pPr>
          </w:p>
        </w:tc>
        <w:tc>
          <w:tcPr>
            <w:tcW w:w="3053" w:type="dxa"/>
            <w:vAlign w:val="center"/>
          </w:tcPr>
          <w:p w:rsidR="00764079" w:rsidRPr="00DF42BB" w:rsidRDefault="00764079" w:rsidP="00D44350">
            <w:pPr>
              <w:pStyle w:val="Adress"/>
              <w:framePr w:hSpace="0" w:wrap="auto" w:xAlign="left" w:yAlign="inline"/>
              <w:rPr>
                <w:rFonts w:eastAsia="SimSun" w:hint="eastAsia"/>
              </w:rPr>
            </w:pPr>
            <w:r w:rsidRPr="00DF42BB">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السودان</w:t>
            </w:r>
          </w:p>
        </w:tc>
      </w:tr>
      <w:tr w:rsidR="00764079" w:rsidTr="003E1608">
        <w:trPr>
          <w:cantSplit/>
        </w:trPr>
        <w:tc>
          <w:tcPr>
            <w:tcW w:w="9672" w:type="dxa"/>
            <w:gridSpan w:val="2"/>
          </w:tcPr>
          <w:p w:rsidR="00764079" w:rsidRPr="00BD6EF3" w:rsidRDefault="00DF42BB"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DF42BB">
            <w:pPr>
              <w:pStyle w:val="Agendaitem"/>
              <w:spacing w:before="240" w:line="192" w:lineRule="auto"/>
            </w:pPr>
            <w:r w:rsidRPr="008204AC">
              <w:rPr>
                <w:rtl/>
              </w:rPr>
              <w:t xml:space="preserve">البنـد </w:t>
            </w:r>
            <w:r w:rsidR="00DF42BB">
              <w:t>8</w:t>
            </w:r>
            <w:r w:rsidRPr="008204AC">
              <w:rPr>
                <w:rtl/>
              </w:rPr>
              <w:t xml:space="preserve"> من جدول الأعمال</w:t>
            </w:r>
          </w:p>
        </w:tc>
      </w:tr>
    </w:tbl>
    <w:p w:rsidR="00534840" w:rsidRPr="00431196" w:rsidRDefault="008A38A3" w:rsidP="00DF42BB">
      <w:pPr>
        <w:pStyle w:val="Normalaftertitle"/>
        <w:rPr>
          <w:rFonts w:eastAsia="SimSun"/>
          <w:rtl/>
        </w:rPr>
      </w:pPr>
      <w:r w:rsidRPr="00431196">
        <w:rPr>
          <w:rFonts w:eastAsia="SimSun"/>
        </w:rPr>
        <w:t>8</w:t>
      </w:r>
      <w:r w:rsidRPr="00431196">
        <w:rPr>
          <w:rFonts w:eastAsia="SimSun"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431196">
        <w:rPr>
          <w:rFonts w:eastAsia="SimSun"/>
          <w:b/>
          <w:bCs/>
        </w:rPr>
        <w:t>26 (</w:t>
      </w:r>
      <w:proofErr w:type="spellStart"/>
      <w:r w:rsidRPr="00431196">
        <w:rPr>
          <w:rFonts w:eastAsia="SimSun"/>
          <w:b/>
          <w:bCs/>
        </w:rPr>
        <w:t>Rev.WRC</w:t>
      </w:r>
      <w:proofErr w:type="spellEnd"/>
      <w:r w:rsidRPr="00431196">
        <w:rPr>
          <w:rFonts w:eastAsia="SimSun"/>
          <w:b/>
          <w:bCs/>
        </w:rPr>
        <w:sym w:font="Symbol" w:char="F02D"/>
      </w:r>
      <w:r w:rsidRPr="00431196">
        <w:rPr>
          <w:rFonts w:eastAsia="SimSun"/>
          <w:b/>
          <w:bCs/>
        </w:rPr>
        <w:t>07)</w:t>
      </w:r>
      <w:r w:rsidRPr="00431196">
        <w:rPr>
          <w:rFonts w:eastAsia="SimSun" w:hint="cs"/>
          <w:rtl/>
        </w:rPr>
        <w:t>، واتخاذ التدابير المناسبة بشأنها؛</w:t>
      </w:r>
    </w:p>
    <w:p w:rsidR="002919E1" w:rsidRPr="002919E1" w:rsidRDefault="008F4626" w:rsidP="00531DC7">
      <w:pPr>
        <w:rPr>
          <w:noProof/>
          <w:rtl/>
        </w:rPr>
      </w:pPr>
      <w:r w:rsidRPr="002919E1">
        <w:rPr>
          <w:rtl/>
        </w:rPr>
        <w:br w:type="page"/>
      </w:r>
    </w:p>
    <w:p w:rsidR="009F37C9" w:rsidRDefault="008A38A3" w:rsidP="008A6056">
      <w:pPr>
        <w:pStyle w:val="ArtNo"/>
        <w:rPr>
          <w:rtl/>
        </w:rPr>
      </w:pPr>
      <w:r>
        <w:rPr>
          <w:rtl/>
        </w:rPr>
        <w:lastRenderedPageBreak/>
        <w:t xml:space="preserve">المـادة </w:t>
      </w:r>
      <w:r w:rsidRPr="008462AD">
        <w:rPr>
          <w:rStyle w:val="href"/>
        </w:rPr>
        <w:t>5</w:t>
      </w:r>
    </w:p>
    <w:p w:rsidR="009F37C9" w:rsidRPr="007031A9" w:rsidRDefault="008A38A3" w:rsidP="009F37C9">
      <w:pPr>
        <w:pStyle w:val="Arttitle"/>
        <w:rPr>
          <w:b w:val="0"/>
          <w:rtl/>
        </w:rPr>
      </w:pPr>
      <w:bookmarkStart w:id="1" w:name="_Toc331055733"/>
      <w:r w:rsidRPr="007031A9">
        <w:rPr>
          <w:b w:val="0"/>
          <w:rtl/>
        </w:rPr>
        <w:t>توزيع نطاقات التردد</w:t>
      </w:r>
      <w:bookmarkEnd w:id="1"/>
    </w:p>
    <w:p w:rsidR="009F37C9" w:rsidRDefault="008A38A3"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E327E3" w:rsidRDefault="008A38A3">
      <w:pPr>
        <w:pStyle w:val="Proposal"/>
      </w:pPr>
      <w:r>
        <w:t>MOD</w:t>
      </w:r>
      <w:r>
        <w:tab/>
        <w:t>SDN/209/1</w:t>
      </w:r>
    </w:p>
    <w:p w:rsidR="009F37C9" w:rsidRPr="005F3A80" w:rsidRDefault="008A38A3" w:rsidP="00D01D45">
      <w:pPr>
        <w:rPr>
          <w:sz w:val="16"/>
          <w:szCs w:val="16"/>
          <w:rtl/>
        </w:rPr>
      </w:pPr>
      <w:r w:rsidRPr="005F3A80">
        <w:rPr>
          <w:rStyle w:val="Artdef"/>
          <w:spacing w:val="-2"/>
        </w:rPr>
        <w:t>430A.5</w:t>
      </w:r>
      <w:r w:rsidRPr="005F3A80">
        <w:rPr>
          <w:rtl/>
        </w:rPr>
        <w:tab/>
      </w:r>
      <w:r w:rsidRPr="005F3A80">
        <w:rPr>
          <w:i/>
          <w:iCs/>
          <w:rtl/>
        </w:rPr>
        <w:t>فئة خدمة مختلفة</w:t>
      </w:r>
      <w:r w:rsidRPr="005F3A80">
        <w:rPr>
          <w:rtl/>
        </w:rPr>
        <w:t xml:space="preserve">:  يوزع النطاق </w:t>
      </w:r>
      <w:r w:rsidRPr="005F3A80">
        <w:t>MHz 3 600</w:t>
      </w:r>
      <w:r w:rsidRPr="005F3A80">
        <w:noBreakHyphen/>
        <w:t>3 400</w:t>
      </w:r>
      <w:r>
        <w:rPr>
          <w:rtl/>
        </w:rPr>
        <w:t xml:space="preserve"> في </w:t>
      </w:r>
      <w:r w:rsidRPr="005F3A80">
        <w:rPr>
          <w:rtl/>
        </w:rPr>
        <w:t>البلدان التالية: ألبانيا والجزائر وألمانيا وأندورا والمملكة العربية السعودية والنمسا وأذربيجان والبحرين وبلجيكا وبنن والبوسنة والهرسك وبوتسوانا وبلغاريا وبوركينا</w:t>
      </w:r>
      <w:r w:rsidRPr="005F3A80">
        <w:rPr>
          <w:rFonts w:hint="cs"/>
          <w:rtl/>
        </w:rPr>
        <w:t> </w:t>
      </w:r>
      <w:r w:rsidRPr="005F3A80">
        <w:rPr>
          <w:rtl/>
        </w:rPr>
        <w:t xml:space="preserve">فاصو والكاميرون وقبرص والفاتيكان </w:t>
      </w:r>
      <w:r w:rsidRPr="005F3A80">
        <w:rPr>
          <w:rFonts w:hint="cs"/>
          <w:rtl/>
        </w:rPr>
        <w:t xml:space="preserve">وجمهورية الكونغو </w:t>
      </w:r>
      <w:r w:rsidRPr="005F3A80">
        <w:rPr>
          <w:rtl/>
        </w:rPr>
        <w:t>وكوت ديفوار وكرواتيا والدانمارك ومصر وإسبانيا وإستونيا وفنلندا وفرنسا والمقاطعات والتجمعات الفرنسية فيما وراء البحار</w:t>
      </w:r>
      <w:r>
        <w:rPr>
          <w:rtl/>
        </w:rPr>
        <w:t xml:space="preserve"> في </w:t>
      </w:r>
      <w:r w:rsidRPr="005F3A80">
        <w:rPr>
          <w:rtl/>
        </w:rPr>
        <w:t xml:space="preserve">الإقليم </w:t>
      </w:r>
      <w:r w:rsidRPr="005F3A80">
        <w:t>1</w:t>
      </w:r>
      <w:r w:rsidRPr="005F3A80">
        <w:rPr>
          <w:rtl/>
        </w:rPr>
        <w:t xml:space="preserve"> وغابون وجورجيا واليونان</w:t>
      </w:r>
      <w:r w:rsidRPr="005F3A80">
        <w:rPr>
          <w:rFonts w:hint="cs"/>
          <w:rtl/>
        </w:rPr>
        <w:t xml:space="preserve"> وغينيا</w:t>
      </w:r>
      <w:r w:rsidRPr="005F3A80">
        <w:rPr>
          <w:rtl/>
        </w:rPr>
        <w:t xml:space="preserve"> وهنغاريا وأيرلندا وأيسلندا وإسرائيل وإيطاليا والأردن والكويت وليسوتو ولاتفيا وجمهورية مقدونيا اليوغوسلافية السابقة وليختنشتاين وليتوانيا وملاوي ومالي ومالطة والمغرب وموريتانيا ومولدوفا وموناكو ومنغوليا والجبل الأسود وموزامبيق وناميبيا والنيجر والنرويج وعُمان وهولندا وبولندا والبرتغال وقطر والجمهورية العربية السورية وجمهورية الكونغو</w:t>
      </w:r>
      <w:r w:rsidRPr="005F3A80">
        <w:rPr>
          <w:rFonts w:hint="cs"/>
          <w:rtl/>
        </w:rPr>
        <w:t xml:space="preserve"> الديمقراطية</w:t>
      </w:r>
      <w:r w:rsidRPr="005F3A80">
        <w:rPr>
          <w:rtl/>
        </w:rPr>
        <w:t xml:space="preserve"> وسلوفاكيا والجمهورية التشيكية ورومانيا والمملكة المتحدة وسان مارينو والسنغال وصربيا وسيراليون وسلوفينيا </w:t>
      </w:r>
      <w:ins w:id="2" w:author="Tahawi, Mohamad " w:date="2015-11-06T21:42:00Z">
        <w:r w:rsidR="00E627C0">
          <w:rPr>
            <w:rFonts w:hint="cs"/>
            <w:rtl/>
          </w:rPr>
          <w:t xml:space="preserve">والسودان </w:t>
        </w:r>
      </w:ins>
      <w:r w:rsidRPr="005F3A80">
        <w:rPr>
          <w:rtl/>
        </w:rPr>
        <w:t xml:space="preserve">وجنوب إفريقيا والسويد وسويسرا وسوازيلاند وتشاد وتوغو وتونس وتركيا وأوكرانيا وزامبيا وزيمبابوي، للخدمة المتنقلة، باستثناء الخدمة المتنقلة للطيران، على أساس أولي، شريطة الحصول على موافقة الإدارات الأخرى بموجب الرقم </w:t>
      </w:r>
      <w:r w:rsidRPr="005F3A80">
        <w:rPr>
          <w:rStyle w:val="Artref"/>
          <w:spacing w:val="-2"/>
        </w:rPr>
        <w:t>21.9</w:t>
      </w:r>
      <w:r w:rsidRPr="005F3A80">
        <w:rPr>
          <w:rtl/>
        </w:rPr>
        <w:t>، وهذا النطاق محدد للاتصالات المتنقلة الدولية. وهذا التحديد</w:t>
      </w:r>
      <w:r>
        <w:rPr>
          <w:rtl/>
        </w:rPr>
        <w:t xml:space="preserve"> لا </w:t>
      </w:r>
      <w:r w:rsidRPr="005F3A80">
        <w:rPr>
          <w:rtl/>
        </w:rPr>
        <w:t>يحول دون أن يستعمل هذا النطاق أي تطبيق للخدمات الموزع عليها هذا النطاق ولا</w:t>
      </w:r>
      <w:r w:rsidRPr="005F3A80">
        <w:rPr>
          <w:rFonts w:hint="cs"/>
          <w:rtl/>
        </w:rPr>
        <w:t> </w:t>
      </w:r>
      <w:r w:rsidRPr="005F3A80">
        <w:rPr>
          <w:rtl/>
        </w:rPr>
        <w:t>يحدد أولوية</w:t>
      </w:r>
      <w:r>
        <w:rPr>
          <w:rtl/>
        </w:rPr>
        <w:t xml:space="preserve"> في </w:t>
      </w:r>
      <w:r w:rsidRPr="005F3A80">
        <w:rPr>
          <w:rtl/>
        </w:rPr>
        <w:t>لوائح الراديو. وتنطبق</w:t>
      </w:r>
      <w:r w:rsidRPr="005F3A80">
        <w:rPr>
          <w:rFonts w:hint="cs"/>
          <w:rtl/>
        </w:rPr>
        <w:t> </w:t>
      </w:r>
      <w:r w:rsidRPr="005F3A80">
        <w:rPr>
          <w:rtl/>
        </w:rPr>
        <w:t xml:space="preserve">أحكام الرقمين </w:t>
      </w:r>
      <w:r w:rsidRPr="005F3A80">
        <w:rPr>
          <w:rStyle w:val="Artref"/>
          <w:spacing w:val="-2"/>
        </w:rPr>
        <w:t>17.9</w:t>
      </w:r>
      <w:r w:rsidRPr="005F3A80">
        <w:rPr>
          <w:rtl/>
        </w:rPr>
        <w:t xml:space="preserve"> و</w:t>
      </w:r>
      <w:r w:rsidRPr="005F3A80">
        <w:rPr>
          <w:rStyle w:val="Artref"/>
          <w:spacing w:val="-2"/>
        </w:rPr>
        <w:t>18.9</w:t>
      </w:r>
      <w:r w:rsidRPr="005F3A80">
        <w:rPr>
          <w:rtl/>
        </w:rPr>
        <w:t xml:space="preserve"> أيضاً</w:t>
      </w:r>
      <w:r>
        <w:rPr>
          <w:rtl/>
        </w:rPr>
        <w:t xml:space="preserve"> في </w:t>
      </w:r>
      <w:r w:rsidRPr="005F3A80">
        <w:rPr>
          <w:rtl/>
        </w:rPr>
        <w:t>مرحلة التنسيق. وقبل أن تضع أي إدارة</w:t>
      </w:r>
      <w:r>
        <w:rPr>
          <w:rtl/>
        </w:rPr>
        <w:t xml:space="preserve"> في </w:t>
      </w:r>
      <w:r w:rsidRPr="005F3A80">
        <w:rPr>
          <w:rtl/>
        </w:rPr>
        <w:t>الخدمة محطة (قاعدة</w:t>
      </w:r>
      <w:r>
        <w:rPr>
          <w:rtl/>
        </w:rPr>
        <w:t xml:space="preserve"> أو </w:t>
      </w:r>
      <w:r w:rsidRPr="005F3A80">
        <w:rPr>
          <w:rtl/>
        </w:rPr>
        <w:t>متنقلة) للخدمة المتنقلة</w:t>
      </w:r>
      <w:r>
        <w:rPr>
          <w:rFonts w:hint="cs"/>
          <w:rtl/>
        </w:rPr>
        <w:t xml:space="preserve"> في </w:t>
      </w:r>
      <w:r w:rsidRPr="005F3A80">
        <w:rPr>
          <w:rtl/>
        </w:rPr>
        <w:t xml:space="preserve">هذا النطاق، فإن عليها أن تكفل ألاّ تتجاوز كثافة تدفق القدرة الناتجة على ارتفاع </w:t>
      </w:r>
      <w:r w:rsidRPr="005F3A80">
        <w:t>3</w:t>
      </w:r>
      <w:r w:rsidRPr="005F3A80">
        <w:rPr>
          <w:rFonts w:hint="cs"/>
          <w:rtl/>
        </w:rPr>
        <w:t xml:space="preserve"> </w:t>
      </w:r>
      <w:r w:rsidRPr="005F3A80">
        <w:rPr>
          <w:rtl/>
        </w:rPr>
        <w:t>أمتار فوق سطح الأرض القيمة</w:t>
      </w:r>
      <w:r w:rsidRPr="005F3A80">
        <w:rPr>
          <w:rFonts w:hint="cs"/>
          <w:rtl/>
        </w:rPr>
        <w:t xml:space="preserve"> </w:t>
      </w:r>
      <w:r w:rsidRPr="005F3A80">
        <w:t>dB(W/(m</w:t>
      </w:r>
      <w:r w:rsidRPr="005F3A80">
        <w:rPr>
          <w:vertAlign w:val="superscript"/>
        </w:rPr>
        <w:t>2</w:t>
      </w:r>
      <w:r w:rsidRPr="005F3A80">
        <w:t xml:space="preserve"> </w:t>
      </w:r>
      <w:r w:rsidRPr="005F3A80">
        <w:rPr>
          <w:rStyle w:val="Artdef"/>
          <w:b w:val="0"/>
          <w:color w:val="000000"/>
          <w:spacing w:val="-2"/>
        </w:rPr>
        <w:sym w:font="Symbol" w:char="F0D7"/>
      </w:r>
      <w:r w:rsidRPr="005F3A80">
        <w:t xml:space="preserve"> 4 kHz)) 154,5–</w:t>
      </w:r>
      <w:r w:rsidRPr="005F3A80">
        <w:rPr>
          <w:rtl/>
        </w:rPr>
        <w:t xml:space="preserve"> خلال أكثر من </w:t>
      </w:r>
      <w:r w:rsidRPr="005F3A80">
        <w:t>%20</w:t>
      </w:r>
      <w:r w:rsidRPr="005F3A80">
        <w:rPr>
          <w:rtl/>
        </w:rPr>
        <w:t xml:space="preserve"> من الوقت عند حدود أراضي أي إدارة أخرى. ويمكن تجاوز هذا الحد</w:t>
      </w:r>
      <w:r>
        <w:rPr>
          <w:rtl/>
        </w:rPr>
        <w:t xml:space="preserve"> في </w:t>
      </w:r>
      <w:r w:rsidRPr="005F3A80">
        <w:rPr>
          <w:rtl/>
        </w:rPr>
        <w:t xml:space="preserve">أراضي أي بلد وافقت إدارته على ذلك. ولضمان تلبية حدود كثافة تدفق القدرة </w:t>
      </w:r>
      <w:r w:rsidRPr="005F3A80">
        <w:t>(</w:t>
      </w:r>
      <w:proofErr w:type="spellStart"/>
      <w:r w:rsidRPr="005F3A80">
        <w:t>pfd</w:t>
      </w:r>
      <w:proofErr w:type="spellEnd"/>
      <w:r w:rsidRPr="005F3A80">
        <w:t>)</w:t>
      </w:r>
      <w:r w:rsidRPr="005F3A80">
        <w:rPr>
          <w:rtl/>
        </w:rPr>
        <w: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w:t>
      </w:r>
      <w:r w:rsidRPr="005F3A80">
        <w:rPr>
          <w:rFonts w:hint="cs"/>
          <w:rtl/>
        </w:rPr>
        <w:t> </w:t>
      </w:r>
      <w:r w:rsidRPr="005F3A80">
        <w:rPr>
          <w:rtl/>
        </w:rPr>
        <w:t>المحطة الأرضية) وبمساعدة المكتب إذا كانت مطلوبة.</w:t>
      </w:r>
      <w:r>
        <w:rPr>
          <w:rtl/>
        </w:rPr>
        <w:t xml:space="preserve"> وفي </w:t>
      </w:r>
      <w:r w:rsidRPr="005F3A80">
        <w:rPr>
          <w:rtl/>
        </w:rPr>
        <w:t>حالة الاختلاف، يجري المكتب عملية الحساب والتحقق من كثافة تدفق القدرة مع مراعاة المعلومات المشار إليها أعلاه. ولا يجوز لمحطات الخدمة المتنقلة</w:t>
      </w:r>
      <w:r>
        <w:rPr>
          <w:rtl/>
        </w:rPr>
        <w:t xml:space="preserve"> في </w:t>
      </w:r>
      <w:r w:rsidRPr="005F3A80">
        <w:rPr>
          <w:rtl/>
        </w:rPr>
        <w:t xml:space="preserve">النطاق </w:t>
      </w:r>
      <w:r w:rsidRPr="005F3A80">
        <w:t>MHz 3 600</w:t>
      </w:r>
      <w:r w:rsidRPr="005F3A80">
        <w:noBreakHyphen/>
        <w:t>3 400</w:t>
      </w:r>
      <w:r w:rsidRPr="005F3A80">
        <w:rPr>
          <w:rtl/>
        </w:rPr>
        <w:t xml:space="preserve"> أن تطالب بحماية من المحطات الفضائية تفوق الحماية الممنوحة</w:t>
      </w:r>
      <w:r>
        <w:rPr>
          <w:rtl/>
        </w:rPr>
        <w:t xml:space="preserve"> في </w:t>
      </w:r>
      <w:r w:rsidRPr="005F3A80">
        <w:rPr>
          <w:rtl/>
        </w:rPr>
        <w:t>الجدول</w:t>
      </w:r>
      <w:r w:rsidRPr="005F3A80">
        <w:rPr>
          <w:rFonts w:hint="cs"/>
          <w:rtl/>
        </w:rPr>
        <w:t> </w:t>
      </w:r>
      <w:r w:rsidRPr="005F3A80">
        <w:rPr>
          <w:b/>
          <w:bCs/>
        </w:rPr>
        <w:t>4</w:t>
      </w:r>
      <w:r w:rsidRPr="005F3A80">
        <w:rPr>
          <w:b/>
          <w:bCs/>
        </w:rPr>
        <w:noBreakHyphen/>
        <w:t>21</w:t>
      </w:r>
      <w:r w:rsidRPr="005F3A80">
        <w:rPr>
          <w:rtl/>
        </w:rPr>
        <w:t xml:space="preserve"> من</w:t>
      </w:r>
      <w:r w:rsidRPr="005F3A80">
        <w:rPr>
          <w:rFonts w:hint="cs"/>
          <w:rtl/>
        </w:rPr>
        <w:t> </w:t>
      </w:r>
      <w:r w:rsidRPr="005F3A80">
        <w:rPr>
          <w:rtl/>
        </w:rPr>
        <w:t xml:space="preserve">لوائح الراديو (طبعة </w:t>
      </w:r>
      <w:r w:rsidRPr="005F3A80">
        <w:t>2004</w:t>
      </w:r>
      <w:r w:rsidRPr="005F3A80">
        <w:rPr>
          <w:rtl/>
        </w:rPr>
        <w:t>). ويكون هذا التوزيع سارياً اعتباراً من</w:t>
      </w:r>
      <w:r w:rsidRPr="005F3A80">
        <w:rPr>
          <w:rFonts w:hint="cs"/>
          <w:rtl/>
        </w:rPr>
        <w:t> </w:t>
      </w:r>
      <w:r w:rsidRPr="005F3A80">
        <w:t>17</w:t>
      </w:r>
      <w:r w:rsidRPr="005F3A80">
        <w:rPr>
          <w:rtl/>
        </w:rPr>
        <w:t xml:space="preserve"> نوفمبر</w:t>
      </w:r>
      <w:r w:rsidRPr="005F3A80">
        <w:rPr>
          <w:rFonts w:hint="cs"/>
          <w:rtl/>
        </w:rPr>
        <w:t> </w:t>
      </w:r>
      <w:r w:rsidRPr="005F3A80">
        <w:t>2010</w:t>
      </w:r>
      <w:r w:rsidRPr="005F3A80">
        <w:rPr>
          <w:rtl/>
        </w:rPr>
        <w:t>.</w:t>
      </w:r>
      <w:r w:rsidRPr="005F3A80">
        <w:rPr>
          <w:sz w:val="16"/>
          <w:szCs w:val="16"/>
        </w:rPr>
        <w:t>(WRC-</w:t>
      </w:r>
      <w:del w:id="3" w:author="Tahawi, Mohamad " w:date="2015-11-06T21:42:00Z">
        <w:r w:rsidRPr="005F3A80" w:rsidDel="005C333F">
          <w:rPr>
            <w:sz w:val="16"/>
            <w:szCs w:val="16"/>
          </w:rPr>
          <w:delText>12</w:delText>
        </w:r>
      </w:del>
      <w:ins w:id="4" w:author="Tahawi, Mohamad " w:date="2015-11-06T21:42:00Z">
        <w:r w:rsidR="005C333F">
          <w:rPr>
            <w:sz w:val="16"/>
            <w:szCs w:val="16"/>
          </w:rPr>
          <w:t>15</w:t>
        </w:r>
      </w:ins>
      <w:r w:rsidRPr="005F3A80">
        <w:rPr>
          <w:sz w:val="16"/>
          <w:szCs w:val="16"/>
        </w:rPr>
        <w:t>)    </w:t>
      </w:r>
    </w:p>
    <w:p w:rsidR="00E327E3" w:rsidRDefault="00E327E3">
      <w:pPr>
        <w:pStyle w:val="Reasons"/>
      </w:pPr>
      <w:bookmarkStart w:id="5" w:name="_GoBack"/>
      <w:bookmarkEnd w:id="5"/>
    </w:p>
    <w:p w:rsidR="00D01D45" w:rsidRPr="00D01D45" w:rsidRDefault="00D01D45" w:rsidP="00D01D45">
      <w:pPr>
        <w:spacing w:before="600"/>
        <w:jc w:val="center"/>
        <w:rPr>
          <w:rtl/>
          <w:lang w:bidi="ar-EG"/>
        </w:rPr>
      </w:pPr>
      <w:r>
        <w:rPr>
          <w:rtl/>
          <w:lang w:bidi="ar-EG"/>
        </w:rPr>
        <w:t>___________</w:t>
      </w:r>
    </w:p>
    <w:sectPr w:rsidR="00D01D45" w:rsidRPr="00D01D45">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D01D45">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D01D45">
      <w:rPr>
        <w:noProof/>
        <w:lang w:val="es-ES"/>
      </w:rPr>
      <w:t>P:\ARA\ITU-R\CONF-R\CMR15\200\209A.docx</w:t>
    </w:r>
    <w:r w:rsidRPr="00CB4300">
      <w:fldChar w:fldCharType="end"/>
    </w:r>
    <w:r w:rsidRPr="00CB4300">
      <w:rPr>
        <w:lang w:val="es-ES"/>
      </w:rPr>
      <w:t xml:space="preserve">  (</w:t>
    </w:r>
    <w:r w:rsidR="00D01D45">
      <w:rPr>
        <w:rFonts w:hint="cs"/>
        <w:rtl/>
        <w:lang w:val="es-ES"/>
      </w:rPr>
      <w:t>389831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EB7B09">
      <w:rPr>
        <w:noProof/>
      </w:rPr>
      <w:t>06.11.15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8657CB">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D01D45" w:rsidRDefault="00D01D45" w:rsidP="00D01D45">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Pr>
        <w:noProof/>
        <w:lang w:val="es-ES"/>
      </w:rPr>
      <w:t>P:\ARA\ITU-R\CONF-R\CMR15\200\209A.docx</w:t>
    </w:r>
    <w:r w:rsidRPr="00CB4300">
      <w:fldChar w:fldCharType="end"/>
    </w:r>
    <w:r w:rsidRPr="00CB4300">
      <w:rPr>
        <w:lang w:val="es-ES"/>
      </w:rPr>
      <w:t xml:space="preserve">  (</w:t>
    </w:r>
    <w:r>
      <w:rPr>
        <w:rFonts w:hint="cs"/>
        <w:rtl/>
        <w:lang w:val="es-ES"/>
      </w:rPr>
      <w:t>389831</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EB7B09">
      <w:rPr>
        <w:noProof/>
      </w:rPr>
      <w:t>06.11.15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Pr>
        <w:noProof/>
      </w:rPr>
      <w:t>07.11.11</w:t>
    </w:r>
    <w:r w:rsidRPr="00CB43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EB7B09">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209-</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02A7"/>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333F"/>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38A3"/>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01D45"/>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DF42BB"/>
    <w:rsid w:val="00E10821"/>
    <w:rsid w:val="00E165ED"/>
    <w:rsid w:val="00E2489D"/>
    <w:rsid w:val="00E25C06"/>
    <w:rsid w:val="00E26520"/>
    <w:rsid w:val="00E327E3"/>
    <w:rsid w:val="00E343A3"/>
    <w:rsid w:val="00E51BFA"/>
    <w:rsid w:val="00E621A3"/>
    <w:rsid w:val="00E627C0"/>
    <w:rsid w:val="00E77D29"/>
    <w:rsid w:val="00E833BC"/>
    <w:rsid w:val="00E8580E"/>
    <w:rsid w:val="00EA1B76"/>
    <w:rsid w:val="00EA77D7"/>
    <w:rsid w:val="00EB7B09"/>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417154D-FCA9-43E2-805C-4CDC32A2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R15-WRC15-C-0209!!MSW-A</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DE158848-D563-4DC7-9F77-BB1FA51463DA}">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44283DB5-C1CA-4FDB-B33A-E04E14B9A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418</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R15-WRC15-C-0209!!MSW-A</dc:title>
  <dc:creator>Documents Proposals Manager (DPM)</dc:creator>
  <cp:keywords>DPM_v5.2015.11.61_prod</cp:keywords>
  <cp:lastModifiedBy>Ajlouni, Nour</cp:lastModifiedBy>
  <cp:revision>8</cp:revision>
  <cp:lastPrinted>2011-11-07T13:53:00Z</cp:lastPrinted>
  <dcterms:created xsi:type="dcterms:W3CDTF">2015-11-06T20:41:00Z</dcterms:created>
  <dcterms:modified xsi:type="dcterms:W3CDTF">2015-11-06T20:55:00Z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