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第</w:t>
            </w:r>
            <w:r w:rsidR="00F85427">
              <w:rPr>
                <w:rFonts w:ascii="Verdana" w:hAnsi="Verdana"/>
                <w:b/>
                <w:sz w:val="20"/>
              </w:rPr>
              <w:t>5</w:t>
            </w:r>
            <w:proofErr w:type="spellStart"/>
            <w:r w:rsidRPr="00A466E6">
              <w:rPr>
                <w:rFonts w:ascii="Verdana" w:hAnsi="Verdana"/>
                <w:b/>
                <w:sz w:val="20"/>
              </w:rPr>
              <w:t>委员会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169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挪威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B16C3F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</w:t>
            </w:r>
          </w:p>
        </w:tc>
      </w:tr>
    </w:tbl>
    <w:bookmarkEnd w:id="7"/>
    <w:p w:rsidR="008B60D0" w:rsidRDefault="00F85427" w:rsidP="007806A0">
      <w:pPr>
        <w:rPr>
          <w:lang w:eastAsia="zh-CN"/>
        </w:rPr>
      </w:pPr>
      <w:r w:rsidRPr="009C33AA">
        <w:rPr>
          <w:lang w:eastAsia="zh-CN"/>
        </w:rPr>
        <w:t>7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86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WRC-07</w:t>
      </w:r>
      <w:r w:rsidRPr="009C33AA">
        <w:rPr>
          <w:rFonts w:hint="eastAsia"/>
          <w:b/>
          <w:bCs/>
          <w:lang w:eastAsia="zh-CN"/>
        </w:rPr>
        <w:t>，修订版）</w:t>
      </w:r>
      <w:r w:rsidRPr="009C33AA">
        <w:rPr>
          <w:rFonts w:hint="eastAsia"/>
          <w:lang w:eastAsia="zh-CN"/>
        </w:rPr>
        <w:t>，考虑为回应全权代表大会第</w:t>
      </w:r>
      <w:r w:rsidRPr="009C33AA">
        <w:rPr>
          <w:lang w:eastAsia="zh-CN"/>
        </w:rPr>
        <w:t>86</w:t>
      </w:r>
      <w:r w:rsidRPr="009C33AA">
        <w:rPr>
          <w:rFonts w:hint="eastAsia"/>
          <w:lang w:eastAsia="zh-CN"/>
        </w:rPr>
        <w:t>号决议（</w:t>
      </w:r>
      <w:r w:rsidRPr="009C33AA">
        <w:rPr>
          <w:lang w:eastAsia="zh-CN"/>
        </w:rPr>
        <w:t>2002</w:t>
      </w:r>
      <w:r w:rsidRPr="009C33AA">
        <w:rPr>
          <w:rFonts w:hint="eastAsia"/>
          <w:lang w:eastAsia="zh-CN"/>
        </w:rPr>
        <w:t>年，马拉喀什，修订版）</w:t>
      </w:r>
      <w:r>
        <w:rPr>
          <w:lang w:eastAsia="zh-CN"/>
        </w:rPr>
        <w:t>–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rFonts w:hint="eastAsia"/>
          <w:lang w:eastAsia="zh-CN"/>
        </w:rPr>
        <w:t>关于卫星网络频率指配的提前公布、协调、通知和登记程序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lang w:eastAsia="zh-CN"/>
        </w:rPr>
        <w:t xml:space="preserve">– </w:t>
      </w:r>
      <w:r w:rsidRPr="009C33AA">
        <w:rPr>
          <w:rFonts w:hint="eastAsia"/>
          <w:lang w:eastAsia="zh-CN"/>
        </w:rPr>
        <w:t>而可能做出的修改和采取的其它方案，以便为合理、高效和经济地使用无线电频率及任何相关轨道（包括对地静止卫星轨道）提供便利；</w:t>
      </w:r>
    </w:p>
    <w:p w:rsidR="00B557A4" w:rsidRPr="007806A0" w:rsidRDefault="00B557A4" w:rsidP="007806A0">
      <w:pPr>
        <w:rPr>
          <w:rFonts w:hint="eastAsia"/>
          <w:lang w:eastAsia="zh-CN"/>
        </w:rPr>
      </w:pPr>
    </w:p>
    <w:p w:rsidR="00DF259F" w:rsidRPr="001561C5" w:rsidRDefault="00444E0D" w:rsidP="00444E0D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讨论</w:t>
      </w:r>
    </w:p>
    <w:p w:rsidR="00DF259F" w:rsidRDefault="00444E0D" w:rsidP="00127170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《无线电规则》附录</w:t>
      </w:r>
      <w:r w:rsidR="00DF259F">
        <w:rPr>
          <w:lang w:val="en-US" w:eastAsia="zh-CN"/>
        </w:rPr>
        <w:t>30</w:t>
      </w:r>
      <w:r>
        <w:rPr>
          <w:rFonts w:hint="eastAsia"/>
          <w:lang w:val="en-US" w:eastAsia="zh-CN"/>
        </w:rPr>
        <w:t>第</w:t>
      </w:r>
      <w:r>
        <w:rPr>
          <w:lang w:val="en-US" w:eastAsia="zh-CN"/>
        </w:rPr>
        <w:t>4.1.18-20</w:t>
      </w:r>
      <w:r>
        <w:rPr>
          <w:rFonts w:hint="eastAsia"/>
          <w:lang w:val="en-US" w:eastAsia="zh-CN"/>
        </w:rPr>
        <w:t>段说明了某个网络</w:t>
      </w:r>
      <w:r w:rsidR="00A313DF">
        <w:rPr>
          <w:rFonts w:hint="eastAsia"/>
          <w:lang w:val="en-US" w:eastAsia="zh-CN"/>
        </w:rPr>
        <w:t>在</w:t>
      </w:r>
      <w:r>
        <w:rPr>
          <w:rFonts w:hint="eastAsia"/>
          <w:lang w:val="en-US" w:eastAsia="zh-CN"/>
        </w:rPr>
        <w:t>未全部满足协调要求的情况下进入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区和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en-US" w:eastAsia="zh-CN"/>
        </w:rPr>
        <w:t>区列表的要求和条件。</w:t>
      </w:r>
      <w:r w:rsidR="00324096">
        <w:rPr>
          <w:rFonts w:hint="eastAsia"/>
          <w:lang w:val="en-US" w:eastAsia="zh-CN"/>
        </w:rPr>
        <w:t>第</w:t>
      </w:r>
      <w:r w:rsidR="00324096">
        <w:rPr>
          <w:lang w:val="en-US" w:eastAsia="zh-CN"/>
        </w:rPr>
        <w:t>4.2.21A-21D</w:t>
      </w:r>
      <w:r w:rsidR="00324096">
        <w:rPr>
          <w:rFonts w:hint="eastAsia"/>
          <w:lang w:val="en-US" w:eastAsia="zh-CN"/>
        </w:rPr>
        <w:t>段中也有涉及到</w:t>
      </w:r>
      <w:r w:rsidR="00324096">
        <w:rPr>
          <w:rFonts w:hint="eastAsia"/>
          <w:lang w:val="en-US" w:eastAsia="zh-CN"/>
        </w:rPr>
        <w:t>2</w:t>
      </w:r>
      <w:r w:rsidR="00324096">
        <w:rPr>
          <w:rFonts w:hint="eastAsia"/>
          <w:lang w:val="en-US" w:eastAsia="zh-CN"/>
        </w:rPr>
        <w:t>区的类似条款。附录</w:t>
      </w:r>
      <w:r w:rsidR="00324096">
        <w:rPr>
          <w:rFonts w:hint="eastAsia"/>
          <w:lang w:val="en-US" w:eastAsia="zh-CN"/>
        </w:rPr>
        <w:t>30A</w:t>
      </w:r>
      <w:r w:rsidR="00324096">
        <w:rPr>
          <w:rFonts w:hint="eastAsia"/>
          <w:lang w:val="en-US" w:eastAsia="zh-CN"/>
        </w:rPr>
        <w:t>也包含类似的规定。</w:t>
      </w:r>
    </w:p>
    <w:p w:rsidR="00DF259F" w:rsidRDefault="00324096" w:rsidP="00127170">
      <w:pPr>
        <w:ind w:firstLineChars="200" w:firstLine="480"/>
        <w:rPr>
          <w:color w:val="000000"/>
          <w:lang w:eastAsia="zh-CN"/>
        </w:rPr>
      </w:pPr>
      <w:r>
        <w:rPr>
          <w:rFonts w:hint="eastAsia"/>
          <w:lang w:val="en-US" w:eastAsia="zh-CN"/>
        </w:rPr>
        <w:t>第</w:t>
      </w:r>
      <w:r w:rsidR="00DF259F">
        <w:rPr>
          <w:lang w:val="en-US" w:eastAsia="zh-CN"/>
        </w:rPr>
        <w:t>4.1.18</w:t>
      </w:r>
      <w:r>
        <w:rPr>
          <w:rFonts w:hint="eastAsia"/>
          <w:lang w:val="en-US" w:eastAsia="zh-CN"/>
        </w:rPr>
        <w:t>段说明了在未满足全部协调要求的情况下登入列表时，该登记为临时性登记，且</w:t>
      </w:r>
      <w:r w:rsidR="009C00B1">
        <w:rPr>
          <w:rFonts w:hint="eastAsia"/>
          <w:lang w:eastAsia="zh-CN"/>
        </w:rPr>
        <w:t>只有在无线电通信局被告知，</w:t>
      </w:r>
      <w:r w:rsidR="009C00B1">
        <w:rPr>
          <w:rFonts w:hint="eastAsia"/>
          <w:lang w:eastAsia="zh-CN"/>
        </w:rPr>
        <w:t>1</w:t>
      </w:r>
      <w:r w:rsidR="009C00B1">
        <w:rPr>
          <w:rFonts w:hint="eastAsia"/>
          <w:lang w:eastAsia="zh-CN"/>
        </w:rPr>
        <w:t>区和</w:t>
      </w:r>
      <w:r w:rsidR="009C00B1">
        <w:rPr>
          <w:rFonts w:hint="eastAsia"/>
          <w:lang w:eastAsia="zh-CN"/>
        </w:rPr>
        <w:t>3</w:t>
      </w:r>
      <w:r w:rsidR="009C00B1">
        <w:rPr>
          <w:rFonts w:hint="eastAsia"/>
          <w:lang w:eastAsia="zh-CN"/>
        </w:rPr>
        <w:t>区表列中新的指配</w:t>
      </w:r>
      <w:r w:rsidR="009C00B1" w:rsidRPr="009C00B1">
        <w:rPr>
          <w:rFonts w:hint="eastAsia"/>
          <w:b/>
          <w:bCs/>
          <w:lang w:eastAsia="zh-CN"/>
        </w:rPr>
        <w:t>已经与那些导致</w:t>
      </w:r>
      <w:r>
        <w:rPr>
          <w:rFonts w:hint="eastAsia"/>
          <w:b/>
          <w:bCs/>
          <w:lang w:eastAsia="zh-CN"/>
        </w:rPr>
        <w:t>反对意见</w:t>
      </w:r>
      <w:r w:rsidR="009C00B1" w:rsidRPr="009C00B1">
        <w:rPr>
          <w:rFonts w:hint="eastAsia"/>
          <w:b/>
          <w:bCs/>
          <w:lang w:eastAsia="zh-CN"/>
        </w:rPr>
        <w:t>的指配一起使用且在最少四个月后未收到有关有害干扰申诉时</w:t>
      </w:r>
      <w:r w:rsidR="009C00B1">
        <w:rPr>
          <w:rFonts w:hint="eastAsia"/>
          <w:lang w:eastAsia="zh-CN"/>
        </w:rPr>
        <w:t>，该指配</w:t>
      </w:r>
      <w:r>
        <w:rPr>
          <w:rFonts w:hint="eastAsia"/>
          <w:lang w:eastAsia="zh-CN"/>
        </w:rPr>
        <w:t>才可</w:t>
      </w:r>
      <w:r w:rsidR="009C00B1">
        <w:rPr>
          <w:rFonts w:hint="eastAsia"/>
          <w:lang w:eastAsia="zh-CN"/>
        </w:rPr>
        <w:t>从临时转为</w:t>
      </w:r>
      <w:r>
        <w:rPr>
          <w:rFonts w:hint="eastAsia"/>
          <w:lang w:eastAsia="zh-CN"/>
        </w:rPr>
        <w:t>正式登记</w:t>
      </w:r>
      <w:r w:rsidR="009C00B1">
        <w:rPr>
          <w:rFonts w:hint="eastAsia"/>
          <w:lang w:eastAsia="zh-CN"/>
        </w:rPr>
        <w:t>。</w:t>
      </w:r>
    </w:p>
    <w:p w:rsidR="00DF259F" w:rsidRDefault="00324096" w:rsidP="00127170">
      <w:pPr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在附录</w:t>
      </w:r>
      <w:r w:rsidR="00DF259F">
        <w:rPr>
          <w:lang w:eastAsia="zh-CN"/>
        </w:rPr>
        <w:t>30B</w:t>
      </w:r>
      <w:r>
        <w:rPr>
          <w:rFonts w:hint="eastAsia"/>
          <w:lang w:eastAsia="zh-CN"/>
        </w:rPr>
        <w:t>中，对应条款（第</w:t>
      </w:r>
      <w:r w:rsidR="00DF259F">
        <w:rPr>
          <w:lang w:eastAsia="zh-CN"/>
        </w:rPr>
        <w:t>6.25-6.29</w:t>
      </w:r>
      <w:r>
        <w:rPr>
          <w:rFonts w:hint="eastAsia"/>
          <w:lang w:eastAsia="zh-CN"/>
        </w:rPr>
        <w:t>段）的措辞在从临时转为正式登记方面有所区别，表述为</w:t>
      </w:r>
      <w:r w:rsidR="00375345" w:rsidRPr="005E5059">
        <w:rPr>
          <w:rFonts w:hint="eastAsia"/>
          <w:lang w:eastAsia="zh-CN"/>
        </w:rPr>
        <w:t>只有在无线电通信局得知</w:t>
      </w:r>
      <w:r w:rsidR="00375345" w:rsidRPr="009C00B1">
        <w:rPr>
          <w:rFonts w:hint="eastAsia"/>
          <w:b/>
          <w:bCs/>
          <w:lang w:eastAsia="zh-CN"/>
        </w:rPr>
        <w:t>已获得所有必要的协议</w:t>
      </w:r>
      <w:r w:rsidR="00375345" w:rsidRPr="005E5059">
        <w:rPr>
          <w:rFonts w:hint="eastAsia"/>
          <w:lang w:eastAsia="zh-CN"/>
        </w:rPr>
        <w:t>后才能</w:t>
      </w:r>
      <w:r w:rsidR="00375345">
        <w:rPr>
          <w:rFonts w:hint="eastAsia"/>
          <w:lang w:eastAsia="zh-CN"/>
        </w:rPr>
        <w:t>将列</w:t>
      </w:r>
      <w:r w:rsidR="00375345" w:rsidRPr="005E5059">
        <w:rPr>
          <w:rFonts w:hint="eastAsia"/>
          <w:lang w:eastAsia="zh-CN"/>
        </w:rPr>
        <w:t>表中临时登记的指配变成</w:t>
      </w:r>
      <w:r w:rsidR="00375345">
        <w:rPr>
          <w:rFonts w:hint="eastAsia"/>
          <w:lang w:eastAsia="zh-CN"/>
        </w:rPr>
        <w:t>正式</w:t>
      </w:r>
      <w:r w:rsidR="00375345" w:rsidRPr="005E5059">
        <w:rPr>
          <w:rFonts w:hint="eastAsia"/>
          <w:lang w:eastAsia="zh-CN"/>
        </w:rPr>
        <w:t>登记。</w:t>
      </w:r>
    </w:p>
    <w:p w:rsidR="00DF259F" w:rsidRDefault="00324096" w:rsidP="00127170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第</w:t>
      </w:r>
      <w:r w:rsidR="00DF259F">
        <w:rPr>
          <w:lang w:val="en-US" w:eastAsia="zh-CN"/>
        </w:rPr>
        <w:t>4.1.18</w:t>
      </w:r>
      <w:r>
        <w:rPr>
          <w:rFonts w:hint="eastAsia"/>
          <w:lang w:val="en-US" w:eastAsia="zh-CN"/>
        </w:rPr>
        <w:t>段的措辞与早先《无线电规则》第</w:t>
      </w:r>
      <w:r>
        <w:rPr>
          <w:rFonts w:hint="eastAsia"/>
          <w:lang w:val="en-US" w:eastAsia="zh-CN"/>
        </w:rPr>
        <w:t>11.41</w:t>
      </w:r>
      <w:r>
        <w:rPr>
          <w:rFonts w:hint="eastAsia"/>
          <w:lang w:val="en-US" w:eastAsia="zh-CN"/>
        </w:rPr>
        <w:t>款的表述相似。但是，挪威</w:t>
      </w:r>
      <w:r w:rsidR="00CF2D7D">
        <w:rPr>
          <w:rFonts w:hint="eastAsia"/>
          <w:lang w:val="en-US" w:eastAsia="zh-CN"/>
        </w:rPr>
        <w:t>注意到，</w:t>
      </w:r>
      <w:r w:rsidR="00CF2D7D">
        <w:rPr>
          <w:rFonts w:hint="eastAsia"/>
          <w:lang w:val="en-US" w:eastAsia="zh-CN"/>
        </w:rPr>
        <w:t>WRC-12</w:t>
      </w:r>
      <w:r w:rsidR="00CF2D7D">
        <w:rPr>
          <w:rFonts w:hint="eastAsia"/>
          <w:lang w:val="en-US" w:eastAsia="zh-CN"/>
        </w:rPr>
        <w:t>已经删除了这些表述。更为重要的是规划频段和非规划频段之间</w:t>
      </w:r>
      <w:r w:rsidR="00A313DF">
        <w:rPr>
          <w:rFonts w:hint="eastAsia"/>
          <w:lang w:val="en-US" w:eastAsia="zh-CN"/>
        </w:rPr>
        <w:t>存在</w:t>
      </w:r>
      <w:r w:rsidR="00CF2D7D">
        <w:rPr>
          <w:rFonts w:hint="eastAsia"/>
          <w:lang w:val="en-US" w:eastAsia="zh-CN"/>
        </w:rPr>
        <w:t>原则性区别，即非规划频段只有单入保护标准，而规划频段则有其保护标准所依据</w:t>
      </w:r>
      <w:r w:rsidR="00A313DF">
        <w:rPr>
          <w:rFonts w:hint="eastAsia"/>
          <w:lang w:val="en-US" w:eastAsia="zh-CN"/>
        </w:rPr>
        <w:t>的</w:t>
      </w:r>
      <w:r w:rsidR="00CF2D7D">
        <w:rPr>
          <w:rFonts w:hint="eastAsia"/>
          <w:lang w:val="en-US" w:eastAsia="zh-CN"/>
        </w:rPr>
        <w:t>、考虑所有其他网络集总干扰的参考形势（如参考形势相对退化</w:t>
      </w:r>
      <w:r w:rsidR="00DF259F">
        <w:rPr>
          <w:lang w:val="en-US" w:eastAsia="zh-CN"/>
        </w:rPr>
        <w:t>0.45 dB</w:t>
      </w:r>
      <w:r w:rsidR="00CF2D7D">
        <w:rPr>
          <w:rFonts w:hint="eastAsia"/>
          <w:lang w:val="en-US" w:eastAsia="zh-CN"/>
        </w:rPr>
        <w:t>或</w:t>
      </w:r>
      <w:r w:rsidR="00DF259F">
        <w:rPr>
          <w:lang w:val="en-US" w:eastAsia="zh-CN"/>
        </w:rPr>
        <w:t>0.25 dB</w:t>
      </w:r>
      <w:r w:rsidR="00CF2D7D">
        <w:rPr>
          <w:rFonts w:hint="eastAsia"/>
          <w:lang w:val="en-US" w:eastAsia="zh-CN"/>
        </w:rPr>
        <w:t>）。</w:t>
      </w:r>
    </w:p>
    <w:p w:rsidR="00DF259F" w:rsidRDefault="00CF2D7D" w:rsidP="00127170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在将一个网络临时登入列表时，未与其完成协调的“受影响”网络的参考形势并不更新。《无线电规则》并未明确规定这些“受影响”网络的参考形势是否应且何时更新</w:t>
      </w:r>
      <w:r w:rsidR="00B32D67">
        <w:rPr>
          <w:rFonts w:hint="eastAsia"/>
          <w:lang w:val="en-US" w:eastAsia="zh-CN"/>
        </w:rPr>
        <w:t>，无线电通信局只得采取了一种如何实现这一目标的做法</w:t>
      </w:r>
      <w:r>
        <w:rPr>
          <w:rFonts w:hint="eastAsia"/>
          <w:lang w:val="en-US" w:eastAsia="zh-CN"/>
        </w:rPr>
        <w:t>。</w:t>
      </w:r>
    </w:p>
    <w:p w:rsidR="00DF259F" w:rsidRDefault="00B32D67" w:rsidP="00127170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关于附录</w:t>
      </w:r>
      <w:r w:rsidR="00DF259F">
        <w:rPr>
          <w:lang w:val="en-US" w:eastAsia="zh-CN"/>
        </w:rPr>
        <w:t>30B</w:t>
      </w:r>
      <w:r>
        <w:rPr>
          <w:rFonts w:hint="eastAsia"/>
          <w:lang w:val="en-US" w:eastAsia="zh-CN"/>
        </w:rPr>
        <w:t>，当前做法是在达成协议后更新参考形势。挪威认为这是一种合理的方式。</w:t>
      </w:r>
    </w:p>
    <w:p w:rsidR="00DF259F" w:rsidRDefault="006C1A40" w:rsidP="00127170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但是，关于附录</w:t>
      </w:r>
      <w:r w:rsidR="00DF259F">
        <w:rPr>
          <w:lang w:val="en-US" w:eastAsia="zh-CN"/>
        </w:rPr>
        <w:t>30</w:t>
      </w:r>
      <w:r>
        <w:rPr>
          <w:rFonts w:hint="eastAsia"/>
          <w:lang w:val="en-US" w:eastAsia="zh-CN"/>
        </w:rPr>
        <w:t>和</w:t>
      </w:r>
      <w:r w:rsidR="00DF259F">
        <w:rPr>
          <w:lang w:val="en-US" w:eastAsia="zh-CN"/>
        </w:rPr>
        <w:t>30A</w:t>
      </w:r>
      <w:r>
        <w:rPr>
          <w:rFonts w:hint="eastAsia"/>
          <w:lang w:val="en-US" w:eastAsia="zh-CN"/>
        </w:rPr>
        <w:t>，当前的做法是在登记从临时转为正式时，即四个月没有有害干扰申诉之后才更新“受影响”网络的参考形势。</w:t>
      </w:r>
    </w:p>
    <w:p w:rsidR="00DF259F" w:rsidRDefault="006C1A40" w:rsidP="00127170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在前四个月内未出现有害干扰可能有多种原因，如</w:t>
      </w:r>
      <w:r w:rsidR="001B57B7">
        <w:rPr>
          <w:rFonts w:hint="eastAsia"/>
          <w:lang w:val="en-US" w:eastAsia="zh-CN"/>
        </w:rPr>
        <w:t>在此期间，“受影响”网络未按照其敏感特性操作（使用大天线、更为强健的调制</w:t>
      </w:r>
      <w:r w:rsidR="001B57B7">
        <w:rPr>
          <w:rFonts w:hint="eastAsia"/>
          <w:lang w:val="en-US" w:eastAsia="zh-CN"/>
        </w:rPr>
        <w:t>/</w:t>
      </w:r>
      <w:r w:rsidR="001B57B7">
        <w:rPr>
          <w:rFonts w:hint="eastAsia"/>
          <w:lang w:val="en-US" w:eastAsia="zh-CN"/>
        </w:rPr>
        <w:t>编码、</w:t>
      </w:r>
      <w:proofErr w:type="spellStart"/>
      <w:r w:rsidR="00DF259F">
        <w:rPr>
          <w:lang w:val="en-US" w:eastAsia="zh-CN"/>
        </w:rPr>
        <w:t>e.i.r.p</w:t>
      </w:r>
      <w:proofErr w:type="spellEnd"/>
      <w:r w:rsidR="00DF259F">
        <w:rPr>
          <w:lang w:val="en-US" w:eastAsia="zh-CN"/>
        </w:rPr>
        <w:t>.</w:t>
      </w:r>
      <w:r w:rsidR="001B57B7">
        <w:rPr>
          <w:rFonts w:hint="eastAsia"/>
          <w:lang w:val="en-US" w:eastAsia="zh-CN"/>
        </w:rPr>
        <w:t>高于最小值）或干扰网络未按照其最容易产生干扰的特性操作</w:t>
      </w:r>
      <w:r w:rsidR="00C11CC5">
        <w:rPr>
          <w:rFonts w:hint="eastAsia"/>
          <w:lang w:val="en-US" w:eastAsia="zh-CN"/>
        </w:rPr>
        <w:t>（低</w:t>
      </w:r>
      <w:r w:rsidR="00DF259F">
        <w:rPr>
          <w:lang w:val="en-US" w:eastAsia="zh-CN"/>
        </w:rPr>
        <w:t>EIRP</w:t>
      </w:r>
      <w:r w:rsidR="00C11CC5">
        <w:rPr>
          <w:rFonts w:hint="eastAsia"/>
          <w:lang w:val="en-US" w:eastAsia="zh-CN"/>
        </w:rPr>
        <w:t>、转发器无用户、可调波束指向另一个方向</w:t>
      </w:r>
      <w:r w:rsidR="00DF259F">
        <w:rPr>
          <w:lang w:val="en-US" w:eastAsia="zh-CN"/>
        </w:rPr>
        <w:t>…..</w:t>
      </w:r>
      <w:r w:rsidR="00C11CC5">
        <w:rPr>
          <w:rFonts w:hint="eastAsia"/>
          <w:lang w:val="en-US" w:eastAsia="zh-CN"/>
        </w:rPr>
        <w:t>）。</w:t>
      </w:r>
    </w:p>
    <w:p w:rsidR="00DF259F" w:rsidRDefault="00C11CC5" w:rsidP="00127170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但是，</w:t>
      </w:r>
      <w:r w:rsidR="00A313DF">
        <w:rPr>
          <w:rFonts w:hint="eastAsia"/>
          <w:lang w:val="en-US" w:eastAsia="zh-CN"/>
        </w:rPr>
        <w:t>在此四个月期末</w:t>
      </w:r>
      <w:r w:rsidR="006F4A61">
        <w:rPr>
          <w:rFonts w:hint="eastAsia"/>
          <w:lang w:val="en-US" w:eastAsia="zh-CN"/>
        </w:rPr>
        <w:t>时，将更新“受影响”网络的参考形势，以包括来自其未表示同意的网络的全部干扰。这可严重影响到“受影响”网络的参考形势，且在超过触发协调的相对退步之前，其他后来申报的资料可对“受影响”网络额外带来相当多的干扰。</w:t>
      </w:r>
    </w:p>
    <w:p w:rsidR="00DF259F" w:rsidRDefault="006F4A61" w:rsidP="00127170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因此，即使未表示同意，“受影响”网络仍会发现</w:t>
      </w:r>
      <w:r w:rsidR="000158D9">
        <w:rPr>
          <w:rFonts w:hint="eastAsia"/>
          <w:lang w:val="en-US" w:eastAsia="zh-CN"/>
        </w:rPr>
        <w:t>它从未与之达成协议的网络</w:t>
      </w:r>
      <w:r>
        <w:rPr>
          <w:rFonts w:hint="eastAsia"/>
          <w:lang w:val="en-US" w:eastAsia="zh-CN"/>
        </w:rPr>
        <w:t>得到的保护降低了。</w:t>
      </w:r>
    </w:p>
    <w:p w:rsidR="00DF259F" w:rsidRPr="001561C5" w:rsidRDefault="002C15EA" w:rsidP="00DF259F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:rsidR="00DF259F" w:rsidRDefault="000158D9" w:rsidP="00127170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为避免这种情况，“受影响”网络的参考形势</w:t>
      </w:r>
      <w:bookmarkStart w:id="8" w:name="_GoBack"/>
      <w:bookmarkEnd w:id="8"/>
      <w:r>
        <w:rPr>
          <w:rFonts w:hint="eastAsia"/>
          <w:lang w:val="en-US" w:eastAsia="zh-CN"/>
        </w:rPr>
        <w:t>应在达成协议之后才予以更新。</w:t>
      </w:r>
    </w:p>
    <w:p w:rsidR="00DF259F" w:rsidRDefault="00AA5C86" w:rsidP="00127170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为实现这一目标，</w:t>
      </w:r>
      <w:r w:rsidR="00B13350">
        <w:rPr>
          <w:rFonts w:hint="eastAsia"/>
          <w:lang w:val="en-US" w:eastAsia="zh-CN"/>
        </w:rPr>
        <w:t>挪威建议</w:t>
      </w:r>
      <w:r w:rsidR="00DF259F">
        <w:rPr>
          <w:lang w:val="en-US" w:eastAsia="zh-CN"/>
        </w:rPr>
        <w:t>WRC-15</w:t>
      </w:r>
      <w:r w:rsidR="00B13350">
        <w:rPr>
          <w:rFonts w:hint="eastAsia"/>
          <w:lang w:val="en-US" w:eastAsia="zh-CN"/>
        </w:rPr>
        <w:t>在其某次全体会议的会议记录中澄清</w:t>
      </w:r>
      <w:r w:rsidR="00A313DF">
        <w:rPr>
          <w:rFonts w:hint="eastAsia"/>
          <w:lang w:val="en-US" w:eastAsia="zh-CN"/>
        </w:rPr>
        <w:t>：</w:t>
      </w:r>
      <w:r w:rsidR="00B13350">
        <w:rPr>
          <w:rFonts w:hint="eastAsia"/>
          <w:lang w:val="en-US" w:eastAsia="zh-CN"/>
        </w:rPr>
        <w:t>某个网络根据附录</w:t>
      </w:r>
      <w:r w:rsidR="00B13350">
        <w:rPr>
          <w:rFonts w:hint="eastAsia"/>
          <w:lang w:val="en-US" w:eastAsia="zh-CN"/>
        </w:rPr>
        <w:t>30</w:t>
      </w:r>
      <w:r w:rsidR="00B13350">
        <w:rPr>
          <w:rFonts w:hint="eastAsia"/>
          <w:lang w:val="en-US" w:eastAsia="zh-CN"/>
        </w:rPr>
        <w:t>或</w:t>
      </w:r>
      <w:r w:rsidR="00B13350">
        <w:rPr>
          <w:rFonts w:hint="eastAsia"/>
          <w:lang w:val="en-US" w:eastAsia="zh-CN"/>
        </w:rPr>
        <w:t>30A</w:t>
      </w:r>
      <w:r w:rsidR="00B13350">
        <w:rPr>
          <w:rFonts w:hint="eastAsia"/>
          <w:lang w:val="en-US" w:eastAsia="zh-CN"/>
        </w:rPr>
        <w:t>第</w:t>
      </w:r>
      <w:r w:rsidR="00DF259F">
        <w:rPr>
          <w:lang w:val="en-US" w:eastAsia="zh-CN"/>
        </w:rPr>
        <w:t>4.1.18</w:t>
      </w:r>
      <w:r w:rsidR="00B13350">
        <w:rPr>
          <w:rFonts w:hint="eastAsia"/>
          <w:lang w:val="en-US" w:eastAsia="zh-CN"/>
        </w:rPr>
        <w:t>或</w:t>
      </w:r>
      <w:r w:rsidR="00DF259F">
        <w:rPr>
          <w:lang w:val="en-US" w:eastAsia="zh-CN"/>
        </w:rPr>
        <w:t>4.2.21</w:t>
      </w:r>
      <w:r w:rsidR="00B13350">
        <w:rPr>
          <w:rFonts w:hint="eastAsia"/>
          <w:lang w:val="en-US" w:eastAsia="zh-CN"/>
        </w:rPr>
        <w:t>段登入列表时，只有在无线电通信局得知已达成协议时才须更新“受影响”网络的参考形势（即类似于当前附录</w:t>
      </w:r>
      <w:r w:rsidR="00B13350">
        <w:rPr>
          <w:rFonts w:hint="eastAsia"/>
          <w:lang w:val="en-US" w:eastAsia="zh-CN"/>
        </w:rPr>
        <w:t>30B</w:t>
      </w:r>
      <w:r w:rsidR="00B13350">
        <w:rPr>
          <w:rFonts w:hint="eastAsia"/>
          <w:lang w:val="en-US" w:eastAsia="zh-CN"/>
        </w:rPr>
        <w:t>的做法）。</w:t>
      </w:r>
    </w:p>
    <w:p w:rsidR="00816D25" w:rsidRDefault="00816D25" w:rsidP="0060320D">
      <w:pPr>
        <w:rPr>
          <w:lang w:eastAsia="zh-CN"/>
        </w:rPr>
      </w:pPr>
    </w:p>
    <w:p w:rsidR="00816D25" w:rsidRDefault="00816D25">
      <w:pPr>
        <w:jc w:val="center"/>
      </w:pPr>
      <w:r>
        <w:t>______________</w:t>
      </w:r>
    </w:p>
    <w:sectPr w:rsidR="00816D25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Times New Roman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2C15EA" w:rsidRDefault="002C15EA" w:rsidP="002C15EA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E0F13">
      <w:rPr>
        <w:lang w:val="en-US"/>
      </w:rPr>
      <w:t>P:\CHI\ITU-R\CONF-R\CMR15\100\169C.docx</w:t>
    </w:r>
    <w:r>
      <w:fldChar w:fldCharType="end"/>
    </w:r>
    <w:r>
      <w:t xml:space="preserve"> (389670)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E0F13">
      <w:t>04.11.15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E0F13">
      <w:t>04.11.15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E0F13">
      <w:rPr>
        <w:lang w:val="en-US"/>
      </w:rPr>
      <w:t>P:\CHI\ITU-R\CONF-R\CMR15\100\169C.docx</w:t>
    </w:r>
    <w:r>
      <w:fldChar w:fldCharType="end"/>
    </w:r>
    <w:r w:rsidR="002C15EA">
      <w:t xml:space="preserve"> (389670)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E0F13">
      <w:t>04.11.15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E0F13">
      <w:t>04.11.15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E0F13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169-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158D9"/>
    <w:rsid w:val="000264C2"/>
    <w:rsid w:val="000273B7"/>
    <w:rsid w:val="00037C90"/>
    <w:rsid w:val="000C09BA"/>
    <w:rsid w:val="000C1F1E"/>
    <w:rsid w:val="000C6AA7"/>
    <w:rsid w:val="000E26F6"/>
    <w:rsid w:val="00123C07"/>
    <w:rsid w:val="00127170"/>
    <w:rsid w:val="00166859"/>
    <w:rsid w:val="001765EC"/>
    <w:rsid w:val="001853E8"/>
    <w:rsid w:val="001B57B7"/>
    <w:rsid w:val="001B6360"/>
    <w:rsid w:val="001F4EA6"/>
    <w:rsid w:val="00214959"/>
    <w:rsid w:val="002260A6"/>
    <w:rsid w:val="002742B3"/>
    <w:rsid w:val="002A4C9C"/>
    <w:rsid w:val="002B509B"/>
    <w:rsid w:val="002C15EA"/>
    <w:rsid w:val="002E2A59"/>
    <w:rsid w:val="002E4507"/>
    <w:rsid w:val="00305254"/>
    <w:rsid w:val="003169D2"/>
    <w:rsid w:val="00324096"/>
    <w:rsid w:val="00342D19"/>
    <w:rsid w:val="00375345"/>
    <w:rsid w:val="003B4BEF"/>
    <w:rsid w:val="003C6B45"/>
    <w:rsid w:val="0041282E"/>
    <w:rsid w:val="00437869"/>
    <w:rsid w:val="00444E0D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0320D"/>
    <w:rsid w:val="00622560"/>
    <w:rsid w:val="00644391"/>
    <w:rsid w:val="00647712"/>
    <w:rsid w:val="00662E12"/>
    <w:rsid w:val="00691142"/>
    <w:rsid w:val="006B67CE"/>
    <w:rsid w:val="006C1A40"/>
    <w:rsid w:val="006C38ED"/>
    <w:rsid w:val="006E6182"/>
    <w:rsid w:val="006F3C60"/>
    <w:rsid w:val="006F4A61"/>
    <w:rsid w:val="00736415"/>
    <w:rsid w:val="00770D2A"/>
    <w:rsid w:val="007864F6"/>
    <w:rsid w:val="007B7C4B"/>
    <w:rsid w:val="007E0F13"/>
    <w:rsid w:val="007F0FC5"/>
    <w:rsid w:val="007F5C36"/>
    <w:rsid w:val="008047DB"/>
    <w:rsid w:val="008129A9"/>
    <w:rsid w:val="00816D25"/>
    <w:rsid w:val="008221A4"/>
    <w:rsid w:val="00824237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00B1"/>
    <w:rsid w:val="009C72B7"/>
    <w:rsid w:val="00A0052C"/>
    <w:rsid w:val="00A313DF"/>
    <w:rsid w:val="00A31B14"/>
    <w:rsid w:val="00A323DC"/>
    <w:rsid w:val="00A466E6"/>
    <w:rsid w:val="00A815BE"/>
    <w:rsid w:val="00AA5C86"/>
    <w:rsid w:val="00AA5DA1"/>
    <w:rsid w:val="00AE369F"/>
    <w:rsid w:val="00B026CB"/>
    <w:rsid w:val="00B13350"/>
    <w:rsid w:val="00B16C3F"/>
    <w:rsid w:val="00B32D67"/>
    <w:rsid w:val="00B557A4"/>
    <w:rsid w:val="00B711CC"/>
    <w:rsid w:val="00B851D4"/>
    <w:rsid w:val="00B868FC"/>
    <w:rsid w:val="00B94788"/>
    <w:rsid w:val="00B95072"/>
    <w:rsid w:val="00BB26CD"/>
    <w:rsid w:val="00BE6315"/>
    <w:rsid w:val="00C07239"/>
    <w:rsid w:val="00C11CC5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2D7D"/>
    <w:rsid w:val="00D52A14"/>
    <w:rsid w:val="00D6206A"/>
    <w:rsid w:val="00D74599"/>
    <w:rsid w:val="00DA0469"/>
    <w:rsid w:val="00DD13B7"/>
    <w:rsid w:val="00DF259F"/>
    <w:rsid w:val="00DF3B0C"/>
    <w:rsid w:val="00E06116"/>
    <w:rsid w:val="00E14984"/>
    <w:rsid w:val="00E22A25"/>
    <w:rsid w:val="00E560F1"/>
    <w:rsid w:val="00E92319"/>
    <w:rsid w:val="00F44797"/>
    <w:rsid w:val="00F837F4"/>
    <w:rsid w:val="00F85427"/>
    <w:rsid w:val="00FC59C4"/>
    <w:rsid w:val="00FD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BF8FFA-E05B-43EE-B762-AAE783EA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R15-WRC15-C-0169!!MSW-C</DPM_x0020_File_x0020_name>
    <DPM_x0020_Author xmlns="32a1a8c5-2265-4ebc-b7a0-2071e2c5c9bb" xsi:nil="false">Documents Proposals Manager (DPM)</DPM_x0020_Author>
    <DPM_x0020_Version xmlns="32a1a8c5-2265-4ebc-b7a0-2071e2c5c9bb" xsi:nil="false">DPM_v5.2015.11.4_prod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F23890C-A512-44D5-BE30-43F4094B326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32a1a8c5-2265-4ebc-b7a0-2071e2c5c9bb"/>
    <ds:schemaRef ds:uri="http://purl.org/dc/elements/1.1/"/>
    <ds:schemaRef ds:uri="http://purl.org/dc/terms/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1211</Words>
  <Characters>1351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R15-WRC15-C-0169!!MSW-C</vt:lpstr>
    </vt:vector>
  </TitlesOfParts>
  <Manager>General Secretariat - Pool</Manager>
  <Company>International Telecommunication Union (ITU)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R15-WRC15-C-0169!!MSW-C</dc:title>
  <dc:subject>World Radiocommunication Conference - 2015</dc:subject>
  <dc:creator>Documents Proposals Manager (DPM)</dc:creator>
  <cp:keywords>DPM_v5.2015.11.4_prod</cp:keywords>
  <dc:description/>
  <cp:lastModifiedBy>Zhang, Lan'ou</cp:lastModifiedBy>
  <cp:revision>11</cp:revision>
  <cp:lastPrinted>2015-11-04T20:53:00Z</cp:lastPrinted>
  <dcterms:created xsi:type="dcterms:W3CDTF">2015-11-04T20:47:00Z</dcterms:created>
  <dcterms:modified xsi:type="dcterms:W3CDTF">2015-11-04T20:53:00Z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