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D1AF0" w:rsidRDefault="00E165ED" w:rsidP="009D1AF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9D1AF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9D1AF0" w:rsidRPr="009D1AF0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5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D1AF0" w:rsidRDefault="003E1608" w:rsidP="009D1AF0">
            <w:pPr>
              <w:pStyle w:val="Adress"/>
              <w:framePr w:hSpace="0" w:wrap="auto" w:xAlign="left" w:yAlign="inline"/>
              <w:rPr>
                <w:rtl/>
              </w:rPr>
            </w:pPr>
            <w:r w:rsidRPr="009D1AF0">
              <w:rPr>
                <w:rtl/>
              </w:rPr>
              <w:t xml:space="preserve">الوثيقة </w:t>
            </w:r>
            <w:r w:rsidRPr="009D1AF0">
              <w:t>169-</w:t>
            </w:r>
            <w:r w:rsidR="009D1AF0" w:rsidRPr="009D1AF0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D1AF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D1AF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D1AF0">
              <w:rPr>
                <w:rFonts w:eastAsia="SimSun"/>
              </w:rPr>
              <w:t>4</w:t>
            </w:r>
            <w:r w:rsidRPr="009D1AF0">
              <w:rPr>
                <w:rFonts w:eastAsia="SimSun"/>
                <w:rtl/>
              </w:rPr>
              <w:t xml:space="preserve"> نوفمبر </w:t>
            </w:r>
            <w:r w:rsidRPr="009D1AF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D1AF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D1AF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D1AF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النرويج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D1AF0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D1AF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D1AF0"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173BC" w:rsidP="00ED0FB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</w:t>
      </w:r>
      <w:r w:rsidR="00ED0FB0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ED0FB0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</w:t>
      </w:r>
      <w:r w:rsidR="00ED0FB0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F16602" w:rsidRDefault="00A32FA8" w:rsidP="00A32FA8">
      <w:pPr>
        <w:pStyle w:val="Headingb"/>
      </w:pPr>
      <w:r w:rsidRPr="00A32FA8">
        <w:rPr>
          <w:rFonts w:hint="cs"/>
          <w:rtl/>
        </w:rPr>
        <w:t>المنا</w:t>
      </w:r>
      <w:bookmarkStart w:id="1" w:name="_GoBack"/>
      <w:bookmarkEnd w:id="1"/>
      <w:r w:rsidRPr="00A32FA8">
        <w:rPr>
          <w:rFonts w:hint="cs"/>
          <w:rtl/>
        </w:rPr>
        <w:t>قشة</w:t>
      </w:r>
    </w:p>
    <w:p w:rsidR="00A32FA8" w:rsidRDefault="001B4A84" w:rsidP="00D36013">
      <w:pPr>
        <w:rPr>
          <w:rtl/>
          <w:lang w:bidi="ar-EG"/>
        </w:rPr>
      </w:pPr>
      <w:r>
        <w:rPr>
          <w:rFonts w:hint="cs"/>
          <w:rtl/>
          <w:lang w:bidi="ar-EG"/>
        </w:rPr>
        <w:t>تصف الفقرات</w:t>
      </w:r>
      <w:r w:rsidR="00ED0FB0">
        <w:rPr>
          <w:rFonts w:hint="eastAsia"/>
          <w:rtl/>
          <w:lang w:bidi="ar-EG"/>
        </w:rPr>
        <w:t> </w:t>
      </w:r>
      <w:r w:rsidR="00345047" w:rsidRPr="001B4A84">
        <w:rPr>
          <w:lang w:bidi="ar-EG"/>
        </w:rPr>
        <w:t>18.1.4</w:t>
      </w:r>
      <w:r w:rsidR="00345047">
        <w:rPr>
          <w:rFonts w:hint="cs"/>
          <w:rtl/>
          <w:lang w:bidi="ar-EG"/>
        </w:rPr>
        <w:t>-</w:t>
      </w:r>
      <w:r w:rsidR="00345047">
        <w:rPr>
          <w:lang w:bidi="ar-EG"/>
        </w:rPr>
        <w:t>20</w:t>
      </w:r>
      <w:r>
        <w:rPr>
          <w:rFonts w:hint="cs"/>
          <w:rtl/>
          <w:lang w:bidi="ar-EG"/>
        </w:rPr>
        <w:t xml:space="preserve"> من التذييل</w:t>
      </w:r>
      <w:r w:rsidR="00ED0FB0">
        <w:rPr>
          <w:rFonts w:hint="eastAsia"/>
          <w:rtl/>
          <w:lang w:bidi="ar-EG"/>
        </w:rPr>
        <w:t> </w:t>
      </w:r>
      <w:r w:rsidRPr="001B4A84">
        <w:rPr>
          <w:rFonts w:cs="Times New Roman" w:hint="cs"/>
          <w:szCs w:val="22"/>
          <w:rtl/>
          <w:lang w:bidi="ar-EG"/>
        </w:rPr>
        <w:t>30</w:t>
      </w:r>
      <w:r>
        <w:rPr>
          <w:rFonts w:hint="cs"/>
          <w:rtl/>
          <w:lang w:bidi="ar-EG"/>
        </w:rPr>
        <w:t xml:space="preserve"> للوائح الراديو متطلبات وشروط تسجيل شبكة ذات متطلبات تنسيق </w:t>
      </w:r>
      <w:r w:rsidR="00345047">
        <w:rPr>
          <w:rFonts w:hint="cs"/>
          <w:rtl/>
          <w:lang w:bidi="ar-EG"/>
        </w:rPr>
        <w:t>معلقة</w:t>
      </w:r>
      <w:r>
        <w:rPr>
          <w:rFonts w:hint="cs"/>
          <w:rtl/>
          <w:lang w:bidi="ar-EG"/>
        </w:rPr>
        <w:t xml:space="preserve"> في</w:t>
      </w:r>
      <w:r w:rsidR="00ED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قائمة الإقليمين</w:t>
      </w:r>
      <w:r w:rsidR="00ED0FB0">
        <w:rPr>
          <w:rFonts w:hint="eastAsia"/>
          <w:rtl/>
          <w:lang w:bidi="ar-EG"/>
        </w:rPr>
        <w:t> </w:t>
      </w:r>
      <w:r w:rsidRPr="001B4A84">
        <w:rPr>
          <w:rFonts w:cs="Times New Roman" w:hint="cs"/>
          <w:szCs w:val="22"/>
          <w:rtl/>
          <w:lang w:bidi="ar-EG"/>
        </w:rPr>
        <w:t>1</w:t>
      </w:r>
      <w:r>
        <w:rPr>
          <w:rFonts w:hint="cs"/>
          <w:rtl/>
          <w:lang w:bidi="ar-EG"/>
        </w:rPr>
        <w:t xml:space="preserve"> و</w:t>
      </w:r>
      <w:r w:rsidRPr="001B4A84">
        <w:rPr>
          <w:rFonts w:cs="Times New Roman" w:hint="cs"/>
          <w:szCs w:val="22"/>
          <w:rtl/>
          <w:lang w:bidi="ar-EG"/>
        </w:rPr>
        <w:t>3</w:t>
      </w:r>
      <w:r>
        <w:rPr>
          <w:rFonts w:hint="cs"/>
          <w:rtl/>
          <w:lang w:bidi="ar-EG"/>
        </w:rPr>
        <w:t>. وثمة أحكام مماثلة تتعلق بالإقليم</w:t>
      </w:r>
      <w:r w:rsidR="00ED0FB0">
        <w:rPr>
          <w:rFonts w:hint="eastAsia"/>
          <w:rtl/>
          <w:lang w:bidi="ar-EG"/>
        </w:rPr>
        <w:t> </w:t>
      </w:r>
      <w:r w:rsidRPr="001B4A84">
        <w:rPr>
          <w:rFonts w:cs="Times New Roman" w:hint="cs"/>
          <w:szCs w:val="22"/>
          <w:rtl/>
          <w:lang w:bidi="ar-EG"/>
        </w:rPr>
        <w:t>2</w:t>
      </w:r>
      <w:r>
        <w:rPr>
          <w:rFonts w:hint="cs"/>
          <w:rtl/>
          <w:lang w:bidi="ar-EG"/>
        </w:rPr>
        <w:t xml:space="preserve"> في الفقرات</w:t>
      </w:r>
      <w:r w:rsidR="00ED0FB0">
        <w:rPr>
          <w:rFonts w:hint="eastAsia"/>
          <w:rtl/>
          <w:lang w:bidi="ar-EG"/>
        </w:rPr>
        <w:t> </w:t>
      </w:r>
      <w:r w:rsidR="009B01B4">
        <w:rPr>
          <w:rFonts w:cs="Times New Roman"/>
          <w:szCs w:val="22"/>
        </w:rPr>
        <w:t>21A.2.4</w:t>
      </w:r>
      <w:r>
        <w:rPr>
          <w:rFonts w:hint="cs"/>
          <w:rtl/>
          <w:lang w:bidi="ar-EG"/>
        </w:rPr>
        <w:t>-</w:t>
      </w:r>
      <w:r w:rsidR="009B01B4">
        <w:rPr>
          <w:rFonts w:cs="Times New Roman"/>
          <w:szCs w:val="22"/>
          <w:lang w:bidi="ar-EG"/>
        </w:rPr>
        <w:t>21D</w:t>
      </w:r>
      <w:r>
        <w:rPr>
          <w:rFonts w:hint="cs"/>
          <w:rtl/>
          <w:lang w:bidi="ar-EG"/>
        </w:rPr>
        <w:t>. كما يحتوي التذييل</w:t>
      </w:r>
      <w:r w:rsidR="00ED0FB0">
        <w:rPr>
          <w:rFonts w:hint="eastAsia"/>
          <w:rtl/>
          <w:lang w:bidi="ar-EG"/>
        </w:rPr>
        <w:t> </w:t>
      </w:r>
      <w:r w:rsidRPr="001B4A84">
        <w:rPr>
          <w:rFonts w:cs="Times New Roman"/>
          <w:szCs w:val="22"/>
          <w:rtl/>
          <w:lang w:bidi="ar-EG"/>
        </w:rPr>
        <w:t>30</w:t>
      </w:r>
      <w:r>
        <w:rPr>
          <w:lang w:bidi="ar-EG"/>
        </w:rPr>
        <w:t>A</w:t>
      </w:r>
      <w:r>
        <w:rPr>
          <w:rFonts w:hint="cs"/>
          <w:rtl/>
          <w:lang w:bidi="ar-EG"/>
        </w:rPr>
        <w:t xml:space="preserve"> على أحكام مشابهة.</w:t>
      </w:r>
    </w:p>
    <w:p w:rsidR="001B4A84" w:rsidRDefault="001B4A84" w:rsidP="00ED0FB0">
      <w:pPr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>وتنص الفقرة</w:t>
      </w:r>
      <w:r w:rsidR="00ED0FB0">
        <w:rPr>
          <w:rFonts w:hint="eastAsia"/>
          <w:rtl/>
          <w:lang w:bidi="ar-EG"/>
        </w:rPr>
        <w:t> </w:t>
      </w:r>
      <w:r w:rsidRPr="001B4A84">
        <w:rPr>
          <w:lang w:bidi="ar-EG"/>
        </w:rPr>
        <w:t>18.1.4</w:t>
      </w:r>
      <w:r>
        <w:rPr>
          <w:rFonts w:hint="cs"/>
          <w:rtl/>
          <w:lang w:bidi="ar-EG"/>
        </w:rPr>
        <w:t xml:space="preserve"> أنه في حال التسجيل في القائمة</w:t>
      </w:r>
      <w:r w:rsidR="00345047">
        <w:rPr>
          <w:rFonts w:hint="cs"/>
          <w:rtl/>
          <w:lang w:bidi="ar-EG"/>
        </w:rPr>
        <w:t xml:space="preserve"> مع متطلبات تنسيق معلقة فإن هذا التسجيل سيكون مؤقتاً ولن</w:t>
      </w:r>
      <w:r w:rsidR="00ED0FB0">
        <w:rPr>
          <w:rFonts w:hint="eastAsia"/>
          <w:rtl/>
          <w:lang w:bidi="ar-EG"/>
        </w:rPr>
        <w:t> </w:t>
      </w:r>
      <w:r w:rsidR="00345047">
        <w:rPr>
          <w:rFonts w:hint="cs"/>
          <w:rtl/>
          <w:lang w:bidi="ar-EG"/>
        </w:rPr>
        <w:t>يتغير إلى</w:t>
      </w:r>
      <w:r w:rsidR="00ED0FB0">
        <w:rPr>
          <w:rFonts w:hint="eastAsia"/>
          <w:rtl/>
          <w:lang w:bidi="ar-EG"/>
        </w:rPr>
        <w:t> </w:t>
      </w:r>
      <w:r w:rsidR="00345047">
        <w:rPr>
          <w:rFonts w:hint="cs"/>
          <w:rtl/>
          <w:lang w:bidi="ar-EG"/>
        </w:rPr>
        <w:t xml:space="preserve">تسجيل نهائي في القائمة </w:t>
      </w:r>
      <w:r w:rsidRPr="001B4A84">
        <w:rPr>
          <w:rtl/>
          <w:lang w:bidi="ar-EG"/>
        </w:rPr>
        <w:t>ما</w:t>
      </w:r>
      <w:r w:rsidR="00ED0FB0">
        <w:rPr>
          <w:rFonts w:hint="cs"/>
          <w:rtl/>
          <w:lang w:bidi="ar-EG"/>
        </w:rPr>
        <w:t> </w:t>
      </w:r>
      <w:r w:rsidRPr="001B4A84">
        <w:rPr>
          <w:rtl/>
          <w:lang w:bidi="ar-EG"/>
        </w:rPr>
        <w:t>لم يحط المكتب علماً بأن التخصيص الجديد</w:t>
      </w:r>
      <w:r w:rsidR="00345047">
        <w:rPr>
          <w:rFonts w:hint="cs"/>
          <w:rtl/>
          <w:lang w:bidi="ar-EG"/>
        </w:rPr>
        <w:t xml:space="preserve"> في قائمة الإقليمين</w:t>
      </w:r>
      <w:r w:rsidR="00ED0FB0">
        <w:rPr>
          <w:rFonts w:hint="eastAsia"/>
          <w:rtl/>
          <w:lang w:bidi="ar-EG"/>
        </w:rPr>
        <w:t> </w:t>
      </w:r>
      <w:r w:rsidR="00345047" w:rsidRPr="001B4A84">
        <w:rPr>
          <w:rFonts w:cs="Times New Roman" w:hint="cs"/>
          <w:szCs w:val="22"/>
          <w:rtl/>
          <w:lang w:bidi="ar-EG"/>
        </w:rPr>
        <w:t>1</w:t>
      </w:r>
      <w:r w:rsidR="00345047">
        <w:rPr>
          <w:rFonts w:hint="cs"/>
          <w:rtl/>
          <w:lang w:bidi="ar-EG"/>
        </w:rPr>
        <w:t xml:space="preserve"> و</w:t>
      </w:r>
      <w:r w:rsidR="00345047" w:rsidRPr="001B4A84">
        <w:rPr>
          <w:rFonts w:cs="Times New Roman" w:hint="cs"/>
          <w:szCs w:val="22"/>
          <w:rtl/>
          <w:lang w:bidi="ar-EG"/>
        </w:rPr>
        <w:t>3</w:t>
      </w:r>
      <w:r w:rsidRPr="001B4A84">
        <w:rPr>
          <w:rtl/>
          <w:lang w:bidi="ar-EG"/>
        </w:rPr>
        <w:t xml:space="preserve"> </w:t>
      </w:r>
      <w:r w:rsidRPr="00345047">
        <w:rPr>
          <w:b/>
          <w:bCs/>
          <w:rtl/>
          <w:lang w:bidi="ar-EG"/>
        </w:rPr>
        <w:t xml:space="preserve">والتخصيص الذي كان أساس عدم الاتفاق قد استخدما لمدة أربعة أشهر على الأقل، من دون أن </w:t>
      </w:r>
      <w:r w:rsidR="00345047">
        <w:rPr>
          <w:rFonts w:hint="cs"/>
          <w:b/>
          <w:bCs/>
          <w:rtl/>
          <w:lang w:bidi="ar-EG"/>
        </w:rPr>
        <w:t>تُقدَّم</w:t>
      </w:r>
      <w:r w:rsidRPr="00345047">
        <w:rPr>
          <w:b/>
          <w:bCs/>
          <w:rtl/>
          <w:lang w:bidi="ar-EG"/>
        </w:rPr>
        <w:t xml:space="preserve"> أي شكوى من</w:t>
      </w:r>
      <w:r w:rsidRPr="00345047">
        <w:rPr>
          <w:rFonts w:hint="cs"/>
          <w:b/>
          <w:bCs/>
          <w:rtl/>
          <w:lang w:bidi="ar-EG"/>
        </w:rPr>
        <w:t> </w:t>
      </w:r>
      <w:r w:rsidRPr="00345047">
        <w:rPr>
          <w:b/>
          <w:bCs/>
          <w:rtl/>
          <w:lang w:bidi="ar-EG"/>
        </w:rPr>
        <w:t>حدوث تداخل ضار</w:t>
      </w:r>
      <w:r w:rsidR="00345047" w:rsidRPr="00345047">
        <w:rPr>
          <w:rFonts w:hint="cs"/>
          <w:b/>
          <w:bCs/>
          <w:rtl/>
          <w:lang w:bidi="ar-EG"/>
        </w:rPr>
        <w:t>.</w:t>
      </w:r>
    </w:p>
    <w:p w:rsidR="005F46CD" w:rsidRDefault="00345047" w:rsidP="00ED0FB0">
      <w:pPr>
        <w:rPr>
          <w:b/>
          <w:bCs/>
          <w:rtl/>
          <w:lang w:bidi="ar-EG"/>
        </w:rPr>
      </w:pPr>
      <w:r>
        <w:rPr>
          <w:rFonts w:hint="cs"/>
          <w:rtl/>
        </w:rPr>
        <w:t>وفي التذييل</w:t>
      </w:r>
      <w:r w:rsidR="00ED0FB0">
        <w:rPr>
          <w:rFonts w:hint="eastAsia"/>
          <w:rtl/>
        </w:rPr>
        <w:t> </w:t>
      </w:r>
      <w:r>
        <w:t>30B</w:t>
      </w:r>
      <w:r>
        <w:rPr>
          <w:rFonts w:hint="cs"/>
          <w:rtl/>
          <w:lang w:bidi="ar-EG"/>
        </w:rPr>
        <w:t xml:space="preserve"> فإن الأحكام المقابلة (الفقرات</w:t>
      </w:r>
      <w:r w:rsidR="00ED0FB0">
        <w:rPr>
          <w:rFonts w:hint="eastAsia"/>
          <w:rtl/>
          <w:lang w:bidi="ar-EG"/>
        </w:rPr>
        <w:t> </w:t>
      </w:r>
      <w:r w:rsidR="005F46CD">
        <w:rPr>
          <w:lang w:bidi="ar-EG"/>
        </w:rPr>
        <w:t>25.6</w:t>
      </w:r>
      <w:r w:rsidR="005F46CD">
        <w:rPr>
          <w:rFonts w:hint="cs"/>
          <w:rtl/>
          <w:lang w:bidi="ar-EG"/>
        </w:rPr>
        <w:t>-</w:t>
      </w:r>
      <w:r w:rsidR="005F46CD">
        <w:rPr>
          <w:lang w:bidi="ar-EG"/>
        </w:rPr>
        <w:t>29.6</w:t>
      </w:r>
      <w:r w:rsidR="005F46CD">
        <w:rPr>
          <w:rFonts w:hint="cs"/>
          <w:rtl/>
          <w:lang w:bidi="ar-EG"/>
        </w:rPr>
        <w:t>) ترد بصياغة مختلفة فيما</w:t>
      </w:r>
      <w:r w:rsidR="00ED0FB0">
        <w:rPr>
          <w:rFonts w:hint="eastAsia"/>
          <w:rtl/>
          <w:lang w:bidi="ar-EG"/>
        </w:rPr>
        <w:t> </w:t>
      </w:r>
      <w:r w:rsidR="005F46CD">
        <w:rPr>
          <w:rFonts w:hint="cs"/>
          <w:rtl/>
          <w:lang w:bidi="ar-EG"/>
        </w:rPr>
        <w:t>يتعلق بالتغيير من التسجيل المؤقت إلى التسجيل النهائي حيث تنص على أ</w:t>
      </w:r>
      <w:r w:rsidR="005F46CD" w:rsidRPr="005F46CD">
        <w:rPr>
          <w:rtl/>
          <w:lang w:bidi="ar-EG"/>
        </w:rPr>
        <w:t xml:space="preserve">لا يصبح الإدراج المؤقت في القائمة نهائياً إلا إذا أُخطر المكتب بأن </w:t>
      </w:r>
      <w:r w:rsidR="005F46CD" w:rsidRPr="005F46CD">
        <w:rPr>
          <w:b/>
          <w:bCs/>
          <w:rtl/>
          <w:lang w:bidi="ar-EG"/>
        </w:rPr>
        <w:t>جميع الاتفاقات اللازمة قد</w:t>
      </w:r>
      <w:r w:rsidR="00ED0FB0">
        <w:rPr>
          <w:rFonts w:hint="cs"/>
          <w:b/>
          <w:bCs/>
          <w:rtl/>
          <w:lang w:bidi="ar-EG"/>
        </w:rPr>
        <w:t> </w:t>
      </w:r>
      <w:r w:rsidR="005F46CD" w:rsidRPr="005F46CD">
        <w:rPr>
          <w:b/>
          <w:bCs/>
          <w:rtl/>
          <w:lang w:bidi="ar-EG"/>
        </w:rPr>
        <w:t>تم الحصول عليها.</w:t>
      </w:r>
    </w:p>
    <w:p w:rsidR="005F46CD" w:rsidRDefault="005F46CD" w:rsidP="00ED0FB0">
      <w:pPr>
        <w:rPr>
          <w:rtl/>
          <w:lang w:bidi="ar-EG"/>
        </w:rPr>
      </w:pPr>
      <w:r>
        <w:rPr>
          <w:rFonts w:hint="cs"/>
          <w:rtl/>
        </w:rPr>
        <w:t>وتماثل صياغة الفقرة</w:t>
      </w:r>
      <w:r w:rsidR="00ED0FB0">
        <w:rPr>
          <w:rFonts w:hint="eastAsia"/>
          <w:rtl/>
        </w:rPr>
        <w:t> </w:t>
      </w:r>
      <w:r w:rsidRPr="001B4A84">
        <w:rPr>
          <w:lang w:bidi="ar-EG"/>
        </w:rPr>
        <w:t>18.1.4</w:t>
      </w:r>
      <w:r>
        <w:rPr>
          <w:rFonts w:hint="cs"/>
          <w:rtl/>
          <w:lang w:bidi="ar-EG"/>
        </w:rPr>
        <w:t xml:space="preserve"> </w:t>
      </w:r>
      <w:r w:rsidR="00CF3E7C">
        <w:rPr>
          <w:rFonts w:hint="cs"/>
          <w:rtl/>
          <w:lang w:bidi="ar-EG"/>
        </w:rPr>
        <w:t>ما</w:t>
      </w:r>
      <w:r w:rsidR="00ED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كان وارداً قبلاً في الرقم</w:t>
      </w:r>
      <w:r w:rsidR="00ED0FB0">
        <w:rPr>
          <w:rFonts w:hint="eastAsia"/>
          <w:rtl/>
          <w:lang w:bidi="ar-EG"/>
        </w:rPr>
        <w:t> </w:t>
      </w:r>
      <w:r>
        <w:rPr>
          <w:lang w:bidi="ar-EG"/>
        </w:rPr>
        <w:t>41.11</w:t>
      </w:r>
      <w:r>
        <w:rPr>
          <w:rFonts w:hint="cs"/>
          <w:rtl/>
          <w:lang w:bidi="ar-EG"/>
        </w:rPr>
        <w:t xml:space="preserve"> من لوائح الراديو. على أن النرويج تلاحظ أن مؤتمر</w:t>
      </w:r>
      <w:r w:rsidR="00ED0FB0">
        <w:rPr>
          <w:rFonts w:hint="eastAsia"/>
          <w:rtl/>
          <w:lang w:bidi="ar-EG"/>
        </w:rPr>
        <w:t> </w:t>
      </w:r>
      <w:r>
        <w:t>WRC</w:t>
      </w:r>
      <w:r w:rsidR="00ED0FB0">
        <w:noBreakHyphen/>
      </w:r>
      <w:r>
        <w:t>12</w:t>
      </w:r>
      <w:r>
        <w:rPr>
          <w:rFonts w:hint="cs"/>
          <w:rtl/>
        </w:rPr>
        <w:t xml:space="preserve"> قد</w:t>
      </w:r>
      <w:r w:rsidR="00ED0FB0">
        <w:rPr>
          <w:rFonts w:hint="eastAsia"/>
          <w:rtl/>
        </w:rPr>
        <w:t> </w:t>
      </w:r>
      <w:r>
        <w:rPr>
          <w:rFonts w:hint="cs"/>
          <w:rtl/>
        </w:rPr>
        <w:t>حذف ذلك. والأهم من هذا هو الفارق الأساسي بين النطاقات المخططة وغير</w:t>
      </w:r>
      <w:r w:rsidR="00ED0FB0">
        <w:rPr>
          <w:rFonts w:hint="eastAsia"/>
          <w:rtl/>
        </w:rPr>
        <w:t> </w:t>
      </w:r>
      <w:r>
        <w:rPr>
          <w:rFonts w:hint="cs"/>
          <w:rtl/>
        </w:rPr>
        <w:t>المخططة المتمثل في أنه في حين أن للنطاقات غير المخططة معايير حماية لكل مصدر وحيد</w:t>
      </w:r>
      <w:r w:rsidR="00CF3E7C">
        <w:rPr>
          <w:rFonts w:hint="cs"/>
          <w:rtl/>
        </w:rPr>
        <w:t xml:space="preserve"> فقط</w:t>
      </w:r>
      <w:r>
        <w:rPr>
          <w:rFonts w:hint="cs"/>
          <w:rtl/>
        </w:rPr>
        <w:t xml:space="preserve"> فإن للنطاقات المخططة </w:t>
      </w:r>
      <w:r w:rsidR="00874501">
        <w:rPr>
          <w:rFonts w:hint="cs"/>
          <w:rtl/>
        </w:rPr>
        <w:t xml:space="preserve">وضع مرجعي يراعي تجميع التداخل من كل الشبكات الأخرى </w:t>
      </w:r>
      <w:r w:rsidR="00CF3E7C">
        <w:rPr>
          <w:rFonts w:hint="cs"/>
          <w:rtl/>
        </w:rPr>
        <w:t>و</w:t>
      </w:r>
      <w:r w:rsidR="00874501">
        <w:rPr>
          <w:rFonts w:hint="cs"/>
          <w:rtl/>
        </w:rPr>
        <w:t>ا</w:t>
      </w:r>
      <w:r w:rsidR="00ED0FB0">
        <w:rPr>
          <w:rFonts w:hint="cs"/>
          <w:rtl/>
        </w:rPr>
        <w:t>لذي تستند إليه معايير الحماية (</w:t>
      </w:r>
      <w:r w:rsidR="00874501">
        <w:rPr>
          <w:rFonts w:hint="cs"/>
          <w:rtl/>
        </w:rPr>
        <w:t>ترد نسبي للوضع المرجعي مثل</w:t>
      </w:r>
      <w:r w:rsidR="00ED0FB0">
        <w:rPr>
          <w:rFonts w:hint="eastAsia"/>
          <w:rtl/>
        </w:rPr>
        <w:t> </w:t>
      </w:r>
      <w:r w:rsidR="00874501">
        <w:t>0</w:t>
      </w:r>
      <w:r w:rsidR="00ED0FB0">
        <w:t>,</w:t>
      </w:r>
      <w:r w:rsidR="00874501">
        <w:t>45</w:t>
      </w:r>
      <w:r>
        <w:rPr>
          <w:rFonts w:hint="cs"/>
          <w:rtl/>
        </w:rPr>
        <w:t xml:space="preserve"> </w:t>
      </w:r>
      <w:r w:rsidR="00874501">
        <w:t>dB</w:t>
      </w:r>
      <w:r w:rsidR="00874501">
        <w:rPr>
          <w:rFonts w:hint="cs"/>
          <w:rtl/>
          <w:lang w:bidi="ar-EG"/>
        </w:rPr>
        <w:t xml:space="preserve"> أو </w:t>
      </w:r>
      <w:r w:rsidR="00874501">
        <w:t>0</w:t>
      </w:r>
      <w:r w:rsidR="00ED0FB0">
        <w:t>,</w:t>
      </w:r>
      <w:r w:rsidR="00874501">
        <w:t>25</w:t>
      </w:r>
      <w:r w:rsidR="00874501">
        <w:rPr>
          <w:rFonts w:hint="cs"/>
          <w:rtl/>
        </w:rPr>
        <w:t xml:space="preserve"> </w:t>
      </w:r>
      <w:r w:rsidR="00874501">
        <w:t>dB</w:t>
      </w:r>
      <w:r w:rsidR="00874501">
        <w:rPr>
          <w:rFonts w:hint="cs"/>
          <w:rtl/>
          <w:lang w:bidi="ar-EG"/>
        </w:rPr>
        <w:t>).</w:t>
      </w:r>
    </w:p>
    <w:p w:rsidR="00874501" w:rsidRDefault="00874501" w:rsidP="00ED0FB0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وعند التسجيل المؤقت لشبكة في القائمة، لا</w:t>
      </w:r>
      <w:r w:rsidR="00ED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يتم تحديث الوضع المرجعي للشبكات "الضحية" التي لم</w:t>
      </w:r>
      <w:r w:rsidR="00ED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يُستكمل معها التنسيق. ولا</w:t>
      </w:r>
      <w:r w:rsidR="00ED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توفر لوائح الراديو تعليمات دقيقة بشأن ما</w:t>
      </w:r>
      <w:r w:rsidR="00ED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إذا كان الوضع المرجعي لهذه الشبكات "الضحية" سيُحدَّث ومتى سيجري ذلك </w:t>
      </w:r>
      <w:r w:rsidR="00CF3E7C">
        <w:rPr>
          <w:rFonts w:hint="cs"/>
          <w:rtl/>
          <w:lang w:bidi="ar-EG"/>
        </w:rPr>
        <w:t>وأن</w:t>
      </w:r>
      <w:r>
        <w:rPr>
          <w:rFonts w:hint="cs"/>
          <w:rtl/>
          <w:lang w:bidi="ar-EG"/>
        </w:rPr>
        <w:t xml:space="preserve"> المكتب ملزم باعتماد ممارسة للقيام بهذا.</w:t>
      </w:r>
    </w:p>
    <w:p w:rsidR="00874501" w:rsidRDefault="00874501" w:rsidP="00ED0FB0">
      <w:pPr>
        <w:rPr>
          <w:rtl/>
          <w:lang w:bidi="ar-EG"/>
        </w:rPr>
      </w:pPr>
      <w:r>
        <w:rPr>
          <w:rFonts w:hint="cs"/>
          <w:rtl/>
          <w:lang w:bidi="ar-EG"/>
        </w:rPr>
        <w:t>وفيما يتعلق بالتذييل</w:t>
      </w:r>
      <w:r w:rsidR="00ED0FB0">
        <w:rPr>
          <w:rFonts w:hint="eastAsia"/>
          <w:rtl/>
          <w:lang w:bidi="ar-EG"/>
        </w:rPr>
        <w:t> </w:t>
      </w:r>
      <w:r>
        <w:rPr>
          <w:lang w:bidi="ar-EG"/>
        </w:rPr>
        <w:t>30B</w:t>
      </w:r>
      <w:r>
        <w:rPr>
          <w:rFonts w:hint="cs"/>
          <w:rtl/>
          <w:lang w:bidi="ar-EG"/>
        </w:rPr>
        <w:t xml:space="preserve"> فإن الممارسة الراهنة تتمثل في أن</w:t>
      </w:r>
      <w:r w:rsidR="00ED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الوضع المرجعي يُحدَّث بعد التوصل إلى اتفاق. وترى النرويج أن ذلك يمثل نهجاً منطقيا</w:t>
      </w:r>
      <w:r w:rsidR="00D36013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>.</w:t>
      </w:r>
    </w:p>
    <w:p w:rsidR="00874501" w:rsidRDefault="00874501" w:rsidP="00ED0FB0">
      <w:pPr>
        <w:rPr>
          <w:rtl/>
          <w:lang w:bidi="ar-EG"/>
        </w:rPr>
      </w:pPr>
      <w:r>
        <w:rPr>
          <w:rFonts w:hint="cs"/>
          <w:rtl/>
          <w:lang w:bidi="ar-EG"/>
        </w:rPr>
        <w:t>على أنه فيما</w:t>
      </w:r>
      <w:r w:rsidR="00ED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يتعلق بالتذييلين</w:t>
      </w:r>
      <w:r w:rsidR="00ED0FB0">
        <w:rPr>
          <w:rFonts w:hint="eastAsia"/>
          <w:rtl/>
          <w:lang w:bidi="ar-EG"/>
        </w:rPr>
        <w:t> </w:t>
      </w: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30A</w:t>
      </w:r>
      <w:r>
        <w:rPr>
          <w:rFonts w:hint="cs"/>
          <w:rtl/>
          <w:lang w:bidi="ar-EG"/>
        </w:rPr>
        <w:t xml:space="preserve"> فإن الممارسة الحالية هي تحديث الوضع المرجعي للشبكة "الضحية" عند تغيير التسجيل من مؤقت إلى نهائي، أي بعد أربعة أشهر </w:t>
      </w:r>
      <w:r w:rsidR="000A0B76" w:rsidRPr="000A0B76">
        <w:rPr>
          <w:rtl/>
          <w:lang w:bidi="ar-EG"/>
        </w:rPr>
        <w:t>من دون أن تُقدَّم أي شكوى من حدوث تداخل ضار.</w:t>
      </w:r>
    </w:p>
    <w:p w:rsidR="000A0B76" w:rsidRDefault="000A0B76" w:rsidP="00ED0FB0">
      <w:pPr>
        <w:rPr>
          <w:color w:val="000000"/>
          <w:rtl/>
        </w:rPr>
      </w:pPr>
      <w:r>
        <w:rPr>
          <w:rFonts w:hint="cs"/>
          <w:rtl/>
          <w:lang w:bidi="ar-EG"/>
        </w:rPr>
        <w:t>وقد تكون هناك أسباب عديدة لعدم حدوث تداخل ضار خلال الأشهر الأربعة الأولى، فقد لا</w:t>
      </w:r>
      <w:r w:rsidR="00ED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تُشغَّل الشبكة "الضحية" خلال هذه الفترة بخصائصها الأشد حساسية (استخدام هوائيات أضخم، وتشكيل/تشفير أشد صلابة، و</w:t>
      </w:r>
      <w:r>
        <w:rPr>
          <w:color w:val="000000"/>
          <w:rtl/>
        </w:rPr>
        <w:t xml:space="preserve">قيمة </w:t>
      </w:r>
      <w:r>
        <w:rPr>
          <w:rFonts w:hint="cs"/>
          <w:color w:val="000000"/>
          <w:rtl/>
        </w:rPr>
        <w:t>ل</w:t>
      </w:r>
      <w:r>
        <w:rPr>
          <w:color w:val="000000"/>
          <w:rtl/>
        </w:rPr>
        <w:t>لقدرة المشعة المكافئة المتناحية</w:t>
      </w:r>
      <w:r>
        <w:rPr>
          <w:rFonts w:hint="cs"/>
          <w:color w:val="000000"/>
          <w:rtl/>
        </w:rPr>
        <w:t xml:space="preserve"> أعلى من القيم الدنيا، ...) أو أن الشبكة المسببة للتداخل قد لا تعمل بأشد خصائص تداخلها (قيم أدنى ل</w:t>
      </w:r>
      <w:r>
        <w:rPr>
          <w:color w:val="000000"/>
          <w:rtl/>
        </w:rPr>
        <w:t>لقدرة المشعة المكافئة المتناحية</w:t>
      </w:r>
      <w:r>
        <w:rPr>
          <w:rFonts w:hint="cs"/>
          <w:color w:val="000000"/>
          <w:rtl/>
        </w:rPr>
        <w:t>، ومرسلات مستجيبات بدون زبائن، وحزم قابلة للتوجيه تشير إلى وجهة أخرى، ....).</w:t>
      </w:r>
    </w:p>
    <w:p w:rsidR="000A0B76" w:rsidRDefault="000A0B76" w:rsidP="00ED0FB0">
      <w:pPr>
        <w:rPr>
          <w:rtl/>
        </w:rPr>
      </w:pPr>
      <w:r>
        <w:rPr>
          <w:rFonts w:hint="cs"/>
          <w:rtl/>
        </w:rPr>
        <w:t xml:space="preserve">على أنه في نهاية فترة الأشهر الأربعة هذه فإن الوضع المرجعي للشبكة "الضحية" سيُحدَّث ليشتمل على التداخل الكامل من الشبكة التي لم تعط موافقتها. ويمكن أن يؤثر ذلك بشدة على </w:t>
      </w:r>
      <w:r w:rsidR="00CF3E7C">
        <w:rPr>
          <w:rFonts w:hint="cs"/>
          <w:rtl/>
        </w:rPr>
        <w:t>ا</w:t>
      </w:r>
      <w:r>
        <w:rPr>
          <w:rFonts w:hint="cs"/>
          <w:rtl/>
        </w:rPr>
        <w:t>لوضع المرجعي للشبكة "الضحية" وقد تفرض بطاقات التبليغ اللاحقة الأخرى تداخلاً أشد بكثير على الشبكة "الضحية" قبل تجاوز التردي النسبي الذي يحفز التنسيق.</w:t>
      </w:r>
    </w:p>
    <w:p w:rsidR="00C173BC" w:rsidRDefault="000A0B76" w:rsidP="00ED0FB0">
      <w:r>
        <w:rPr>
          <w:rFonts w:hint="cs"/>
          <w:rtl/>
        </w:rPr>
        <w:t xml:space="preserve">ونتيجة لذلك، ومع أن الشبكة "الضحية" لم تعط موافقتها، فإنها قد تجد نفسها بحماية أقل بسبب شبكة </w:t>
      </w:r>
      <w:r w:rsidR="009B01B4">
        <w:rPr>
          <w:rFonts w:hint="cs"/>
          <w:rtl/>
        </w:rPr>
        <w:t>لم تمنح موافقتها لها.</w:t>
      </w:r>
    </w:p>
    <w:p w:rsidR="00C173BC" w:rsidRDefault="00C173BC" w:rsidP="00D36013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C173BC" w:rsidRDefault="009B01B4" w:rsidP="00ED0FB0">
      <w:pPr>
        <w:rPr>
          <w:rtl/>
          <w:lang w:bidi="ar-EG"/>
        </w:rPr>
      </w:pPr>
      <w:r>
        <w:rPr>
          <w:rFonts w:hint="cs"/>
          <w:rtl/>
          <w:lang w:bidi="ar-EG"/>
        </w:rPr>
        <w:t>تفادياً لذلك لا يجوز تحديث الوضع المرجعي للشبكة "الضحية" إلا بعد منح الموافقة.</w:t>
      </w:r>
    </w:p>
    <w:p w:rsidR="00C173BC" w:rsidRDefault="009B01B4" w:rsidP="00ED0FB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وتحقيقاً لهذا فإن النرويج تقترح أن يوضح مؤتمر </w:t>
      </w:r>
      <w:r>
        <w:t>WRC-15</w:t>
      </w:r>
      <w:r>
        <w:rPr>
          <w:rFonts w:hint="cs"/>
          <w:rtl/>
        </w:rPr>
        <w:t xml:space="preserve"> في أحد محاضر جلساته العامة </w:t>
      </w:r>
      <w:r w:rsidR="00CF3E7C">
        <w:rPr>
          <w:rFonts w:hint="cs"/>
          <w:rtl/>
        </w:rPr>
        <w:t>بأنه</w:t>
      </w:r>
      <w:r>
        <w:rPr>
          <w:rFonts w:hint="cs"/>
          <w:rtl/>
        </w:rPr>
        <w:t xml:space="preserve"> عند تسجيل شبكة في القائمة بموجب الفقرة </w:t>
      </w:r>
      <w:r w:rsidRPr="001B4A84">
        <w:rPr>
          <w:lang w:bidi="ar-EG"/>
        </w:rPr>
        <w:t>18.1.4</w:t>
      </w:r>
      <w:r>
        <w:rPr>
          <w:rFonts w:hint="cs"/>
          <w:rtl/>
          <w:lang w:bidi="ar-EG"/>
        </w:rPr>
        <w:t xml:space="preserve"> أو الفقرة  </w:t>
      </w:r>
      <w:r>
        <w:rPr>
          <w:rFonts w:cs="Times New Roman"/>
          <w:szCs w:val="22"/>
        </w:rPr>
        <w:t>21A.2.4</w:t>
      </w:r>
      <w:r>
        <w:rPr>
          <w:rFonts w:cs="Times New Roman" w:hint="cs"/>
          <w:szCs w:val="22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التذييل </w:t>
      </w: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أو </w:t>
      </w:r>
      <w:r>
        <w:rPr>
          <w:lang w:bidi="ar-EG"/>
        </w:rPr>
        <w:t>30A</w:t>
      </w:r>
      <w:r>
        <w:rPr>
          <w:rFonts w:hint="cs"/>
          <w:rtl/>
          <w:lang w:bidi="ar-EG"/>
        </w:rPr>
        <w:t xml:space="preserve"> فإنه لا يجوز تحديث الوضع المرجعي للشبكة "الضحية" إلا بعد إخطار المكتب بانه تم الحصول على اتفاق (أي على غرار الممارسة الحالية في التذييل </w:t>
      </w:r>
      <w:r>
        <w:rPr>
          <w:lang w:bidi="ar-EG"/>
        </w:rPr>
        <w:t>30B</w:t>
      </w:r>
      <w:r>
        <w:rPr>
          <w:rFonts w:hint="cs"/>
          <w:rtl/>
          <w:lang w:bidi="ar-EG"/>
        </w:rPr>
        <w:t>).</w:t>
      </w:r>
    </w:p>
    <w:p w:rsidR="00C173BC" w:rsidRPr="00C173BC" w:rsidRDefault="00C173BC" w:rsidP="00C173BC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C173BC" w:rsidRPr="00C173B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32FA8" w:rsidRDefault="00A32FA8" w:rsidP="00A32FA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D0FB0">
      <w:rPr>
        <w:noProof/>
        <w:lang w:val="es-ES"/>
      </w:rPr>
      <w:t>P:\ARA\ITU-R\CONF-R\CMR15\100\169A.docx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389670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36013">
      <w:rPr>
        <w:noProof/>
      </w:rPr>
      <w:t>04.11.15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D0FB0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D0FB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D0FB0">
      <w:rPr>
        <w:noProof/>
        <w:lang w:val="es-ES"/>
      </w:rPr>
      <w:t>P:\ARA\ITU-R\CONF-R\CMR15\100\169A.docx</w:t>
    </w:r>
    <w:r>
      <w:fldChar w:fldCharType="end"/>
    </w:r>
    <w:r w:rsidRPr="00CB4300">
      <w:rPr>
        <w:lang w:val="es-ES"/>
      </w:rPr>
      <w:t xml:space="preserve">   (</w:t>
    </w:r>
    <w:r w:rsidR="00ED0FB0">
      <w:rPr>
        <w:lang w:val="es-ES"/>
      </w:rPr>
      <w:t>389670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36013">
      <w:rPr>
        <w:noProof/>
      </w:rPr>
      <w:t>04.11.15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D0FB0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3601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169-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0B76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B4A84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0A7"/>
    <w:rsid w:val="002D5F64"/>
    <w:rsid w:val="002D6FBF"/>
    <w:rsid w:val="002E48BF"/>
    <w:rsid w:val="002E61C2"/>
    <w:rsid w:val="0033737F"/>
    <w:rsid w:val="00345047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46CD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4501"/>
    <w:rsid w:val="0088384B"/>
    <w:rsid w:val="008877B9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1B4"/>
    <w:rsid w:val="009B0BD8"/>
    <w:rsid w:val="009D1AF0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2FA8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2E16"/>
    <w:rsid w:val="00C173BC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3E7C"/>
    <w:rsid w:val="00D25120"/>
    <w:rsid w:val="00D36013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0FB0"/>
    <w:rsid w:val="00ED4B29"/>
    <w:rsid w:val="00ED67AF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CFD6856-E284-438E-AA5A-32BCE88E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R15-WRC15-C-0169!!MSW-A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057EED-138A-41F7-BEFF-877B0D100A07}">
  <ds:schemaRefs>
    <ds:schemaRef ds:uri="http://purl.org/dc/terms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2736DAC-1FE9-45E1-8026-252E8A6D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R15-WRC15-C-0169!!MSW-A</vt:lpstr>
    </vt:vector>
  </TitlesOfParts>
  <Manager>General Secretariat - Pool</Manager>
  <Company>International Telecommunication Union (ITU)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R15-WRC15-C-0169!!MSW-A</dc:title>
  <dc:creator>Documents Proposals Manager (DPM)</dc:creator>
  <cp:keywords>DPM_v5.2015.11.4_prod</cp:keywords>
  <cp:lastModifiedBy>Saad, Samuel</cp:lastModifiedBy>
  <cp:revision>4</cp:revision>
  <cp:lastPrinted>2011-11-07T13:53:00Z</cp:lastPrinted>
  <dcterms:created xsi:type="dcterms:W3CDTF">2015-11-04T20:53:00Z</dcterms:created>
  <dcterms:modified xsi:type="dcterms:W3CDTF">2015-11-04T21:50:00Z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