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267B66">
            <w:pPr>
              <w:pStyle w:val="Source"/>
              <w:rPr>
                <w:lang w:eastAsia="zh-CN"/>
              </w:rPr>
            </w:pPr>
            <w:bookmarkStart w:id="4" w:name="dsource" w:colFirst="0" w:colLast="0"/>
            <w:r w:rsidRPr="000273B7">
              <w:rPr>
                <w:lang w:eastAsia="zh-CN"/>
              </w:rPr>
              <w:t>俄罗斯联邦</w:t>
            </w:r>
            <w:r w:rsidRPr="000273B7">
              <w:rPr>
                <w:lang w:eastAsia="zh-CN"/>
              </w:rPr>
              <w:t>/</w:t>
            </w:r>
            <w:r w:rsidRPr="000273B7">
              <w:rPr>
                <w:lang w:eastAsia="zh-CN"/>
              </w:rPr>
              <w:t>挪威</w:t>
            </w:r>
            <w:r w:rsidRPr="000273B7">
              <w:rPr>
                <w:lang w:eastAsia="zh-CN"/>
              </w:rPr>
              <w:t>/</w:t>
            </w:r>
            <w:r w:rsidRPr="000273B7">
              <w:rPr>
                <w:lang w:eastAsia="zh-CN"/>
              </w:rPr>
              <w:t>荷兰（王国）</w:t>
            </w:r>
            <w:r w:rsidRPr="000273B7">
              <w:rPr>
                <w:lang w:eastAsia="zh-CN"/>
              </w:rPr>
              <w:t>/</w:t>
            </w:r>
            <w:r w:rsidR="00267B66">
              <w:rPr>
                <w:lang w:eastAsia="zh-CN"/>
              </w:rPr>
              <w:br/>
            </w:r>
            <w:r w:rsidRPr="000273B7">
              <w:rPr>
                <w:lang w:eastAsia="zh-CN"/>
              </w:rPr>
              <w:t>大不列颠及北爱尔兰联合王国</w:t>
            </w:r>
          </w:p>
        </w:tc>
      </w:tr>
      <w:tr w:rsidR="008221A4">
        <w:trPr>
          <w:cantSplit/>
        </w:trPr>
        <w:tc>
          <w:tcPr>
            <w:tcW w:w="10031" w:type="dxa"/>
            <w:gridSpan w:val="2"/>
          </w:tcPr>
          <w:p w:rsidR="008221A4" w:rsidRDefault="008F6FFB"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8B60D0" w:rsidRPr="00111152" w:rsidRDefault="006A391D" w:rsidP="00B742A1">
      <w:pPr>
        <w:pStyle w:val="Normalaftertitle0"/>
        <w:spacing w:before="240"/>
        <w:rPr>
          <w:lang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00DB4AB2">
        <w:rPr>
          <w:rFonts w:hint="eastAsia"/>
          <w:lang w:eastAsia="zh-CN"/>
        </w:rPr>
        <w:t>）的控制和</w:t>
      </w:r>
      <w:r w:rsidR="001D37AB">
        <w:rPr>
          <w:rFonts w:hint="eastAsia"/>
          <w:lang w:eastAsia="zh-CN"/>
        </w:rPr>
        <w:t>非有效载荷</w:t>
      </w:r>
      <w:r w:rsidRPr="009C33AA">
        <w:rPr>
          <w:rFonts w:hint="eastAsia"/>
          <w:lang w:eastAsia="zh-CN"/>
        </w:rPr>
        <w:t>通信</w:t>
      </w:r>
      <w:r w:rsidRPr="009C33AA">
        <w:rPr>
          <w:rFonts w:hint="eastAsia"/>
          <w:lang w:val="es-ES_tradnl" w:eastAsia="zh-CN"/>
        </w:rPr>
        <w:t>；</w:t>
      </w:r>
    </w:p>
    <w:p w:rsidR="00622560" w:rsidRDefault="004E4E17" w:rsidP="000C4BA1">
      <w:pPr>
        <w:rPr>
          <w:lang w:eastAsia="zh-CN"/>
        </w:rPr>
      </w:pPr>
      <w:r w:rsidRPr="009C33AA">
        <w:rPr>
          <w:rFonts w:hint="eastAsia"/>
          <w:lang w:eastAsia="zh-CN"/>
        </w:rPr>
        <w:t>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Pr>
          <w:rFonts w:hint="eastAsia"/>
          <w:lang w:eastAsia="zh-CN"/>
        </w:rPr>
        <w:t>：</w:t>
      </w:r>
      <w:r w:rsidRPr="009C33AA">
        <w:rPr>
          <w:rFonts w:hint="eastAsia"/>
          <w:lang w:eastAsia="zh-CN"/>
        </w:rPr>
        <w:t>将划分给无须遵守附录</w:t>
      </w:r>
      <w:r w:rsidRPr="004E4E17">
        <w:rPr>
          <w:lang w:eastAsia="zh-CN"/>
        </w:rPr>
        <w:t>30</w:t>
      </w:r>
      <w:r w:rsidRPr="004E4E17">
        <w:rPr>
          <w:rFonts w:hint="eastAsia"/>
          <w:lang w:eastAsia="zh-CN"/>
        </w:rPr>
        <w:t>、</w:t>
      </w:r>
      <w:r w:rsidRPr="004E4E17">
        <w:rPr>
          <w:lang w:eastAsia="zh-CN"/>
        </w:rPr>
        <w:t>30A</w:t>
      </w:r>
      <w:r w:rsidRPr="004E4E17">
        <w:rPr>
          <w:rFonts w:hint="eastAsia"/>
          <w:lang w:eastAsia="zh-CN"/>
        </w:rPr>
        <w:t>和</w:t>
      </w:r>
      <w:r w:rsidRPr="004E4E17">
        <w:rPr>
          <w:lang w:eastAsia="zh-CN"/>
        </w:rPr>
        <w:t>30B</w:t>
      </w:r>
      <w:r w:rsidRPr="004E4E17">
        <w:rPr>
          <w:rFonts w:hint="eastAsia"/>
          <w:lang w:eastAsia="zh-CN"/>
        </w:rPr>
        <w:t>规定</w:t>
      </w:r>
      <w:r w:rsidRPr="009C33AA">
        <w:rPr>
          <w:rFonts w:hint="eastAsia"/>
          <w:lang w:eastAsia="zh-CN"/>
        </w:rPr>
        <w:t>的卫星固定业务的频段用于非隔离空域无人机系统</w:t>
      </w:r>
      <w:r>
        <w:rPr>
          <w:rFonts w:hint="eastAsia"/>
          <w:lang w:eastAsia="zh-CN"/>
        </w:rPr>
        <w:t>的控制和非有效载荷</w:t>
      </w:r>
      <w:r w:rsidRPr="009C33AA">
        <w:rPr>
          <w:rFonts w:hint="eastAsia"/>
          <w:lang w:eastAsia="zh-CN"/>
        </w:rPr>
        <w:t>通信</w:t>
      </w:r>
    </w:p>
    <w:p w:rsidR="00EC35E2" w:rsidRDefault="00EC35E2" w:rsidP="0083672D">
      <w:pPr>
        <w:rPr>
          <w:lang w:eastAsia="zh-CN"/>
        </w:rPr>
      </w:pPr>
    </w:p>
    <w:p w:rsidR="008F6FFB" w:rsidRPr="002B6D7D" w:rsidRDefault="0020667D" w:rsidP="008F6FFB">
      <w:pPr>
        <w:pStyle w:val="Headingb"/>
        <w:rPr>
          <w:lang w:val="en-US" w:eastAsia="zh-CN"/>
        </w:rPr>
      </w:pPr>
      <w:r>
        <w:rPr>
          <w:rFonts w:hint="eastAsia"/>
          <w:lang w:val="en-US" w:eastAsia="zh-CN"/>
        </w:rPr>
        <w:t>引言</w:t>
      </w:r>
    </w:p>
    <w:p w:rsidR="008F6FFB" w:rsidRPr="00B742A1" w:rsidRDefault="0020667D" w:rsidP="00B742A1">
      <w:pPr>
        <w:ind w:firstLineChars="200" w:firstLine="480"/>
        <w:rPr>
          <w:lang w:eastAsia="zh-CN"/>
        </w:rPr>
      </w:pPr>
      <w:r w:rsidRPr="00B742A1">
        <w:rPr>
          <w:lang w:eastAsia="zh-CN"/>
        </w:rPr>
        <w:t>无人机，俗称遥控驾驶飞机，是能够由地面或另一飞</w:t>
      </w:r>
      <w:r w:rsidR="00DB4AB2" w:rsidRPr="00B742A1">
        <w:rPr>
          <w:lang w:eastAsia="zh-CN"/>
        </w:rPr>
        <w:t>机上</w:t>
      </w:r>
      <w:r w:rsidRPr="00B742A1">
        <w:rPr>
          <w:lang w:eastAsia="zh-CN"/>
        </w:rPr>
        <w:t>的飞行员通过通信链路遥控飞行的飞行器。该</w:t>
      </w:r>
      <w:r w:rsidR="00EA127A" w:rsidRPr="00B742A1">
        <w:rPr>
          <w:lang w:eastAsia="zh-CN"/>
        </w:rPr>
        <w:t>技术</w:t>
      </w:r>
      <w:r w:rsidRPr="00B742A1">
        <w:rPr>
          <w:lang w:eastAsia="zh-CN"/>
        </w:rPr>
        <w:t>除用于空中运输、</w:t>
      </w:r>
      <w:r w:rsidR="00EA127A" w:rsidRPr="00B742A1">
        <w:rPr>
          <w:lang w:eastAsia="zh-CN"/>
        </w:rPr>
        <w:t>勘测</w:t>
      </w:r>
      <w:r w:rsidRPr="00B742A1">
        <w:rPr>
          <w:lang w:eastAsia="zh-CN"/>
        </w:rPr>
        <w:t>和</w:t>
      </w:r>
      <w:r w:rsidR="00EA127A" w:rsidRPr="00B742A1">
        <w:rPr>
          <w:lang w:eastAsia="zh-CN"/>
        </w:rPr>
        <w:t>喷洒农药等传统飞行以外，还用于投递包裹等新应用。但是，也许最了不起的应用是在赈灾和应急相应领域，因为这时在有些地区使用有人机风险太大（</w:t>
      </w:r>
      <w:r w:rsidR="00BA738C" w:rsidRPr="00B742A1">
        <w:rPr>
          <w:lang w:eastAsia="zh-CN"/>
        </w:rPr>
        <w:t>例如，火山活动，森林火灾等）。</w:t>
      </w:r>
    </w:p>
    <w:p w:rsidR="008F6FFB" w:rsidRPr="00B742A1" w:rsidRDefault="00BA738C" w:rsidP="00B742A1">
      <w:pPr>
        <w:ind w:firstLineChars="200" w:firstLine="480"/>
        <w:rPr>
          <w:lang w:eastAsia="zh-CN"/>
        </w:rPr>
      </w:pPr>
      <w:r w:rsidRPr="00B742A1">
        <w:rPr>
          <w:lang w:eastAsia="zh-CN"/>
        </w:rPr>
        <w:t>迄今为止，无人操作一直仅限于隔离空域，因为它无法与有人飞机相媲美。不过，最终目标是让无人机进入所有空域。为实现这一目标，首先需要克服飞机面临的诸多挑战，例如规范和提供适宜的控制和</w:t>
      </w:r>
      <w:r w:rsidR="001D37AB" w:rsidRPr="00B742A1">
        <w:rPr>
          <w:lang w:eastAsia="zh-CN"/>
        </w:rPr>
        <w:t>非有效载荷</w:t>
      </w:r>
      <w:r w:rsidRPr="00B742A1">
        <w:rPr>
          <w:lang w:eastAsia="zh-CN"/>
        </w:rPr>
        <w:t>通信链路，包括频谱支持。</w:t>
      </w:r>
    </w:p>
    <w:p w:rsidR="008F6FFB" w:rsidRPr="00B742A1" w:rsidRDefault="00BA738C" w:rsidP="00F57068">
      <w:pPr>
        <w:ind w:firstLineChars="200" w:firstLine="480"/>
        <w:rPr>
          <w:lang w:eastAsia="zh-CN"/>
        </w:rPr>
      </w:pPr>
      <w:r w:rsidRPr="00B742A1">
        <w:rPr>
          <w:lang w:eastAsia="zh-CN"/>
        </w:rPr>
        <w:t>2012</w:t>
      </w:r>
      <w:r w:rsidRPr="00B742A1">
        <w:rPr>
          <w:lang w:eastAsia="zh-CN"/>
        </w:rPr>
        <w:t>年世界无线电通信大会根据</w:t>
      </w:r>
      <w:r w:rsidRPr="00B742A1">
        <w:rPr>
          <w:lang w:eastAsia="zh-CN"/>
        </w:rPr>
        <w:t>ITU-R M.217</w:t>
      </w:r>
      <w:r w:rsidR="000B30CC" w:rsidRPr="00B742A1">
        <w:rPr>
          <w:lang w:eastAsia="zh-CN"/>
        </w:rPr>
        <w:t>1</w:t>
      </w:r>
      <w:r w:rsidR="000B30CC" w:rsidRPr="00B742A1">
        <w:rPr>
          <w:vertAlign w:val="superscript"/>
          <w:lang w:eastAsia="zh-CN"/>
        </w:rPr>
        <w:footnoteReference w:id="1"/>
      </w:r>
      <w:r w:rsidRPr="00B742A1">
        <w:rPr>
          <w:lang w:eastAsia="zh-CN"/>
        </w:rPr>
        <w:t>号报告就《无线电规则》中</w:t>
      </w:r>
      <w:r w:rsidRPr="00B742A1">
        <w:rPr>
          <w:lang w:eastAsia="zh-CN"/>
        </w:rPr>
        <w:t>5 000-5 150 MHz</w:t>
      </w:r>
      <w:r w:rsidRPr="00B742A1">
        <w:rPr>
          <w:lang w:eastAsia="zh-CN"/>
        </w:rPr>
        <w:t>频率范围提出一些修改意见，以便于无人飞机的地面和卫星通信。</w:t>
      </w:r>
      <w:r w:rsidR="000B30CC" w:rsidRPr="00B742A1">
        <w:rPr>
          <w:lang w:eastAsia="zh-CN"/>
        </w:rPr>
        <w:t>大会期间还讨论了不受附录</w:t>
      </w:r>
      <w:r w:rsidR="000B30CC" w:rsidRPr="00B742A1">
        <w:rPr>
          <w:lang w:eastAsia="zh-CN"/>
        </w:rPr>
        <w:t>30</w:t>
      </w:r>
      <w:r w:rsidR="00F57068">
        <w:rPr>
          <w:rFonts w:hint="eastAsia"/>
          <w:lang w:eastAsia="zh-CN"/>
        </w:rPr>
        <w:t>、</w:t>
      </w:r>
      <w:r w:rsidR="000B30CC" w:rsidRPr="00B742A1">
        <w:rPr>
          <w:lang w:eastAsia="zh-CN"/>
        </w:rPr>
        <w:t>30A</w:t>
      </w:r>
      <w:r w:rsidR="00F57068">
        <w:rPr>
          <w:rFonts w:hint="eastAsia"/>
          <w:lang w:eastAsia="zh-CN"/>
        </w:rPr>
        <w:t>和</w:t>
      </w:r>
      <w:r w:rsidR="00F57068" w:rsidRPr="00995FF0">
        <w:rPr>
          <w:lang w:eastAsia="zh-CN"/>
        </w:rPr>
        <w:t>30B</w:t>
      </w:r>
      <w:r w:rsidR="000B30CC" w:rsidRPr="00B742A1">
        <w:rPr>
          <w:lang w:eastAsia="zh-CN"/>
        </w:rPr>
        <w:t>约束的使用划分给卫星固定业务频段的可能性。然而，尽管使用这些频段有益于提高能力，但是现行规则条款与航空安全业务规定不符。因此，制定这一议项就是为了确定航空安全业务可以使用的附加规则条款，</w:t>
      </w:r>
      <w:r w:rsidR="00C205E2" w:rsidRPr="00B742A1">
        <w:rPr>
          <w:lang w:eastAsia="zh-CN"/>
        </w:rPr>
        <w:t>并探讨这些条款的</w:t>
      </w:r>
      <w:r w:rsidR="000B30CC" w:rsidRPr="00B742A1">
        <w:rPr>
          <w:lang w:eastAsia="zh-CN"/>
        </w:rPr>
        <w:t>可行性。</w:t>
      </w:r>
    </w:p>
    <w:p w:rsidR="008F6FFB" w:rsidRPr="00B742A1" w:rsidRDefault="00C205E2" w:rsidP="00B742A1">
      <w:pPr>
        <w:ind w:firstLineChars="200" w:firstLine="480"/>
        <w:rPr>
          <w:lang w:eastAsia="zh-CN"/>
        </w:rPr>
      </w:pPr>
      <w:r w:rsidRPr="00B742A1">
        <w:rPr>
          <w:lang w:eastAsia="zh-CN"/>
        </w:rPr>
        <w:lastRenderedPageBreak/>
        <w:t>在缺少</w:t>
      </w:r>
      <w:r w:rsidRPr="00B742A1">
        <w:rPr>
          <w:lang w:eastAsia="zh-CN"/>
        </w:rPr>
        <w:t>ICAO</w:t>
      </w:r>
      <w:r w:rsidRPr="00B742A1">
        <w:rPr>
          <w:lang w:eastAsia="zh-CN"/>
        </w:rPr>
        <w:t>明确的技术要求以及符合</w:t>
      </w:r>
      <w:r w:rsidRPr="00B742A1">
        <w:rPr>
          <w:lang w:eastAsia="zh-CN"/>
        </w:rPr>
        <w:t>ICAO</w:t>
      </w:r>
      <w:r w:rsidRPr="00B742A1">
        <w:rPr>
          <w:lang w:eastAsia="zh-CN"/>
        </w:rPr>
        <w:t>要求的条款的情况下，国际电联研究主要侧重现有卫星固定通信链路的理论性能以及保护其它现有业务必须的规则条款。另外，这些研究已经确定了尚待解决飞行器地球站</w:t>
      </w:r>
      <w:r w:rsidR="00EC35E2" w:rsidRPr="00B742A1">
        <w:rPr>
          <w:vertAlign w:val="superscript"/>
          <w:lang w:eastAsia="zh-CN"/>
        </w:rPr>
        <w:footnoteReference w:id="2"/>
      </w:r>
      <w:r w:rsidRPr="00B742A1">
        <w:rPr>
          <w:lang w:eastAsia="zh-CN"/>
        </w:rPr>
        <w:t>和卫星固定业务</w:t>
      </w:r>
      <w:r w:rsidR="00EC35E2" w:rsidRPr="00B742A1">
        <w:rPr>
          <w:vertAlign w:val="superscript"/>
          <w:lang w:eastAsia="zh-CN"/>
        </w:rPr>
        <w:footnoteReference w:id="3"/>
      </w:r>
      <w:r w:rsidRPr="00B742A1">
        <w:rPr>
          <w:lang w:eastAsia="zh-CN"/>
        </w:rPr>
        <w:t>在</w:t>
      </w:r>
      <w:r w:rsidR="002B4CA0" w:rsidRPr="00B742A1">
        <w:rPr>
          <w:lang w:eastAsia="zh-CN"/>
        </w:rPr>
        <w:t>操作应用和定义方面的差别。这一问题不解决的结果是，非隔离空域中的</w:t>
      </w:r>
      <w:r w:rsidR="002B4CA0" w:rsidRPr="00B742A1">
        <w:rPr>
          <w:lang w:eastAsia="zh-CN"/>
        </w:rPr>
        <w:t>CPNC</w:t>
      </w:r>
      <w:r w:rsidR="002B4CA0" w:rsidRPr="00B742A1">
        <w:rPr>
          <w:lang w:eastAsia="zh-CN"/>
        </w:rPr>
        <w:t>链路将无法按照安全业务的要求在监管环境中操作。</w:t>
      </w:r>
    </w:p>
    <w:p w:rsidR="008F6FFB" w:rsidRPr="00B742A1" w:rsidRDefault="002B4CA0" w:rsidP="00B742A1">
      <w:pPr>
        <w:ind w:firstLineChars="200" w:firstLine="480"/>
        <w:rPr>
          <w:lang w:eastAsia="zh-CN"/>
        </w:rPr>
      </w:pPr>
      <w:r w:rsidRPr="00B742A1">
        <w:rPr>
          <w:lang w:eastAsia="zh-CN"/>
        </w:rPr>
        <w:t>但是，研究工作未能找到解决这一差别、避免可能出现的影响固定卫星网络频率协调程序的方法。</w:t>
      </w:r>
    </w:p>
    <w:p w:rsidR="008F6FFB" w:rsidRPr="00613A41" w:rsidRDefault="002B4CA0" w:rsidP="00B742A1">
      <w:pPr>
        <w:ind w:firstLineChars="200" w:firstLine="480"/>
        <w:rPr>
          <w:lang w:eastAsia="zh-CN"/>
        </w:rPr>
      </w:pPr>
      <w:r w:rsidRPr="00B742A1">
        <w:rPr>
          <w:lang w:eastAsia="zh-CN"/>
        </w:rPr>
        <w:t>鉴于这一情况，上述国家建议不修改并废止第</w:t>
      </w:r>
      <w:r w:rsidRPr="00B742A1">
        <w:rPr>
          <w:lang w:eastAsia="zh-CN"/>
        </w:rPr>
        <w:t>153</w:t>
      </w:r>
      <w:r w:rsidRPr="00B742A1">
        <w:rPr>
          <w:lang w:eastAsia="zh-CN"/>
        </w:rPr>
        <w:t>号决议（</w:t>
      </w:r>
      <w:r w:rsidRPr="00B742A1">
        <w:rPr>
          <w:lang w:eastAsia="zh-CN"/>
        </w:rPr>
        <w:t>WRC-12</w:t>
      </w:r>
      <w:r w:rsidRPr="00B742A1">
        <w:rPr>
          <w:lang w:eastAsia="zh-CN"/>
        </w:rPr>
        <w:t>）。</w:t>
      </w:r>
    </w:p>
    <w:p w:rsidR="008F6FFB" w:rsidRPr="002B6D7D" w:rsidRDefault="002B4CA0" w:rsidP="008F6FFB">
      <w:pPr>
        <w:pStyle w:val="Headingb"/>
        <w:spacing w:before="360"/>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A391D"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A391D" w:rsidP="00DB1CAC">
      <w:pPr>
        <w:pStyle w:val="Arttitle"/>
        <w:rPr>
          <w:lang w:eastAsia="zh-CN"/>
        </w:rPr>
      </w:pPr>
      <w:bookmarkStart w:id="9" w:name="_Toc329768663"/>
      <w:r>
        <w:rPr>
          <w:rFonts w:hint="eastAsia"/>
          <w:lang w:eastAsia="zh-CN"/>
        </w:rPr>
        <w:t>频率划分</w:t>
      </w:r>
      <w:bookmarkEnd w:id="9"/>
    </w:p>
    <w:p w:rsidR="00D820B3" w:rsidRDefault="006A391D">
      <w:pPr>
        <w:pStyle w:val="Proposal"/>
        <w:rPr>
          <w:lang w:eastAsia="zh-CN"/>
        </w:rPr>
      </w:pPr>
      <w:r>
        <w:rPr>
          <w:u w:val="single"/>
          <w:lang w:eastAsia="zh-CN"/>
        </w:rPr>
        <w:t>NOC</w:t>
      </w:r>
      <w:r>
        <w:rPr>
          <w:lang w:eastAsia="zh-CN"/>
        </w:rPr>
        <w:tab/>
        <w:t>RUS/NOR/HOL/G/133/1</w:t>
      </w:r>
    </w:p>
    <w:p w:rsidR="00DB1CAC" w:rsidRDefault="006A391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AC0F4B">
        <w:rPr>
          <w:rFonts w:ascii="Times New Roman Bold" w:hAnsi="Times New Roman Bold"/>
          <w:b w:val="0"/>
          <w:sz w:val="20"/>
          <w:lang w:eastAsia="zh-CN"/>
        </w:rPr>
        <w:br/>
      </w:r>
    </w:p>
    <w:p w:rsidR="004B764A" w:rsidRDefault="006A391D" w:rsidP="004B764A">
      <w:pPr>
        <w:pStyle w:val="Reasons"/>
        <w:rPr>
          <w:lang w:eastAsia="zh-CN"/>
        </w:rPr>
      </w:pPr>
      <w:r>
        <w:rPr>
          <w:b/>
          <w:lang w:eastAsia="zh-CN"/>
        </w:rPr>
        <w:t>理由：</w:t>
      </w:r>
      <w:r>
        <w:rPr>
          <w:lang w:eastAsia="zh-CN"/>
        </w:rPr>
        <w:tab/>
      </w:r>
      <w:bookmarkStart w:id="10" w:name="_Toc319678029"/>
      <w:r w:rsidR="002B4CA0">
        <w:rPr>
          <w:rFonts w:hint="eastAsia"/>
          <w:lang w:eastAsia="zh-CN"/>
        </w:rPr>
        <w:t>使用划分给不受</w:t>
      </w:r>
      <w:r w:rsidRPr="002C5272">
        <w:rPr>
          <w:rFonts w:hint="eastAsia"/>
          <w:lang w:eastAsia="zh-CN"/>
        </w:rPr>
        <w:t>附录</w:t>
      </w:r>
      <w:r w:rsidRPr="002C5272">
        <w:rPr>
          <w:lang w:eastAsia="zh-CN"/>
        </w:rPr>
        <w:t>30</w:t>
      </w:r>
      <w:r w:rsidRPr="002C5272">
        <w:rPr>
          <w:rFonts w:hint="eastAsia"/>
          <w:lang w:eastAsia="zh-CN"/>
        </w:rPr>
        <w:t>、</w:t>
      </w:r>
      <w:r w:rsidRPr="002C5272">
        <w:rPr>
          <w:lang w:eastAsia="zh-CN"/>
        </w:rPr>
        <w:t>30A</w:t>
      </w:r>
      <w:r w:rsidRPr="002C5272">
        <w:rPr>
          <w:rFonts w:hint="eastAsia"/>
          <w:lang w:eastAsia="zh-CN"/>
        </w:rPr>
        <w:t>和</w:t>
      </w:r>
      <w:r w:rsidRPr="002C5272">
        <w:rPr>
          <w:lang w:eastAsia="zh-CN"/>
        </w:rPr>
        <w:t>30B</w:t>
      </w:r>
      <w:r w:rsidR="00C95CC1">
        <w:rPr>
          <w:rFonts w:hint="eastAsia"/>
          <w:lang w:eastAsia="zh-CN"/>
        </w:rPr>
        <w:t>约束</w:t>
      </w:r>
      <w:r w:rsidRPr="002C5272">
        <w:rPr>
          <w:rFonts w:hint="eastAsia"/>
          <w:lang w:eastAsia="zh-CN"/>
        </w:rPr>
        <w:t>的卫星固定业务的频段</w:t>
      </w:r>
      <w:r w:rsidR="00C95CC1">
        <w:rPr>
          <w:rFonts w:hint="eastAsia"/>
          <w:lang w:eastAsia="zh-CN"/>
        </w:rPr>
        <w:t>对</w:t>
      </w:r>
      <w:r w:rsidRPr="002C5272">
        <w:rPr>
          <w:rFonts w:hint="eastAsia"/>
          <w:lang w:eastAsia="zh-CN"/>
        </w:rPr>
        <w:t>无人操作航空器系统</w:t>
      </w:r>
      <w:r w:rsidR="00C95CC1">
        <w:rPr>
          <w:rFonts w:hint="eastAsia"/>
          <w:lang w:eastAsia="zh-CN"/>
        </w:rPr>
        <w:t>进行</w:t>
      </w:r>
      <w:r w:rsidRPr="002C5272">
        <w:rPr>
          <w:rFonts w:hint="eastAsia"/>
          <w:lang w:eastAsia="zh-CN"/>
        </w:rPr>
        <w:t>控制和</w:t>
      </w:r>
      <w:r w:rsidR="001D37AB">
        <w:rPr>
          <w:rFonts w:hint="eastAsia"/>
          <w:lang w:eastAsia="zh-CN"/>
        </w:rPr>
        <w:t>非有效载荷</w:t>
      </w:r>
      <w:r w:rsidRPr="002C5272">
        <w:rPr>
          <w:rFonts w:hint="eastAsia"/>
          <w:lang w:eastAsia="zh-CN"/>
        </w:rPr>
        <w:t>通信</w:t>
      </w:r>
      <w:bookmarkEnd w:id="10"/>
      <w:r w:rsidR="00C95CC1">
        <w:rPr>
          <w:rFonts w:hint="eastAsia"/>
          <w:lang w:eastAsia="zh-CN"/>
        </w:rPr>
        <w:t>不符合航空安全业务的规定，原因如下</w:t>
      </w:r>
      <w:r>
        <w:rPr>
          <w:rFonts w:hint="eastAsia"/>
          <w:lang w:eastAsia="zh-CN"/>
        </w:rPr>
        <w:t>：</w:t>
      </w:r>
    </w:p>
    <w:p w:rsidR="008F6FFB" w:rsidRPr="004B764A" w:rsidRDefault="004B764A" w:rsidP="005D5CDA">
      <w:pPr>
        <w:pStyle w:val="Reasons"/>
        <w:ind w:left="1134" w:hanging="1134"/>
        <w:rPr>
          <w:lang w:eastAsia="zh-CN"/>
        </w:rPr>
      </w:pPr>
      <w:r w:rsidRPr="004B764A">
        <w:rPr>
          <w:lang w:eastAsia="zh-CN"/>
        </w:rPr>
        <w:t>•</w:t>
      </w:r>
      <w:r w:rsidRPr="004B764A">
        <w:rPr>
          <w:lang w:eastAsia="zh-CN"/>
        </w:rPr>
        <w:tab/>
      </w:r>
      <w:r w:rsidR="00C95CC1" w:rsidRPr="004B764A">
        <w:rPr>
          <w:rFonts w:hint="eastAsia"/>
          <w:lang w:eastAsia="zh-CN"/>
        </w:rPr>
        <w:t>航空器地球站和卫星固定业务的定义不统一，结果可能导致非隔离空域中的</w:t>
      </w:r>
      <w:r w:rsidR="00C95CC1" w:rsidRPr="004B764A">
        <w:rPr>
          <w:rFonts w:hint="eastAsia"/>
          <w:lang w:eastAsia="zh-CN"/>
        </w:rPr>
        <w:t>CPNC</w:t>
      </w:r>
      <w:proofErr w:type="spellStart"/>
      <w:r w:rsidR="00C95CC1" w:rsidRPr="005D5CDA">
        <w:rPr>
          <w:rFonts w:hint="eastAsia"/>
        </w:rPr>
        <w:t>链路将无法按照安全业务的要求在监管环境中操作</w:t>
      </w:r>
      <w:proofErr w:type="spellEnd"/>
      <w:r w:rsidR="00C95CC1" w:rsidRPr="004B764A">
        <w:rPr>
          <w:rFonts w:hint="eastAsia"/>
          <w:lang w:eastAsia="zh-CN"/>
        </w:rPr>
        <w:t>。</w:t>
      </w:r>
      <w:bookmarkStart w:id="11" w:name="_GoBack"/>
      <w:bookmarkEnd w:id="11"/>
    </w:p>
    <w:p w:rsidR="008F6FFB" w:rsidRPr="004B764A" w:rsidRDefault="004B764A" w:rsidP="004B764A">
      <w:pPr>
        <w:pStyle w:val="Reasons"/>
        <w:ind w:left="1134" w:hanging="1134"/>
        <w:rPr>
          <w:lang w:eastAsia="zh-CN"/>
        </w:rPr>
      </w:pPr>
      <w:r w:rsidRPr="004B764A">
        <w:rPr>
          <w:lang w:eastAsia="zh-CN"/>
        </w:rPr>
        <w:t>•</w:t>
      </w:r>
      <w:r w:rsidRPr="004B764A">
        <w:rPr>
          <w:lang w:eastAsia="zh-CN"/>
        </w:rPr>
        <w:tab/>
      </w:r>
      <w:r w:rsidR="00C95CC1" w:rsidRPr="004B764A">
        <w:rPr>
          <w:rFonts w:hint="eastAsia"/>
          <w:lang w:eastAsia="zh-CN"/>
        </w:rPr>
        <w:t>为保护或避免约束现有业务施加功率和地理限制会致使无人航空器地球站的地位低于相关频段中的所有其它业务，这不符合生命安全业务的规定。</w:t>
      </w:r>
    </w:p>
    <w:p w:rsidR="008F6FFB" w:rsidRPr="004B764A" w:rsidRDefault="004B764A" w:rsidP="00D42F68">
      <w:pPr>
        <w:pStyle w:val="Reasons"/>
        <w:ind w:left="1134" w:hanging="1134"/>
        <w:rPr>
          <w:lang w:eastAsia="zh-CN"/>
        </w:rPr>
      </w:pPr>
      <w:r w:rsidRPr="004B764A">
        <w:rPr>
          <w:lang w:eastAsia="zh-CN"/>
        </w:rPr>
        <w:t>•</w:t>
      </w:r>
      <w:r w:rsidRPr="004B764A">
        <w:rPr>
          <w:lang w:eastAsia="zh-CN"/>
        </w:rPr>
        <w:tab/>
      </w:r>
      <w:r w:rsidR="00C95CC1" w:rsidRPr="004B764A">
        <w:rPr>
          <w:rFonts w:hint="eastAsia"/>
          <w:lang w:eastAsia="zh-CN"/>
        </w:rPr>
        <w:t>上文中功率和地理限制不符合不受限地使用空域的原则，</w:t>
      </w:r>
      <w:r w:rsidR="00C95CC1" w:rsidRPr="00D42F68">
        <w:rPr>
          <w:rFonts w:hint="eastAsia"/>
          <w:lang w:eastAsia="zh-CN"/>
        </w:rPr>
        <w:t>对空中交通管制带来不可接受的约束</w:t>
      </w:r>
      <w:r w:rsidR="00C95CC1" w:rsidRPr="004B764A">
        <w:rPr>
          <w:rFonts w:hint="eastAsia"/>
          <w:lang w:eastAsia="zh-CN"/>
        </w:rPr>
        <w:t>。</w:t>
      </w:r>
    </w:p>
    <w:p w:rsidR="008F6FFB" w:rsidRPr="004B764A" w:rsidRDefault="004B764A" w:rsidP="004B764A">
      <w:pPr>
        <w:pStyle w:val="Reasons"/>
        <w:ind w:left="1134" w:hanging="1134"/>
        <w:rPr>
          <w:lang w:eastAsia="zh-CN"/>
        </w:rPr>
      </w:pPr>
      <w:r w:rsidRPr="004B764A">
        <w:rPr>
          <w:lang w:eastAsia="zh-CN"/>
        </w:rPr>
        <w:t>•</w:t>
      </w:r>
      <w:r w:rsidRPr="004B764A">
        <w:rPr>
          <w:lang w:eastAsia="zh-CN"/>
        </w:rPr>
        <w:tab/>
      </w:r>
      <w:r w:rsidR="00A44FF5" w:rsidRPr="004B764A">
        <w:rPr>
          <w:rFonts w:hint="eastAsia"/>
          <w:lang w:eastAsia="zh-CN"/>
        </w:rPr>
        <w:t>卫星固定业务操作相关的干扰和保护包线峰值没有明确定义，一些情况下属保密协定范畴，这样人们就会根据这些情况下操作对可审计安全</w:t>
      </w:r>
      <w:r w:rsidR="00DB4AB2" w:rsidRPr="004B764A">
        <w:rPr>
          <w:rFonts w:hint="eastAsia"/>
          <w:lang w:eastAsia="zh-CN"/>
        </w:rPr>
        <w:t>的结论提出质疑。</w:t>
      </w:r>
    </w:p>
    <w:p w:rsidR="00D820B3" w:rsidRPr="004B764A" w:rsidRDefault="00DB4AB2" w:rsidP="00D42F68">
      <w:pPr>
        <w:pStyle w:val="Reasons"/>
        <w:ind w:firstLineChars="200" w:firstLine="480"/>
        <w:rPr>
          <w:rFonts w:asciiTheme="majorBidi" w:eastAsia="TimesNewRoman-Identity-H" w:hAnsiTheme="majorBidi" w:cstheme="majorBidi"/>
          <w:lang w:eastAsia="zh-CN"/>
        </w:rPr>
      </w:pPr>
      <w:r w:rsidRPr="004B764A">
        <w:rPr>
          <w:rFonts w:hint="eastAsia"/>
          <w:lang w:eastAsia="zh-CN"/>
        </w:rPr>
        <w:t>此外，当前还没有既能解决上述关切同时又能避免影响卫星固定网络频率协调的方法。</w:t>
      </w:r>
    </w:p>
    <w:p w:rsidR="00D820B3" w:rsidRDefault="006A391D">
      <w:pPr>
        <w:pStyle w:val="Proposal"/>
      </w:pPr>
      <w:r>
        <w:t>SUP</w:t>
      </w:r>
      <w:r>
        <w:tab/>
        <w:t>RUS/NOR/HOL/G/133/2</w:t>
      </w:r>
    </w:p>
    <w:p w:rsidR="007B4F46" w:rsidRPr="00325E75" w:rsidRDefault="006A391D" w:rsidP="008F6FFB">
      <w:pPr>
        <w:pStyle w:val="ResNo"/>
        <w:rPr>
          <w:lang w:eastAsia="zh-CN"/>
        </w:rPr>
      </w:pPr>
      <w:bookmarkStart w:id="12" w:name="_Toc328053052"/>
      <w:r w:rsidRPr="00510604">
        <w:rPr>
          <w:rFonts w:hint="eastAsia"/>
          <w:lang w:eastAsia="zh-CN"/>
        </w:rPr>
        <w:t>第</w:t>
      </w:r>
      <w:r w:rsidRPr="00501F21">
        <w:rPr>
          <w:rStyle w:val="href"/>
          <w:rFonts w:hint="eastAsia"/>
          <w:lang w:eastAsia="zh-CN"/>
        </w:rPr>
        <w:t>153</w:t>
      </w:r>
      <w:r w:rsidRPr="00510604">
        <w:rPr>
          <w:rFonts w:hint="eastAsia"/>
          <w:lang w:eastAsia="zh-CN"/>
        </w:rPr>
        <w:t>号决议</w:t>
      </w:r>
      <w:r>
        <w:rPr>
          <w:rFonts w:hint="eastAsia"/>
          <w:lang w:eastAsia="zh-CN"/>
        </w:rPr>
        <w:t>（</w:t>
      </w:r>
      <w:r>
        <w:rPr>
          <w:lang w:eastAsia="zh-CN"/>
        </w:rPr>
        <w:t>WRC</w:t>
      </w:r>
      <w:r>
        <w:rPr>
          <w:rFonts w:hint="eastAsia"/>
          <w:lang w:eastAsia="zh-CN"/>
        </w:rPr>
        <w:t>-</w:t>
      </w:r>
      <w:r>
        <w:rPr>
          <w:lang w:eastAsia="zh-CN"/>
        </w:rPr>
        <w:t>12</w:t>
      </w:r>
      <w:r>
        <w:rPr>
          <w:rFonts w:hint="eastAsia"/>
          <w:lang w:eastAsia="zh-CN"/>
        </w:rPr>
        <w:t>）</w:t>
      </w:r>
      <w:bookmarkEnd w:id="12"/>
    </w:p>
    <w:p w:rsidR="007B4F46" w:rsidRPr="00325E75" w:rsidRDefault="006A391D" w:rsidP="006E4B96">
      <w:pPr>
        <w:pStyle w:val="Restitle"/>
        <w:rPr>
          <w:color w:val="000000"/>
          <w:lang w:eastAsia="zh-CN"/>
        </w:rPr>
      </w:pPr>
      <w:bookmarkStart w:id="13" w:name="_Toc328053053"/>
      <w:r w:rsidRPr="002C5272">
        <w:rPr>
          <w:rFonts w:hint="eastAsia"/>
          <w:lang w:eastAsia="zh-CN"/>
        </w:rPr>
        <w:t>将划分给不涉及附录</w:t>
      </w:r>
      <w:r w:rsidRPr="002C5272">
        <w:rPr>
          <w:lang w:eastAsia="zh-CN"/>
        </w:rPr>
        <w:t>30</w:t>
      </w:r>
      <w:r w:rsidRPr="002C5272">
        <w:rPr>
          <w:rFonts w:hint="eastAsia"/>
          <w:lang w:eastAsia="zh-CN"/>
        </w:rPr>
        <w:t>、</w:t>
      </w:r>
      <w:r w:rsidRPr="002C5272">
        <w:rPr>
          <w:lang w:eastAsia="zh-CN"/>
        </w:rPr>
        <w:t>30A</w:t>
      </w:r>
      <w:r w:rsidRPr="002C5272">
        <w:rPr>
          <w:rFonts w:hint="eastAsia"/>
          <w:lang w:eastAsia="zh-CN"/>
        </w:rPr>
        <w:t>和</w:t>
      </w:r>
      <w:r w:rsidRPr="002C5272">
        <w:rPr>
          <w:lang w:eastAsia="zh-CN"/>
        </w:rPr>
        <w:t>30B</w:t>
      </w:r>
      <w:r w:rsidRPr="002C5272">
        <w:rPr>
          <w:rFonts w:hint="eastAsia"/>
          <w:lang w:eastAsia="zh-CN"/>
        </w:rPr>
        <w:t>的</w:t>
      </w:r>
      <w:r w:rsidRPr="002C5272">
        <w:rPr>
          <w:lang w:eastAsia="zh-CN"/>
        </w:rPr>
        <w:br/>
      </w:r>
      <w:r w:rsidRPr="002C5272">
        <w:rPr>
          <w:rFonts w:hint="eastAsia"/>
          <w:lang w:eastAsia="zh-CN"/>
        </w:rPr>
        <w:t>卫星固定业务的频段用于非隔离空域</w:t>
      </w:r>
      <w:r w:rsidRPr="002C5272">
        <w:rPr>
          <w:lang w:eastAsia="zh-CN"/>
        </w:rPr>
        <w:br/>
      </w:r>
      <w:r w:rsidRPr="002C5272">
        <w:rPr>
          <w:rFonts w:hint="eastAsia"/>
          <w:lang w:eastAsia="zh-CN"/>
        </w:rPr>
        <w:t>无人操作航空器系统的控制和</w:t>
      </w:r>
      <w:r w:rsidRPr="002C5272">
        <w:rPr>
          <w:lang w:eastAsia="zh-CN"/>
        </w:rPr>
        <w:br/>
      </w:r>
      <w:r w:rsidRPr="002C5272">
        <w:rPr>
          <w:rFonts w:hint="eastAsia"/>
          <w:lang w:eastAsia="zh-CN"/>
        </w:rPr>
        <w:t>非有效载荷通信</w:t>
      </w:r>
      <w:bookmarkEnd w:id="13"/>
    </w:p>
    <w:p w:rsidR="008F6FFB" w:rsidRDefault="006A391D" w:rsidP="0020667D">
      <w:pPr>
        <w:pStyle w:val="Reasons"/>
        <w:rPr>
          <w:lang w:eastAsia="zh-CN"/>
        </w:rPr>
      </w:pPr>
      <w:r>
        <w:rPr>
          <w:b/>
          <w:lang w:eastAsia="zh-CN"/>
        </w:rPr>
        <w:t>理由：</w:t>
      </w:r>
      <w:r>
        <w:rPr>
          <w:lang w:eastAsia="zh-CN"/>
        </w:rPr>
        <w:tab/>
      </w:r>
      <w:r w:rsidR="0020667D">
        <w:rPr>
          <w:rFonts w:hint="eastAsia"/>
          <w:lang w:eastAsia="zh-CN"/>
        </w:rPr>
        <w:t>本决议已无必要。</w:t>
      </w:r>
    </w:p>
    <w:p w:rsidR="008F6FFB" w:rsidRDefault="008F6FFB" w:rsidP="005D4C41">
      <w:pPr>
        <w:pStyle w:val="Reasons"/>
        <w:rPr>
          <w:lang w:eastAsia="zh-CN"/>
        </w:rPr>
      </w:pPr>
    </w:p>
    <w:p w:rsidR="008F6FFB" w:rsidRDefault="008F6FFB">
      <w:pPr>
        <w:jc w:val="center"/>
      </w:pPr>
      <w:r>
        <w:t>______________</w:t>
      </w:r>
    </w:p>
    <w:sectPr w:rsidR="008F6FFB">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94" w:rsidRPr="00DA0469" w:rsidRDefault="008E2494" w:rsidP="008E2494">
    <w:pPr>
      <w:pStyle w:val="Footer"/>
      <w:rPr>
        <w:lang w:val="en-US"/>
      </w:rPr>
    </w:pPr>
    <w:r>
      <w:fldChar w:fldCharType="begin"/>
    </w:r>
    <w:r w:rsidRPr="00DA0469">
      <w:rPr>
        <w:lang w:val="en-US"/>
      </w:rPr>
      <w:instrText xml:space="preserve"> FILENAME \p \* MERGEFORMAT </w:instrText>
    </w:r>
    <w:r>
      <w:fldChar w:fldCharType="separate"/>
    </w:r>
    <w:r w:rsidR="0041439C">
      <w:rPr>
        <w:lang w:val="en-US"/>
      </w:rPr>
      <w:t>P:\CHI\ITU-R\CONF-R\CMR15\100\133C.docx</w:t>
    </w:r>
    <w:r>
      <w:fldChar w:fldCharType="end"/>
    </w:r>
    <w:r>
      <w:t xml:space="preserve"> (388981)</w:t>
    </w:r>
    <w:r w:rsidRPr="00DA0469">
      <w:rPr>
        <w:lang w:val="en-US"/>
      </w:rPr>
      <w:tab/>
    </w:r>
    <w:r>
      <w:fldChar w:fldCharType="begin"/>
    </w:r>
    <w:r>
      <w:instrText xml:space="preserve"> savedate \@ dd.MM.yy </w:instrText>
    </w:r>
    <w:r>
      <w:fldChar w:fldCharType="separate"/>
    </w:r>
    <w:r w:rsidR="0041439C">
      <w:t>29.10.15</w:t>
    </w:r>
    <w:r>
      <w:fldChar w:fldCharType="end"/>
    </w:r>
    <w:r w:rsidRPr="00DA0469">
      <w:rPr>
        <w:lang w:val="en-US"/>
      </w:rPr>
      <w:tab/>
    </w:r>
    <w:r>
      <w:fldChar w:fldCharType="begin"/>
    </w:r>
    <w:r>
      <w:instrText xml:space="preserve"> printdate \@ dd.MM.yy </w:instrText>
    </w:r>
    <w:r>
      <w:fldChar w:fldCharType="separate"/>
    </w:r>
    <w:r w:rsidR="0041439C">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1439C">
      <w:rPr>
        <w:lang w:val="en-US"/>
      </w:rPr>
      <w:t>P:\CHI\ITU-R\CONF-R\CMR15\100\133C.docx</w:t>
    </w:r>
    <w:r>
      <w:fldChar w:fldCharType="end"/>
    </w:r>
    <w:r w:rsidR="008E2494">
      <w:t xml:space="preserve"> (388981)</w:t>
    </w:r>
    <w:r w:rsidRPr="00DA0469">
      <w:rPr>
        <w:lang w:val="en-US"/>
      </w:rPr>
      <w:tab/>
    </w:r>
    <w:r>
      <w:fldChar w:fldCharType="begin"/>
    </w:r>
    <w:r>
      <w:instrText xml:space="preserve"> savedate \@ dd.MM.yy </w:instrText>
    </w:r>
    <w:r>
      <w:fldChar w:fldCharType="separate"/>
    </w:r>
    <w:r w:rsidR="0041439C">
      <w:t>29.10.15</w:t>
    </w:r>
    <w:r>
      <w:fldChar w:fldCharType="end"/>
    </w:r>
    <w:r w:rsidRPr="00DA0469">
      <w:rPr>
        <w:lang w:val="en-US"/>
      </w:rPr>
      <w:tab/>
    </w:r>
    <w:r>
      <w:fldChar w:fldCharType="begin"/>
    </w:r>
    <w:r>
      <w:instrText xml:space="preserve"> printdate \@ dd.MM.yy </w:instrText>
    </w:r>
    <w:r>
      <w:fldChar w:fldCharType="separate"/>
    </w:r>
    <w:r w:rsidR="0041439C">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0B30CC" w:rsidRDefault="000B30CC" w:rsidP="00DB4AB2">
      <w:pPr>
        <w:pStyle w:val="FootnoteText"/>
        <w:rPr>
          <w:lang w:eastAsia="zh-CN"/>
        </w:rPr>
      </w:pPr>
      <w:r>
        <w:rPr>
          <w:rStyle w:val="FootnoteReference"/>
        </w:rPr>
        <w:footnoteRef/>
      </w:r>
      <w:r w:rsidR="006E4A86">
        <w:rPr>
          <w:lang w:eastAsia="zh-CN"/>
        </w:rPr>
        <w:tab/>
      </w:r>
      <w:r>
        <w:rPr>
          <w:lang w:eastAsia="zh-CN"/>
        </w:rPr>
        <w:t>ITU-R M.2171</w:t>
      </w:r>
      <w:r w:rsidR="00DB4AB2">
        <w:rPr>
          <w:rFonts w:hint="eastAsia"/>
          <w:lang w:eastAsia="zh-CN"/>
        </w:rPr>
        <w:t>报告“</w:t>
      </w:r>
      <w:r w:rsidR="00DB4AB2">
        <w:rPr>
          <w:color w:val="000000"/>
          <w:lang w:eastAsia="zh-CN"/>
        </w:rPr>
        <w:t>无人机系统的特性以及支持其在非隔离领空安全操作的频谱需</w:t>
      </w:r>
      <w:r w:rsidR="00DB4AB2">
        <w:rPr>
          <w:rFonts w:ascii="SimSun" w:hAnsi="SimSun" w:cs="SimSun" w:hint="eastAsia"/>
          <w:color w:val="000000"/>
          <w:lang w:eastAsia="zh-CN"/>
        </w:rPr>
        <w:t>求</w:t>
      </w:r>
      <w:r w:rsidR="00DB4AB2">
        <w:rPr>
          <w:rFonts w:hint="eastAsia"/>
          <w:lang w:eastAsia="zh-CN"/>
        </w:rPr>
        <w:t>”。</w:t>
      </w:r>
    </w:p>
  </w:footnote>
  <w:footnote w:id="2">
    <w:p w:rsidR="00EC35E2" w:rsidRDefault="00EC35E2" w:rsidP="001F1315">
      <w:pPr>
        <w:pStyle w:val="FootnoteText"/>
        <w:rPr>
          <w:lang w:eastAsia="zh-CN"/>
        </w:rPr>
      </w:pPr>
      <w:r>
        <w:rPr>
          <w:rStyle w:val="FootnoteReference"/>
        </w:rPr>
        <w:footnoteRef/>
      </w:r>
      <w:r>
        <w:rPr>
          <w:lang w:eastAsia="zh-CN"/>
        </w:rPr>
        <w:tab/>
      </w:r>
      <w:r w:rsidR="001F1315" w:rsidRPr="001F1315">
        <w:rPr>
          <w:rFonts w:ascii="SimSun" w:hAnsi="SimSun" w:hint="eastAsia"/>
          <w:lang w:eastAsia="zh-CN"/>
        </w:rPr>
        <w:t>航空器地球站：用于卫星航空移动业务，设在航空器上的移动地球站。</w:t>
      </w:r>
    </w:p>
  </w:footnote>
  <w:footnote w:id="3">
    <w:p w:rsidR="00EC35E2" w:rsidRDefault="00EC35E2" w:rsidP="001F1315">
      <w:pPr>
        <w:pStyle w:val="FootnoteText"/>
        <w:rPr>
          <w:lang w:eastAsia="zh-CN"/>
        </w:rPr>
      </w:pPr>
      <w:r>
        <w:rPr>
          <w:rStyle w:val="FootnoteReference"/>
        </w:rPr>
        <w:footnoteRef/>
      </w:r>
      <w:r>
        <w:rPr>
          <w:lang w:eastAsia="zh-CN"/>
        </w:rPr>
        <w:tab/>
      </w:r>
      <w:r w:rsidR="001F1315" w:rsidRPr="001F1315">
        <w:rPr>
          <w:rFonts w:ascii="SimSun" w:hAnsi="SimSun" w:hint="eastAsia"/>
          <w:lang w:eastAsia="zh-CN"/>
        </w:rPr>
        <w:t>卫星固定业务：利用一个或多个卫星在处于给定位置的地球站之间的无线电通信业务；该给定位置可以是一个指定的固定地点或指定地区内的任何一个固定地点；在某些情况下，这种业务包括亦可运用于卫星间业务的卫星至卫星链路；卫星固定业务亦可包括其他空间无线电通信业务的馈线链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439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133-</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C6C3D"/>
    <w:multiLevelType w:val="hybridMultilevel"/>
    <w:tmpl w:val="DA76A36C"/>
    <w:lvl w:ilvl="0" w:tplc="E8105DF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30CC"/>
    <w:rsid w:val="000C09BA"/>
    <w:rsid w:val="000C1F1E"/>
    <w:rsid w:val="000C4BA1"/>
    <w:rsid w:val="000C6AA7"/>
    <w:rsid w:val="000E26F6"/>
    <w:rsid w:val="00123C07"/>
    <w:rsid w:val="00166859"/>
    <w:rsid w:val="001765EC"/>
    <w:rsid w:val="001853E8"/>
    <w:rsid w:val="001B6360"/>
    <w:rsid w:val="001D37AB"/>
    <w:rsid w:val="001F1315"/>
    <w:rsid w:val="001F4EA6"/>
    <w:rsid w:val="0020667D"/>
    <w:rsid w:val="00214959"/>
    <w:rsid w:val="002260A6"/>
    <w:rsid w:val="00267B66"/>
    <w:rsid w:val="002742B3"/>
    <w:rsid w:val="002A4C9C"/>
    <w:rsid w:val="002B4CA0"/>
    <w:rsid w:val="002B509B"/>
    <w:rsid w:val="002E2A59"/>
    <w:rsid w:val="002E4507"/>
    <w:rsid w:val="00305254"/>
    <w:rsid w:val="003169D2"/>
    <w:rsid w:val="003B4BEF"/>
    <w:rsid w:val="003C6B45"/>
    <w:rsid w:val="0041282E"/>
    <w:rsid w:val="0041439C"/>
    <w:rsid w:val="00437869"/>
    <w:rsid w:val="00465A34"/>
    <w:rsid w:val="004B764A"/>
    <w:rsid w:val="004C4554"/>
    <w:rsid w:val="004D2DEC"/>
    <w:rsid w:val="004E4E17"/>
    <w:rsid w:val="004F2BE6"/>
    <w:rsid w:val="00527E8A"/>
    <w:rsid w:val="00542E85"/>
    <w:rsid w:val="00562479"/>
    <w:rsid w:val="00576849"/>
    <w:rsid w:val="005A0ACB"/>
    <w:rsid w:val="005D4C41"/>
    <w:rsid w:val="005D5CDA"/>
    <w:rsid w:val="005E08D2"/>
    <w:rsid w:val="005E7FD8"/>
    <w:rsid w:val="00622560"/>
    <w:rsid w:val="00644391"/>
    <w:rsid w:val="00647712"/>
    <w:rsid w:val="00662E12"/>
    <w:rsid w:val="00691142"/>
    <w:rsid w:val="006A391D"/>
    <w:rsid w:val="006B67CE"/>
    <w:rsid w:val="006C38ED"/>
    <w:rsid w:val="006E49BB"/>
    <w:rsid w:val="006E4A86"/>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73E29"/>
    <w:rsid w:val="008A7416"/>
    <w:rsid w:val="008B6852"/>
    <w:rsid w:val="008C26FF"/>
    <w:rsid w:val="008D1D14"/>
    <w:rsid w:val="008E1785"/>
    <w:rsid w:val="008E2494"/>
    <w:rsid w:val="008E7127"/>
    <w:rsid w:val="008E7C8E"/>
    <w:rsid w:val="008F6FFB"/>
    <w:rsid w:val="00912959"/>
    <w:rsid w:val="009657F9"/>
    <w:rsid w:val="0099525B"/>
    <w:rsid w:val="009C72B7"/>
    <w:rsid w:val="00A0052C"/>
    <w:rsid w:val="00A31B14"/>
    <w:rsid w:val="00A323DC"/>
    <w:rsid w:val="00A44FF5"/>
    <w:rsid w:val="00A466E6"/>
    <w:rsid w:val="00A815BE"/>
    <w:rsid w:val="00AA5DA1"/>
    <w:rsid w:val="00AC0F4B"/>
    <w:rsid w:val="00AE369F"/>
    <w:rsid w:val="00B026CB"/>
    <w:rsid w:val="00B711CC"/>
    <w:rsid w:val="00B742A1"/>
    <w:rsid w:val="00B851D4"/>
    <w:rsid w:val="00B868FC"/>
    <w:rsid w:val="00B95072"/>
    <w:rsid w:val="00BA0637"/>
    <w:rsid w:val="00BA738C"/>
    <w:rsid w:val="00BB26CD"/>
    <w:rsid w:val="00C07239"/>
    <w:rsid w:val="00C205E2"/>
    <w:rsid w:val="00C364B1"/>
    <w:rsid w:val="00C47D87"/>
    <w:rsid w:val="00C627F9"/>
    <w:rsid w:val="00C6584D"/>
    <w:rsid w:val="00C929E0"/>
    <w:rsid w:val="00C95CC1"/>
    <w:rsid w:val="00CB4E5A"/>
    <w:rsid w:val="00CC73D7"/>
    <w:rsid w:val="00CF0AD7"/>
    <w:rsid w:val="00CF0BE1"/>
    <w:rsid w:val="00CF65B4"/>
    <w:rsid w:val="00D42F68"/>
    <w:rsid w:val="00D52A14"/>
    <w:rsid w:val="00D6206A"/>
    <w:rsid w:val="00D74599"/>
    <w:rsid w:val="00D820B3"/>
    <w:rsid w:val="00DA0469"/>
    <w:rsid w:val="00DB4AB2"/>
    <w:rsid w:val="00DD13B7"/>
    <w:rsid w:val="00DF3B0C"/>
    <w:rsid w:val="00E14984"/>
    <w:rsid w:val="00E22A25"/>
    <w:rsid w:val="00E560F1"/>
    <w:rsid w:val="00E92319"/>
    <w:rsid w:val="00EA127A"/>
    <w:rsid w:val="00EC35E2"/>
    <w:rsid w:val="00F5706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162B34-2019-4570-AAC8-F27CAD1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8F6FFB"/>
    <w:rPr>
      <w:rFonts w:ascii="Times New Roman" w:hAnsi="Times New Roman"/>
      <w:sz w:val="22"/>
      <w:lang w:val="en-GB" w:eastAsia="en-US"/>
    </w:rPr>
  </w:style>
  <w:style w:type="paragraph" w:customStyle="1" w:styleId="NormalFirstline2ch">
    <w:name w:val="Normal + First line:  2 ch"/>
    <w:basedOn w:val="Normal"/>
    <w:rsid w:val="00B742A1"/>
    <w:pPr>
      <w:ind w:firstLineChars="200" w:firstLine="480"/>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8A787-3C00-41B8-B3AB-BBC4CC091CC2}">
  <ds:schemaRef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 ds:uri="http://purl.org/dc/terms/"/>
    <ds:schemaRef ds:uri="http://schemas.microsoft.com/office/2006/metadata/properties"/>
    <ds:schemaRef ds:uri="http://purl.org/dc/elements/1.1/"/>
    <ds:schemaRef ds:uri="http://schemas.microsoft.com/office/2006/documentManagement/types"/>
    <ds:schemaRef ds:uri="996b2e75-67fd-4955-a3b0-5ab9934cb50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1307</Words>
  <Characters>1483</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R15-WRC15-C-0133!!MSW-C</vt:lpstr>
    </vt:vector>
  </TitlesOfParts>
  <Manager>General Secretariat - Pool</Manager>
  <Company>International Telecommunication Union (ITU)</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R15-WRC15-C-0133!!MSW-C</dc:title>
  <dc:subject>World Radiocommunication Conference - 2015</dc:subject>
  <dc:creator>Documents Proposals Manager (DPM)</dc:creator>
  <cp:keywords>DPM_v5.2015.10.230_prod</cp:keywords>
  <dc:description/>
  <cp:lastModifiedBy>Xu, Hui</cp:lastModifiedBy>
  <cp:revision>25</cp:revision>
  <cp:lastPrinted>2015-10-29T18:34:00Z</cp:lastPrinted>
  <dcterms:created xsi:type="dcterms:W3CDTF">2015-10-27T08:25:00Z</dcterms:created>
  <dcterms:modified xsi:type="dcterms:W3CDTF">2015-10-29T18:35:00Z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