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473EBD" w:rsidRDefault="00E165ED" w:rsidP="003E1608">
            <w:pPr>
              <w:pStyle w:val="Committee"/>
              <w:framePr w:hSpace="0" w:wrap="auto" w:hAnchor="text" w:yAlign="inline"/>
              <w:tabs>
                <w:tab w:val="clear" w:pos="2268"/>
                <w:tab w:val="left" w:pos="2448"/>
              </w:tabs>
              <w:bidi/>
              <w:rPr>
                <w:rFonts w:ascii="Verdana Bold" w:hAnsi="Verdana Bold" w:cs="Traditional Arabic"/>
                <w:bCs/>
                <w:sz w:val="19"/>
                <w:szCs w:val="30"/>
                <w:rtl/>
              </w:rPr>
            </w:pPr>
            <w:r w:rsidRPr="00473EBD">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473EBD" w:rsidRDefault="003E1608" w:rsidP="00473EBD">
            <w:pPr>
              <w:pStyle w:val="Adress"/>
              <w:framePr w:hSpace="0" w:wrap="auto" w:xAlign="left" w:yAlign="inline"/>
              <w:rPr>
                <w:rtl/>
              </w:rPr>
            </w:pPr>
            <w:r w:rsidRPr="00473EBD">
              <w:rPr>
                <w:rtl/>
              </w:rPr>
              <w:t xml:space="preserve">الوثيقة </w:t>
            </w:r>
            <w:r w:rsidRPr="00473EBD">
              <w:t>133-</w:t>
            </w:r>
            <w:r w:rsidR="00473EBD" w:rsidRPr="00473EBD">
              <w:t>A</w:t>
            </w:r>
          </w:p>
        </w:tc>
      </w:tr>
      <w:tr w:rsidR="00764079" w:rsidTr="003E1608">
        <w:trPr>
          <w:cantSplit/>
        </w:trPr>
        <w:tc>
          <w:tcPr>
            <w:tcW w:w="6619" w:type="dxa"/>
            <w:shd w:val="clear" w:color="auto" w:fill="auto"/>
          </w:tcPr>
          <w:p w:rsidR="00764079" w:rsidRPr="00473EBD" w:rsidRDefault="00764079" w:rsidP="00D44350">
            <w:pPr>
              <w:pStyle w:val="Adress"/>
              <w:framePr w:hSpace="0" w:wrap="auto" w:xAlign="left" w:yAlign="inline"/>
              <w:rPr>
                <w:rtl/>
              </w:rPr>
            </w:pPr>
          </w:p>
        </w:tc>
        <w:tc>
          <w:tcPr>
            <w:tcW w:w="3053" w:type="dxa"/>
            <w:shd w:val="clear" w:color="auto" w:fill="auto"/>
            <w:vAlign w:val="center"/>
          </w:tcPr>
          <w:p w:rsidR="00764079" w:rsidRPr="00473EBD" w:rsidRDefault="00764079" w:rsidP="00D44350">
            <w:pPr>
              <w:pStyle w:val="Adress"/>
              <w:framePr w:hSpace="0" w:wrap="auto" w:xAlign="left" w:yAlign="inline"/>
              <w:rPr>
                <w:rtl/>
              </w:rPr>
            </w:pPr>
            <w:r w:rsidRPr="00473EBD">
              <w:rPr>
                <w:rFonts w:eastAsia="SimSun"/>
              </w:rPr>
              <w:t>19</w:t>
            </w:r>
            <w:r w:rsidRPr="00473EBD">
              <w:rPr>
                <w:rFonts w:eastAsia="SimSun"/>
                <w:rtl/>
              </w:rPr>
              <w:t xml:space="preserve"> أكتوبر </w:t>
            </w:r>
            <w:r w:rsidRPr="00473EBD">
              <w:rPr>
                <w:rFonts w:eastAsia="SimSun"/>
              </w:rPr>
              <w:t>2015</w:t>
            </w:r>
          </w:p>
        </w:tc>
      </w:tr>
      <w:tr w:rsidR="00764079" w:rsidTr="003E1608">
        <w:trPr>
          <w:cantSplit/>
        </w:trPr>
        <w:tc>
          <w:tcPr>
            <w:tcW w:w="6619" w:type="dxa"/>
          </w:tcPr>
          <w:p w:rsidR="00764079" w:rsidRPr="00473EBD" w:rsidRDefault="00764079" w:rsidP="00D44350">
            <w:pPr>
              <w:pStyle w:val="Adress"/>
              <w:framePr w:hSpace="0" w:wrap="auto" w:xAlign="left" w:yAlign="inline"/>
              <w:rPr>
                <w:rFonts w:eastAsia="SimSun" w:hint="eastAsia"/>
                <w:rtl/>
              </w:rPr>
            </w:pPr>
          </w:p>
        </w:tc>
        <w:tc>
          <w:tcPr>
            <w:tcW w:w="3053" w:type="dxa"/>
            <w:vAlign w:val="center"/>
          </w:tcPr>
          <w:p w:rsidR="00764079" w:rsidRPr="00473EBD" w:rsidRDefault="00764079" w:rsidP="00D44350">
            <w:pPr>
              <w:pStyle w:val="Adress"/>
              <w:framePr w:hSpace="0" w:wrap="auto" w:xAlign="left" w:yAlign="inline"/>
              <w:rPr>
                <w:rFonts w:eastAsia="SimSun" w:hint="eastAsia"/>
              </w:rPr>
            </w:pPr>
            <w:r w:rsidRPr="00473EBD">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الاتحاد الروسي/النرويج/مملكة هولندا/</w:t>
            </w:r>
            <w:r w:rsidR="00473EBD">
              <w:rPr>
                <w:rtl/>
              </w:rPr>
              <w:br/>
            </w:r>
            <w:r w:rsidRPr="008204AC">
              <w:rPr>
                <w:rtl/>
              </w:rPr>
              <w:t>المملكة المتحدة لبريطانيا العظمى وأيرلندا الشمالية</w:t>
            </w:r>
          </w:p>
        </w:tc>
      </w:tr>
      <w:tr w:rsidR="00764079" w:rsidTr="003E1608">
        <w:trPr>
          <w:cantSplit/>
        </w:trPr>
        <w:tc>
          <w:tcPr>
            <w:tcW w:w="9672" w:type="dxa"/>
            <w:gridSpan w:val="2"/>
          </w:tcPr>
          <w:p w:rsidR="00764079" w:rsidRPr="00BD6EF3" w:rsidRDefault="00473EBD"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73EBD">
            <w:pPr>
              <w:pStyle w:val="Agendaitem"/>
              <w:spacing w:before="240" w:line="192" w:lineRule="auto"/>
            </w:pPr>
            <w:r w:rsidRPr="008204AC">
              <w:rPr>
                <w:rtl/>
              </w:rPr>
              <w:t xml:space="preserve">البنـد </w:t>
            </w:r>
            <w:r w:rsidR="00473EBD">
              <w:t>5.1</w:t>
            </w:r>
            <w:r w:rsidRPr="008204AC">
              <w:rPr>
                <w:rtl/>
              </w:rPr>
              <w:t xml:space="preserve"> من جدول الأعمال</w:t>
            </w:r>
          </w:p>
        </w:tc>
      </w:tr>
    </w:tbl>
    <w:p w:rsidR="001D597A" w:rsidRPr="00431196" w:rsidRDefault="00D06828" w:rsidP="00402919">
      <w:pPr>
        <w:pStyle w:val="Normalaftertitle"/>
        <w:rPr>
          <w:rFonts w:eastAsia="SimSun"/>
          <w:rtl/>
        </w:rPr>
      </w:pPr>
      <w:r w:rsidRPr="00431196">
        <w:rPr>
          <w:rFonts w:eastAsia="SimSun"/>
        </w:rPr>
        <w:t>5.1</w:t>
      </w:r>
      <w:r w:rsidRPr="00431196">
        <w:rPr>
          <w:rFonts w:eastAsia="SimSun" w:hint="cs"/>
          <w:rtl/>
        </w:rPr>
        <w:tab/>
        <w:t xml:space="preserve">النظر في استعمال نطاقات التردد الموزعة للخدمة الثابتة الساتلية التي لا تخضع للتذييلات </w:t>
      </w:r>
      <w:r w:rsidRPr="00431196">
        <w:rPr>
          <w:rFonts w:eastAsia="SimSun"/>
          <w:b/>
          <w:bCs/>
        </w:rPr>
        <w:t>30</w:t>
      </w:r>
      <w:r w:rsidRPr="00431196">
        <w:rPr>
          <w:rFonts w:eastAsia="SimSun" w:hint="cs"/>
          <w:rtl/>
        </w:rPr>
        <w:t xml:space="preserve"> و</w:t>
      </w:r>
      <w:r w:rsidRPr="00431196">
        <w:rPr>
          <w:rFonts w:eastAsia="SimSun"/>
          <w:b/>
          <w:bCs/>
        </w:rPr>
        <w:t>30A</w:t>
      </w:r>
      <w:r w:rsidRPr="00431196">
        <w:rPr>
          <w:rFonts w:eastAsia="SimSun" w:hint="cs"/>
          <w:rtl/>
        </w:rPr>
        <w:t xml:space="preserve"> و</w:t>
      </w:r>
      <w:r w:rsidRPr="00431196">
        <w:rPr>
          <w:rFonts w:eastAsia="SimSun"/>
          <w:b/>
          <w:bCs/>
        </w:rPr>
        <w:t>30B</w:t>
      </w:r>
      <w:r w:rsidRPr="00431196">
        <w:rPr>
          <w:rFonts w:eastAsia="SimSun" w:hint="cs"/>
          <w:rtl/>
        </w:rPr>
        <w:t xml:space="preserve"> من أجل اتصالات المراقبة والاتصالات خارج الحمولة النافعة لأنظمة الطائرات دون طيار في الفضاء الجوي غير المحجوز، وفقاً للقرار</w:t>
      </w:r>
      <w:r w:rsidRPr="00431196">
        <w:rPr>
          <w:rFonts w:eastAsia="SimSun" w:hint="eastAsia"/>
          <w:rtl/>
        </w:rPr>
        <w:t> </w:t>
      </w:r>
      <w:r w:rsidRPr="00431196">
        <w:rPr>
          <w:rFonts w:eastAsia="SimSun"/>
          <w:b/>
          <w:bCs/>
        </w:rPr>
        <w:t>153 (WRC</w:t>
      </w:r>
      <w:r w:rsidRPr="00431196">
        <w:rPr>
          <w:rFonts w:eastAsia="SimSun"/>
          <w:b/>
          <w:bCs/>
        </w:rPr>
        <w:noBreakHyphen/>
        <w:t>12)</w:t>
      </w:r>
      <w:r w:rsidRPr="00431196">
        <w:rPr>
          <w:rFonts w:eastAsia="SimSun" w:hint="cs"/>
          <w:rtl/>
        </w:rPr>
        <w:t>؛</w:t>
      </w:r>
    </w:p>
    <w:p w:rsidR="00F16602" w:rsidRDefault="00D962E7" w:rsidP="00D962E7">
      <w:pPr>
        <w:rPr>
          <w:rFonts w:eastAsia="SimSun"/>
          <w:rtl/>
        </w:rPr>
      </w:pPr>
      <w:r>
        <w:rPr>
          <w:rFonts w:eastAsia="SimSun" w:hint="cs"/>
          <w:rtl/>
          <w:lang w:bidi="ar-EG"/>
        </w:rPr>
        <w:t>ال</w:t>
      </w:r>
      <w:r w:rsidRPr="00431196">
        <w:rPr>
          <w:rFonts w:eastAsia="SimSun" w:hint="cs"/>
          <w:rtl/>
        </w:rPr>
        <w:t>قرار</w:t>
      </w:r>
      <w:r w:rsidRPr="00431196">
        <w:rPr>
          <w:rFonts w:eastAsia="SimSun" w:hint="eastAsia"/>
          <w:rtl/>
        </w:rPr>
        <w:t> </w:t>
      </w:r>
      <w:r w:rsidRPr="00431196">
        <w:rPr>
          <w:rFonts w:eastAsia="SimSun"/>
          <w:b/>
          <w:bCs/>
        </w:rPr>
        <w:t>153 (WRC</w:t>
      </w:r>
      <w:r w:rsidRPr="00431196">
        <w:rPr>
          <w:rFonts w:eastAsia="SimSun"/>
          <w:b/>
          <w:bCs/>
        </w:rPr>
        <w:noBreakHyphen/>
        <w:t>12)</w:t>
      </w:r>
      <w:r>
        <w:rPr>
          <w:rFonts w:eastAsia="SimSun" w:hint="cs"/>
          <w:b/>
          <w:bCs/>
          <w:rtl/>
        </w:rPr>
        <w:t>:</w:t>
      </w:r>
      <w:r w:rsidRPr="00D962E7">
        <w:rPr>
          <w:rFonts w:eastAsia="SimSun" w:hint="cs"/>
          <w:rtl/>
        </w:rPr>
        <w:t xml:space="preserve"> </w:t>
      </w:r>
      <w:r w:rsidRPr="00D962E7">
        <w:rPr>
          <w:rFonts w:eastAsia="SimSun"/>
          <w:rtl/>
        </w:rPr>
        <w:t xml:space="preserve">استعمال نطاقات التردد الموزعة للخدمة الثابتة الساتلية التي لا تخضع للتذييلات </w:t>
      </w:r>
      <w:r>
        <w:rPr>
          <w:rFonts w:eastAsia="SimSun"/>
        </w:rPr>
        <w:t>30</w:t>
      </w:r>
      <w:r w:rsidRPr="00D962E7">
        <w:rPr>
          <w:rFonts w:eastAsia="SimSun"/>
          <w:rtl/>
        </w:rPr>
        <w:t xml:space="preserve"> و</w:t>
      </w:r>
      <w:r>
        <w:rPr>
          <w:rFonts w:eastAsia="SimSun"/>
        </w:rPr>
        <w:t>30</w:t>
      </w:r>
      <w:r w:rsidRPr="00D962E7">
        <w:rPr>
          <w:rFonts w:eastAsia="SimSun"/>
        </w:rPr>
        <w:t>A</w:t>
      </w:r>
      <w:r>
        <w:rPr>
          <w:rFonts w:eastAsia="SimSun"/>
        </w:rPr>
        <w:t> </w:t>
      </w:r>
      <w:r>
        <w:rPr>
          <w:rFonts w:eastAsia="SimSun" w:hint="cs"/>
          <w:rtl/>
          <w:lang w:bidi="ar-EG"/>
        </w:rPr>
        <w:t xml:space="preserve"> </w:t>
      </w:r>
      <w:r w:rsidRPr="00D962E7">
        <w:rPr>
          <w:rFonts w:eastAsia="SimSun"/>
          <w:rtl/>
        </w:rPr>
        <w:t>و</w:t>
      </w:r>
      <w:r>
        <w:rPr>
          <w:rFonts w:eastAsia="SimSun"/>
        </w:rPr>
        <w:t>30</w:t>
      </w:r>
      <w:r w:rsidRPr="00D962E7">
        <w:rPr>
          <w:rFonts w:eastAsia="SimSun"/>
        </w:rPr>
        <w:t>B</w:t>
      </w:r>
      <w:r>
        <w:rPr>
          <w:rFonts w:eastAsia="SimSun"/>
        </w:rPr>
        <w:t> </w:t>
      </w:r>
      <w:r>
        <w:rPr>
          <w:rFonts w:eastAsia="SimSun" w:hint="cs"/>
          <w:rtl/>
          <w:lang w:bidi="ar-EG"/>
        </w:rPr>
        <w:t xml:space="preserve"> </w:t>
      </w:r>
      <w:r w:rsidRPr="00D962E7">
        <w:rPr>
          <w:rFonts w:eastAsia="SimSun"/>
          <w:rtl/>
        </w:rPr>
        <w:t>من</w:t>
      </w:r>
      <w:r>
        <w:rPr>
          <w:rFonts w:eastAsia="SimSun" w:hint="cs"/>
          <w:rtl/>
        </w:rPr>
        <w:t> </w:t>
      </w:r>
      <w:r w:rsidRPr="00D962E7">
        <w:rPr>
          <w:rFonts w:eastAsia="SimSun"/>
          <w:rtl/>
        </w:rPr>
        <w:t>أجل اتصالات المراقبة والاتصالات خارج الحمولة النافعة لأنظمة الطائرات دون طيار في الفضاء الجوي غير المحجوز</w:t>
      </w:r>
      <w:r>
        <w:rPr>
          <w:rFonts w:eastAsia="SimSun" w:hint="cs"/>
          <w:rtl/>
        </w:rPr>
        <w:t>.</w:t>
      </w:r>
    </w:p>
    <w:p w:rsidR="00D962E7" w:rsidRDefault="00D962E7" w:rsidP="00D962E7">
      <w:pPr>
        <w:pStyle w:val="Headingb"/>
        <w:rPr>
          <w:rFonts w:eastAsia="SimSun"/>
          <w:rtl/>
        </w:rPr>
      </w:pPr>
      <w:r>
        <w:rPr>
          <w:rFonts w:eastAsia="SimSun" w:hint="cs"/>
          <w:rtl/>
        </w:rPr>
        <w:t>مقدمة</w:t>
      </w:r>
    </w:p>
    <w:p w:rsidR="00BE402A" w:rsidRDefault="004E700B" w:rsidP="00734FE6">
      <w:pPr>
        <w:rPr>
          <w:rtl/>
          <w:lang w:bidi="ar-EG"/>
        </w:rPr>
      </w:pPr>
      <w:r>
        <w:rPr>
          <w:rFonts w:hint="cs"/>
          <w:rtl/>
          <w:lang w:bidi="ar-EG"/>
        </w:rPr>
        <w:t xml:space="preserve">الطائرة بدون طيار، التي يشار إليها عادةً باسم الطائرة الموجهة عن بُعد، هي طائرة قادرة على الطيران بتحكم عن بُعد عن طريق وصلة اتصالات يقوم به طيار يكون على الأرض أو في مركبة أخرى. وتتفاوت تطبيقات هذه التكنولوجيا كثيراً </w:t>
      </w:r>
      <w:r w:rsidR="00F4674A">
        <w:rPr>
          <w:rFonts w:hint="cs"/>
          <w:rtl/>
          <w:lang w:bidi="ar-EG"/>
        </w:rPr>
        <w:t>بين</w:t>
      </w:r>
      <w:r>
        <w:rPr>
          <w:rFonts w:hint="cs"/>
          <w:rtl/>
          <w:lang w:bidi="ar-EG"/>
        </w:rPr>
        <w:t xml:space="preserve"> الأدوار التقليدية للطيران، كالنقل </w:t>
      </w:r>
      <w:r w:rsidR="00F4674A">
        <w:rPr>
          <w:rFonts w:hint="cs"/>
          <w:rtl/>
          <w:lang w:bidi="ar-EG"/>
        </w:rPr>
        <w:t>الجوي والمسح ورشّ المحاصيل، و</w:t>
      </w:r>
      <w:r>
        <w:rPr>
          <w:rFonts w:hint="cs"/>
          <w:rtl/>
          <w:lang w:bidi="ar-EG"/>
        </w:rPr>
        <w:t>تطبيقات جديدة مثل توزيع الطرود. ولعل أعظم تطبيق لها يتمثل في</w:t>
      </w:r>
      <w:r w:rsidR="00734FE6">
        <w:rPr>
          <w:rFonts w:hint="eastAsia"/>
          <w:rtl/>
          <w:lang w:bidi="ar-EG"/>
        </w:rPr>
        <w:t> </w:t>
      </w:r>
      <w:r>
        <w:rPr>
          <w:rFonts w:hint="cs"/>
          <w:rtl/>
          <w:lang w:bidi="ar-EG"/>
        </w:rPr>
        <w:t>الإغاثة في</w:t>
      </w:r>
      <w:r>
        <w:rPr>
          <w:rFonts w:hint="eastAsia"/>
          <w:rtl/>
          <w:lang w:bidi="ar-EG"/>
        </w:rPr>
        <w:t> </w:t>
      </w:r>
      <w:r>
        <w:rPr>
          <w:rFonts w:hint="cs"/>
          <w:rtl/>
          <w:lang w:bidi="ar-EG"/>
        </w:rPr>
        <w:t>حالات الكوارث ومواجهة حالات الطوارئ في مناطق قد ينطوي فيها نشر طائرة يقودها طيار على مخاطر كبيرة (مثل النشاط البركاني وحرائق الغابات وما إلى ذلك).</w:t>
      </w:r>
    </w:p>
    <w:p w:rsidR="00BE402A" w:rsidRDefault="004E700B" w:rsidP="00F4674A">
      <w:pPr>
        <w:rPr>
          <w:rtl/>
          <w:lang w:bidi="ar-EG"/>
        </w:rPr>
      </w:pPr>
      <w:r>
        <w:rPr>
          <w:rFonts w:hint="cs"/>
          <w:rtl/>
        </w:rPr>
        <w:t xml:space="preserve">وحتى اليوم، اقتصرت عمليات الطائرات بدون طيار على الفضاء الجوي المعزول، لأنه لم يكن من الممكن توضيح التكافؤ مع الطائرات التي يقودها طيار. ولتحقيق هذا الهدف، هناك عدد من التحديات التي يتحتّم على الطيران أن </w:t>
      </w:r>
      <w:proofErr w:type="spellStart"/>
      <w:r>
        <w:rPr>
          <w:rFonts w:hint="cs"/>
          <w:rtl/>
        </w:rPr>
        <w:t>يواجهها</w:t>
      </w:r>
      <w:proofErr w:type="spellEnd"/>
      <w:r>
        <w:rPr>
          <w:rFonts w:hint="cs"/>
          <w:rtl/>
        </w:rPr>
        <w:t>، بم</w:t>
      </w:r>
      <w:r w:rsidRPr="00734FE6">
        <w:rPr>
          <w:rFonts w:hint="cs"/>
          <w:rtl/>
        </w:rPr>
        <w:t>ا</w:t>
      </w:r>
      <w:r>
        <w:rPr>
          <w:rFonts w:hint="cs"/>
          <w:rtl/>
        </w:rPr>
        <w:t xml:space="preserve"> في ذلك تحديد وصلات اتصالات المراقبة والاتصالات خارج الحمولة النافعة </w:t>
      </w:r>
      <w:r>
        <w:t>(CPNC)</w:t>
      </w:r>
      <w:r>
        <w:rPr>
          <w:rFonts w:hint="cs"/>
          <w:rtl/>
          <w:lang w:bidi="ar-EG"/>
        </w:rPr>
        <w:t xml:space="preserve"> وتوفيرها، </w:t>
      </w:r>
      <w:r w:rsidR="00F4674A">
        <w:rPr>
          <w:rFonts w:hint="cs"/>
          <w:rtl/>
          <w:lang w:bidi="ar-EG"/>
        </w:rPr>
        <w:t>ومنها</w:t>
      </w:r>
      <w:r>
        <w:rPr>
          <w:rFonts w:hint="cs"/>
          <w:rtl/>
          <w:lang w:bidi="ar-EG"/>
        </w:rPr>
        <w:t xml:space="preserve"> توفير الطيف.</w:t>
      </w:r>
    </w:p>
    <w:p w:rsidR="00BE402A" w:rsidRDefault="004E700B" w:rsidP="00F4674A">
      <w:pPr>
        <w:rPr>
          <w:color w:val="000000"/>
          <w:rtl/>
          <w:lang w:bidi="ar-EG"/>
        </w:rPr>
      </w:pPr>
      <w:r>
        <w:rPr>
          <w:rFonts w:hint="cs"/>
          <w:rtl/>
        </w:rPr>
        <w:lastRenderedPageBreak/>
        <w:t xml:space="preserve">وقد أجرى سابقاً المؤتمر العالمي للاتصالات الراديوية لعام </w:t>
      </w:r>
      <w:r>
        <w:t>2012</w:t>
      </w:r>
      <w:r>
        <w:rPr>
          <w:rFonts w:hint="cs"/>
          <w:rtl/>
          <w:lang w:bidi="ar-EG"/>
        </w:rPr>
        <w:t>، مستن</w:t>
      </w:r>
      <w:r w:rsidR="00F4674A">
        <w:rPr>
          <w:rFonts w:hint="cs"/>
          <w:rtl/>
          <w:lang w:bidi="ar-EG"/>
        </w:rPr>
        <w:t>ِ</w:t>
      </w:r>
      <w:r>
        <w:rPr>
          <w:rFonts w:hint="cs"/>
          <w:rtl/>
          <w:lang w:bidi="ar-EG"/>
        </w:rPr>
        <w:t>داً إلى</w:t>
      </w:r>
      <w:r>
        <w:rPr>
          <w:rFonts w:hint="cs"/>
          <w:rtl/>
        </w:rPr>
        <w:t xml:space="preserve"> </w:t>
      </w:r>
      <w:r w:rsidR="00BE402A">
        <w:rPr>
          <w:color w:val="000000"/>
          <w:rtl/>
        </w:rPr>
        <w:t>التقرير</w:t>
      </w:r>
      <w:r w:rsidR="00BE402A">
        <w:rPr>
          <w:rFonts w:hint="cs"/>
          <w:color w:val="000000"/>
          <w:rtl/>
        </w:rPr>
        <w:t> </w:t>
      </w:r>
      <w:r w:rsidR="00E44CAD">
        <w:rPr>
          <w:rStyle w:val="FootnoteReference"/>
          <w:color w:val="000000"/>
        </w:rPr>
        <w:footnoteReference w:id="1"/>
      </w:r>
      <w:r w:rsidR="00BE402A">
        <w:rPr>
          <w:color w:val="000000"/>
        </w:rPr>
        <w:t>ITU-R M.2171</w:t>
      </w:r>
      <w:r>
        <w:rPr>
          <w:rFonts w:hint="cs"/>
          <w:color w:val="000000"/>
          <w:rtl/>
        </w:rPr>
        <w:t>، عدداً من التغييرات في</w:t>
      </w:r>
      <w:r>
        <w:rPr>
          <w:rFonts w:hint="eastAsia"/>
          <w:color w:val="000000"/>
          <w:rtl/>
        </w:rPr>
        <w:t> </w:t>
      </w:r>
      <w:r>
        <w:rPr>
          <w:rFonts w:hint="cs"/>
          <w:color w:val="000000"/>
          <w:rtl/>
        </w:rPr>
        <w:t xml:space="preserve">لوائح الراديو في نطاق التردد </w:t>
      </w:r>
      <w:r>
        <w:rPr>
          <w:color w:val="000000"/>
        </w:rPr>
        <w:t>MHz 5 150</w:t>
      </w:r>
      <w:r>
        <w:rPr>
          <w:color w:val="000000"/>
        </w:rPr>
        <w:noBreakHyphen/>
        <w:t>5 000</w:t>
      </w:r>
      <w:r>
        <w:rPr>
          <w:rFonts w:hint="cs"/>
          <w:color w:val="000000"/>
          <w:rtl/>
          <w:lang w:bidi="ar-EG"/>
        </w:rPr>
        <w:t xml:space="preserve"> لتسهيل الاتصالات الأرضية والفضائية للطائرات بدون طيار. وخلال </w:t>
      </w:r>
      <w:r w:rsidR="00E44CAD">
        <w:rPr>
          <w:rFonts w:hint="cs"/>
          <w:color w:val="000000"/>
          <w:rtl/>
          <w:lang w:bidi="ar-EG"/>
        </w:rPr>
        <w:t xml:space="preserve">ذلك المؤتمر، نوقشت إمكانية استعمال نطاقات التردد الموزعة للخدمة الثابتة الساتلية والتي لا تخضع للتذييلات </w:t>
      </w:r>
      <w:r w:rsidR="00E44CAD">
        <w:rPr>
          <w:color w:val="000000"/>
          <w:lang w:bidi="ar-EG"/>
        </w:rPr>
        <w:t>30</w:t>
      </w:r>
      <w:r w:rsidR="00E44CAD">
        <w:rPr>
          <w:rFonts w:hint="cs"/>
          <w:color w:val="000000"/>
          <w:rtl/>
          <w:lang w:bidi="ar-EG"/>
        </w:rPr>
        <w:t xml:space="preserve"> و</w:t>
      </w:r>
      <w:r w:rsidR="00E44CAD">
        <w:rPr>
          <w:color w:val="000000"/>
          <w:lang w:bidi="ar-EG"/>
        </w:rPr>
        <w:t>30A</w:t>
      </w:r>
      <w:r w:rsidR="00E44CAD">
        <w:rPr>
          <w:rFonts w:hint="cs"/>
          <w:color w:val="000000"/>
          <w:rtl/>
          <w:lang w:bidi="ar-EG"/>
        </w:rPr>
        <w:t xml:space="preserve"> و</w:t>
      </w:r>
      <w:r w:rsidR="00E44CAD">
        <w:rPr>
          <w:color w:val="000000"/>
          <w:lang w:bidi="ar-EG"/>
        </w:rPr>
        <w:t>30B</w:t>
      </w:r>
      <w:r w:rsidR="00E44CAD">
        <w:rPr>
          <w:rFonts w:hint="cs"/>
          <w:color w:val="000000"/>
          <w:rtl/>
          <w:lang w:bidi="ar-EG"/>
        </w:rPr>
        <w:t xml:space="preserve">. ومع ذلك، </w:t>
      </w:r>
      <w:r w:rsidR="00F4674A">
        <w:rPr>
          <w:rFonts w:hint="cs"/>
          <w:color w:val="000000"/>
          <w:rtl/>
          <w:lang w:bidi="ar-EG"/>
        </w:rPr>
        <w:t>تم الاعتراف</w:t>
      </w:r>
      <w:r w:rsidR="00E44CAD">
        <w:rPr>
          <w:rFonts w:hint="cs"/>
          <w:color w:val="000000"/>
          <w:rtl/>
          <w:lang w:bidi="ar-EG"/>
        </w:rPr>
        <w:t xml:space="preserve"> بأن</w:t>
      </w:r>
      <w:r w:rsidR="00F4674A">
        <w:rPr>
          <w:rFonts w:hint="cs"/>
          <w:color w:val="000000"/>
          <w:rtl/>
          <w:lang w:bidi="ar-EG"/>
        </w:rPr>
        <w:t>ه رغم عدم تمكن</w:t>
      </w:r>
      <w:r w:rsidR="00F4674A" w:rsidRPr="00F4674A">
        <w:rPr>
          <w:rFonts w:hint="cs"/>
          <w:color w:val="000000"/>
          <w:rtl/>
          <w:lang w:bidi="ar-EG"/>
        </w:rPr>
        <w:t xml:space="preserve"> </w:t>
      </w:r>
      <w:r w:rsidR="00F4674A">
        <w:rPr>
          <w:rFonts w:hint="cs"/>
          <w:color w:val="000000"/>
          <w:rtl/>
          <w:lang w:bidi="ar-EG"/>
        </w:rPr>
        <w:t>نطاقات التردد من توفير سعة إضافية مفيدة</w:t>
      </w:r>
      <w:r w:rsidR="00E44CAD">
        <w:rPr>
          <w:rFonts w:hint="cs"/>
          <w:color w:val="000000"/>
          <w:rtl/>
          <w:lang w:bidi="ar-EG"/>
        </w:rPr>
        <w:t xml:space="preserve"> </w:t>
      </w:r>
      <w:r w:rsidR="00F4674A">
        <w:rPr>
          <w:rFonts w:hint="cs"/>
          <w:color w:val="000000"/>
          <w:rtl/>
          <w:lang w:bidi="ar-EG"/>
        </w:rPr>
        <w:t xml:space="preserve">فإن </w:t>
      </w:r>
      <w:r w:rsidR="00E44CAD">
        <w:rPr>
          <w:rFonts w:hint="cs"/>
          <w:color w:val="000000"/>
          <w:rtl/>
          <w:lang w:bidi="ar-EG"/>
        </w:rPr>
        <w:t xml:space="preserve">الأحكام التنظيمية الحالية لم تكن متوافقة مع توفير خدمة السلامة للطيران. ونتيجة لذلك، وضع هذا البند </w:t>
      </w:r>
      <w:r w:rsidR="00F4674A">
        <w:rPr>
          <w:rFonts w:hint="cs"/>
          <w:color w:val="000000"/>
          <w:rtl/>
          <w:lang w:bidi="ar-EG"/>
        </w:rPr>
        <w:t xml:space="preserve">من </w:t>
      </w:r>
      <w:r w:rsidR="00E44CAD">
        <w:rPr>
          <w:rFonts w:hint="cs"/>
          <w:color w:val="000000"/>
          <w:rtl/>
          <w:lang w:bidi="ar-EG"/>
        </w:rPr>
        <w:t>جدول الأعمال لتحديد الأحكام التنظيمية الإضافية التي قد تكون ضرو</w:t>
      </w:r>
      <w:r w:rsidR="00F4674A">
        <w:rPr>
          <w:rFonts w:hint="cs"/>
          <w:color w:val="000000"/>
          <w:rtl/>
          <w:lang w:bidi="ar-EG"/>
        </w:rPr>
        <w:t>رية للسماح باستعمال</w:t>
      </w:r>
      <w:r w:rsidR="00E44CAD">
        <w:rPr>
          <w:rFonts w:hint="cs"/>
          <w:color w:val="000000"/>
          <w:rtl/>
          <w:lang w:bidi="ar-EG"/>
        </w:rPr>
        <w:t xml:space="preserve"> خدمة السلامة للطيران</w:t>
      </w:r>
      <w:r w:rsidR="00F4674A">
        <w:rPr>
          <w:rFonts w:hint="cs"/>
          <w:color w:val="000000"/>
          <w:rtl/>
          <w:lang w:bidi="ar-EG"/>
        </w:rPr>
        <w:t xml:space="preserve"> لهذه النطاقات</w:t>
      </w:r>
      <w:r w:rsidR="00E44CAD">
        <w:rPr>
          <w:rFonts w:hint="cs"/>
          <w:color w:val="000000"/>
          <w:rtl/>
          <w:lang w:bidi="ar-EG"/>
        </w:rPr>
        <w:t xml:space="preserve"> والجدوى من هذه الأحكام.</w:t>
      </w:r>
    </w:p>
    <w:p w:rsidR="00E44CAD" w:rsidRDefault="00E44CAD" w:rsidP="00734FE6">
      <w:pPr>
        <w:rPr>
          <w:color w:val="000000"/>
          <w:rtl/>
          <w:lang w:bidi="ar-EG"/>
        </w:rPr>
      </w:pPr>
      <w:r>
        <w:rPr>
          <w:rFonts w:hint="cs"/>
          <w:color w:val="000000"/>
          <w:rtl/>
          <w:lang w:bidi="ar-EG"/>
        </w:rPr>
        <w:t xml:space="preserve">وفي </w:t>
      </w:r>
      <w:r w:rsidR="00F4674A">
        <w:rPr>
          <w:rFonts w:hint="cs"/>
          <w:color w:val="000000"/>
          <w:rtl/>
          <w:lang w:bidi="ar-EG"/>
        </w:rPr>
        <w:t>ظل عدم وجود</w:t>
      </w:r>
      <w:r>
        <w:rPr>
          <w:rFonts w:hint="cs"/>
          <w:color w:val="000000"/>
          <w:rtl/>
          <w:lang w:bidi="ar-EG"/>
        </w:rPr>
        <w:t xml:space="preserve"> متطلبات تقنية واضحة من منظمة الطيران المدني الدولي </w:t>
      </w:r>
      <w:r>
        <w:rPr>
          <w:color w:val="000000"/>
          <w:lang w:bidi="ar-EG"/>
        </w:rPr>
        <w:t>(ICAO)</w:t>
      </w:r>
      <w:r>
        <w:rPr>
          <w:rFonts w:hint="cs"/>
          <w:color w:val="000000"/>
          <w:rtl/>
          <w:lang w:bidi="ar-EG"/>
        </w:rPr>
        <w:t xml:space="preserve"> أو أحكام تلبي متطلبات المنظمة </w:t>
      </w:r>
      <w:r>
        <w:rPr>
          <w:color w:val="000000"/>
          <w:lang w:bidi="ar-EG"/>
        </w:rPr>
        <w:t>ICAO</w:t>
      </w:r>
      <w:r>
        <w:rPr>
          <w:rFonts w:hint="cs"/>
          <w:color w:val="000000"/>
          <w:rtl/>
          <w:lang w:bidi="ar-EG"/>
        </w:rPr>
        <w:t xml:space="preserve">، تركزت الدراسات في الاتحاد الدولي للاتصالات على تحديد </w:t>
      </w:r>
      <w:r w:rsidR="00F4674A">
        <w:rPr>
          <w:rFonts w:hint="cs"/>
          <w:color w:val="000000"/>
          <w:rtl/>
          <w:lang w:bidi="ar-EG"/>
        </w:rPr>
        <w:t>ال</w:t>
      </w:r>
      <w:r>
        <w:rPr>
          <w:rFonts w:hint="cs"/>
          <w:color w:val="000000"/>
          <w:rtl/>
          <w:lang w:bidi="ar-EG"/>
        </w:rPr>
        <w:t>قدرات</w:t>
      </w:r>
      <w:r w:rsidR="00F4674A">
        <w:rPr>
          <w:rFonts w:hint="cs"/>
          <w:color w:val="000000"/>
          <w:rtl/>
          <w:lang w:bidi="ar-EG"/>
        </w:rPr>
        <w:t xml:space="preserve"> النظرية لأداء </w:t>
      </w:r>
      <w:r>
        <w:rPr>
          <w:rFonts w:hint="cs"/>
          <w:color w:val="000000"/>
          <w:rtl/>
          <w:lang w:bidi="ar-EG"/>
        </w:rPr>
        <w:t xml:space="preserve">وصلات الاتصالات الحالية لسواتل الخدمة الثابتة والأحكام التنظيمية اللازمة لحماية الخدمات القائمة الأخرى. بالإضافة إلى ذلك </w:t>
      </w:r>
      <w:r w:rsidR="00F4674A">
        <w:rPr>
          <w:rFonts w:hint="cs"/>
          <w:color w:val="000000"/>
          <w:rtl/>
          <w:lang w:bidi="ar-EG"/>
        </w:rPr>
        <w:t>بينت</w:t>
      </w:r>
      <w:r>
        <w:rPr>
          <w:rFonts w:hint="cs"/>
          <w:color w:val="000000"/>
          <w:rtl/>
          <w:lang w:bidi="ar-EG"/>
        </w:rPr>
        <w:t xml:space="preserve"> هذه الدراسات </w:t>
      </w:r>
      <w:r w:rsidR="00F4674A">
        <w:rPr>
          <w:rFonts w:hint="cs"/>
          <w:color w:val="000000"/>
          <w:rtl/>
          <w:lang w:bidi="ar-EG"/>
        </w:rPr>
        <w:t>وجود تضارب</w:t>
      </w:r>
      <w:r>
        <w:rPr>
          <w:rFonts w:hint="cs"/>
          <w:color w:val="000000"/>
          <w:rtl/>
          <w:lang w:bidi="ar-EG"/>
        </w:rPr>
        <w:t xml:space="preserve"> بين الاستعمال التشغيلي المقترح وتعريفي المحطة الأرضية في الطائرة</w:t>
      </w:r>
      <w:r>
        <w:rPr>
          <w:rStyle w:val="FootnoteReference"/>
          <w:color w:val="000000"/>
          <w:rtl/>
          <w:lang w:bidi="ar-EG"/>
        </w:rPr>
        <w:footnoteReference w:id="2"/>
      </w:r>
      <w:r>
        <w:rPr>
          <w:rFonts w:hint="cs"/>
          <w:color w:val="000000"/>
          <w:rtl/>
          <w:lang w:bidi="ar-EG"/>
        </w:rPr>
        <w:t xml:space="preserve"> والخدمة الثابتة الساتلية</w:t>
      </w:r>
      <w:r>
        <w:rPr>
          <w:rStyle w:val="FootnoteReference"/>
          <w:color w:val="000000"/>
          <w:rtl/>
          <w:lang w:bidi="ar-EG"/>
        </w:rPr>
        <w:footnoteReference w:id="3"/>
      </w:r>
      <w:r w:rsidR="00F4674A">
        <w:rPr>
          <w:rFonts w:hint="cs"/>
          <w:color w:val="000000"/>
          <w:rtl/>
          <w:lang w:bidi="ar-EG"/>
        </w:rPr>
        <w:t>،</w:t>
      </w:r>
      <w:r>
        <w:rPr>
          <w:rFonts w:hint="cs"/>
          <w:color w:val="000000"/>
          <w:rtl/>
          <w:lang w:bidi="ar-EG"/>
        </w:rPr>
        <w:t xml:space="preserve"> اللذين لم يتم التوصل إلى حل بشأنهما. </w:t>
      </w:r>
      <w:r w:rsidR="000A0FC7">
        <w:rPr>
          <w:rFonts w:hint="cs"/>
          <w:color w:val="000000"/>
          <w:rtl/>
          <w:lang w:bidi="ar-EG"/>
        </w:rPr>
        <w:t>وقد يؤدي عدم حل هذا التضارب إ</w:t>
      </w:r>
      <w:r>
        <w:rPr>
          <w:rFonts w:hint="cs"/>
          <w:color w:val="000000"/>
          <w:rtl/>
          <w:lang w:bidi="ar-EG"/>
        </w:rPr>
        <w:t xml:space="preserve">لى عدم قدرة الوصلات </w:t>
      </w:r>
      <w:r>
        <w:rPr>
          <w:color w:val="000000"/>
          <w:lang w:bidi="ar-EG"/>
        </w:rPr>
        <w:t>CPNC</w:t>
      </w:r>
      <w:r>
        <w:rPr>
          <w:rFonts w:hint="cs"/>
          <w:color w:val="000000"/>
          <w:rtl/>
          <w:lang w:bidi="ar-EG"/>
        </w:rPr>
        <w:t xml:space="preserve"> في فضاء غير معزول على الع</w:t>
      </w:r>
      <w:r w:rsidR="000A0FC7">
        <w:rPr>
          <w:rFonts w:hint="cs"/>
          <w:color w:val="000000"/>
          <w:rtl/>
          <w:lang w:bidi="ar-EG"/>
        </w:rPr>
        <w:t>م</w:t>
      </w:r>
      <w:r>
        <w:rPr>
          <w:rFonts w:hint="cs"/>
          <w:color w:val="000000"/>
          <w:rtl/>
          <w:lang w:bidi="ar-EG"/>
        </w:rPr>
        <w:t>ل في بيئة تنظيمية متسقة مع خدمة</w:t>
      </w:r>
      <w:r w:rsidR="00734FE6">
        <w:rPr>
          <w:rFonts w:hint="eastAsia"/>
          <w:color w:val="000000"/>
          <w:rtl/>
          <w:lang w:bidi="ar-EG"/>
        </w:rPr>
        <w:t> </w:t>
      </w:r>
      <w:r>
        <w:rPr>
          <w:rFonts w:hint="cs"/>
          <w:color w:val="000000"/>
          <w:rtl/>
          <w:lang w:bidi="ar-EG"/>
        </w:rPr>
        <w:t>السلامة.</w:t>
      </w:r>
    </w:p>
    <w:p w:rsidR="00E44CAD" w:rsidRDefault="00E44CAD" w:rsidP="00F4674A">
      <w:pPr>
        <w:rPr>
          <w:color w:val="000000"/>
          <w:rtl/>
          <w:lang w:bidi="ar-EG"/>
        </w:rPr>
      </w:pPr>
      <w:r>
        <w:rPr>
          <w:rFonts w:hint="cs"/>
          <w:color w:val="000000"/>
          <w:rtl/>
          <w:lang w:bidi="ar-EG"/>
        </w:rPr>
        <w:t xml:space="preserve">ومع ذلك، لم </w:t>
      </w:r>
      <w:r w:rsidR="00F4674A">
        <w:rPr>
          <w:rFonts w:hint="cs"/>
          <w:color w:val="000000"/>
          <w:rtl/>
          <w:lang w:bidi="ar-EG"/>
        </w:rPr>
        <w:t>يبرز في</w:t>
      </w:r>
      <w:r>
        <w:rPr>
          <w:rFonts w:hint="cs"/>
          <w:color w:val="000000"/>
          <w:rtl/>
          <w:lang w:bidi="ar-EG"/>
        </w:rPr>
        <w:t xml:space="preserve"> هذه الدراسات أيّ أسلوب لحل هذا التضارب من شأنه أن يحول دون إمكانية زعزعة عملية تنسيق الترددات لشبكات الخدمة</w:t>
      </w:r>
      <w:r w:rsidR="00E3539E">
        <w:rPr>
          <w:rFonts w:hint="cs"/>
          <w:color w:val="000000"/>
          <w:rtl/>
          <w:lang w:bidi="ar-EG"/>
        </w:rPr>
        <w:t xml:space="preserve"> الثابتة الساتلية.</w:t>
      </w:r>
    </w:p>
    <w:p w:rsidR="00E44CAD" w:rsidRDefault="00BE7497" w:rsidP="00E44CAD">
      <w:pPr>
        <w:rPr>
          <w:color w:val="000000"/>
          <w:rtl/>
          <w:lang w:bidi="ar-EG"/>
        </w:rPr>
      </w:pPr>
      <w:r>
        <w:rPr>
          <w:rFonts w:hint="cs"/>
          <w:color w:val="000000"/>
          <w:rtl/>
          <w:lang w:bidi="ar-EG"/>
        </w:rPr>
        <w:t xml:space="preserve">وفي ضوء هذا الوضع، تقترح البلدان عدم إجراء تغيير وإلغاء القرار </w:t>
      </w:r>
      <w:r>
        <w:rPr>
          <w:color w:val="000000"/>
          <w:lang w:bidi="ar-EG"/>
        </w:rPr>
        <w:t>153 (WRC-12)</w:t>
      </w:r>
      <w:r>
        <w:rPr>
          <w:rFonts w:hint="cs"/>
          <w:color w:val="000000"/>
          <w:rtl/>
          <w:lang w:bidi="ar-EG"/>
        </w:rPr>
        <w:t>.</w:t>
      </w:r>
    </w:p>
    <w:p w:rsidR="00E44CAD" w:rsidRDefault="00F4674A" w:rsidP="00E3539E">
      <w:pPr>
        <w:pStyle w:val="Headingb"/>
      </w:pPr>
      <w:r>
        <w:rPr>
          <w:rFonts w:hint="cs"/>
          <w:rtl/>
        </w:rPr>
        <w:t>ال</w:t>
      </w:r>
      <w:r w:rsidR="00BE402A">
        <w:rPr>
          <w:rFonts w:hint="cs"/>
          <w:rtl/>
        </w:rPr>
        <w:t>مقترحات</w:t>
      </w:r>
    </w:p>
    <w:p w:rsidR="002919E1" w:rsidRPr="002919E1" w:rsidRDefault="008F4626" w:rsidP="00531DC7">
      <w:pPr>
        <w:rPr>
          <w:noProof/>
          <w:rtl/>
        </w:rPr>
      </w:pPr>
      <w:r w:rsidRPr="002919E1">
        <w:rPr>
          <w:rtl/>
        </w:rPr>
        <w:br w:type="page"/>
      </w:r>
    </w:p>
    <w:p w:rsidR="009F37C9" w:rsidRDefault="00D06828" w:rsidP="008A6056">
      <w:pPr>
        <w:pStyle w:val="ArtNo"/>
        <w:rPr>
          <w:rtl/>
        </w:rPr>
      </w:pPr>
      <w:r>
        <w:rPr>
          <w:rtl/>
        </w:rPr>
        <w:lastRenderedPageBreak/>
        <w:t xml:space="preserve">المـادة </w:t>
      </w:r>
      <w:r w:rsidRPr="008462AD">
        <w:rPr>
          <w:rStyle w:val="href"/>
        </w:rPr>
        <w:t>5</w:t>
      </w:r>
    </w:p>
    <w:p w:rsidR="009F37C9" w:rsidRPr="007031A9" w:rsidRDefault="00D06828" w:rsidP="009F37C9">
      <w:pPr>
        <w:pStyle w:val="Arttitle"/>
        <w:rPr>
          <w:b w:val="0"/>
          <w:rtl/>
        </w:rPr>
      </w:pPr>
      <w:bookmarkStart w:id="1" w:name="_Toc331055733"/>
      <w:r w:rsidRPr="007031A9">
        <w:rPr>
          <w:b w:val="0"/>
          <w:rtl/>
        </w:rPr>
        <w:t>توزيع نطاقات التردد</w:t>
      </w:r>
      <w:bookmarkEnd w:id="1"/>
    </w:p>
    <w:p w:rsidR="00D43E79" w:rsidRDefault="00D06828">
      <w:pPr>
        <w:pStyle w:val="Proposal"/>
      </w:pPr>
      <w:r>
        <w:rPr>
          <w:u w:val="single"/>
        </w:rPr>
        <w:t>NOC</w:t>
      </w:r>
      <w:r>
        <w:tab/>
        <w:t>RUS/NOR/HOL/G/133/1</w:t>
      </w:r>
    </w:p>
    <w:p w:rsidR="009F37C9" w:rsidRDefault="00D06828"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D43E79" w:rsidRDefault="00D06828" w:rsidP="00BE7497">
      <w:pPr>
        <w:pStyle w:val="Reasons"/>
        <w:rPr>
          <w:b w:val="0"/>
          <w:bCs w:val="0"/>
          <w:rtl/>
        </w:rPr>
      </w:pPr>
      <w:r>
        <w:rPr>
          <w:rtl/>
        </w:rPr>
        <w:t>الأسباب:</w:t>
      </w:r>
      <w:r>
        <w:tab/>
      </w:r>
      <w:r w:rsidR="00F4674A" w:rsidRPr="00F4674A">
        <w:rPr>
          <w:rFonts w:hint="cs"/>
          <w:b w:val="0"/>
          <w:bCs w:val="0"/>
          <w:rtl/>
        </w:rPr>
        <w:t>إن</w:t>
      </w:r>
      <w:r w:rsidR="00F4674A">
        <w:rPr>
          <w:rFonts w:hint="cs"/>
          <w:rtl/>
        </w:rPr>
        <w:t xml:space="preserve"> </w:t>
      </w:r>
      <w:r w:rsidR="001300FD" w:rsidRPr="001300FD">
        <w:rPr>
          <w:b w:val="0"/>
          <w:bCs w:val="0"/>
          <w:rtl/>
        </w:rPr>
        <w:t xml:space="preserve">استعمال نطاقات التردد الموزعة للخدمة الثابتة الساتلية التي لا تخضع للتذييلات </w:t>
      </w:r>
      <w:r w:rsidR="001300FD" w:rsidRPr="001300FD">
        <w:rPr>
          <w:b w:val="0"/>
          <w:bCs w:val="0"/>
        </w:rPr>
        <w:t>30</w:t>
      </w:r>
      <w:r w:rsidR="001300FD" w:rsidRPr="001300FD">
        <w:rPr>
          <w:b w:val="0"/>
          <w:bCs w:val="0"/>
          <w:rtl/>
        </w:rPr>
        <w:t xml:space="preserve"> و</w:t>
      </w:r>
      <w:r w:rsidR="001300FD" w:rsidRPr="001300FD">
        <w:rPr>
          <w:b w:val="0"/>
          <w:bCs w:val="0"/>
        </w:rPr>
        <w:t>30A </w:t>
      </w:r>
      <w:r w:rsidR="001300FD" w:rsidRPr="001300FD">
        <w:rPr>
          <w:rFonts w:hint="cs"/>
          <w:b w:val="0"/>
          <w:bCs w:val="0"/>
          <w:rtl/>
          <w:lang w:bidi="ar-EG"/>
        </w:rPr>
        <w:t xml:space="preserve"> </w:t>
      </w:r>
      <w:r w:rsidR="001300FD" w:rsidRPr="001300FD">
        <w:rPr>
          <w:b w:val="0"/>
          <w:bCs w:val="0"/>
          <w:rtl/>
        </w:rPr>
        <w:t>و</w:t>
      </w:r>
      <w:r w:rsidR="001300FD" w:rsidRPr="001300FD">
        <w:rPr>
          <w:b w:val="0"/>
          <w:bCs w:val="0"/>
        </w:rPr>
        <w:t>30B </w:t>
      </w:r>
      <w:r w:rsidR="001300FD" w:rsidRPr="001300FD">
        <w:rPr>
          <w:rFonts w:hint="cs"/>
          <w:b w:val="0"/>
          <w:bCs w:val="0"/>
          <w:rtl/>
          <w:lang w:bidi="ar-EG"/>
        </w:rPr>
        <w:t xml:space="preserve"> </w:t>
      </w:r>
      <w:r w:rsidR="001300FD" w:rsidRPr="001300FD">
        <w:rPr>
          <w:b w:val="0"/>
          <w:bCs w:val="0"/>
          <w:rtl/>
        </w:rPr>
        <w:t>من</w:t>
      </w:r>
      <w:r w:rsidR="001300FD" w:rsidRPr="001300FD">
        <w:rPr>
          <w:rFonts w:hint="cs"/>
          <w:b w:val="0"/>
          <w:bCs w:val="0"/>
          <w:rtl/>
        </w:rPr>
        <w:t> </w:t>
      </w:r>
      <w:r w:rsidR="001300FD" w:rsidRPr="001300FD">
        <w:rPr>
          <w:b w:val="0"/>
          <w:bCs w:val="0"/>
          <w:rtl/>
        </w:rPr>
        <w:t>أجل اتصالات المراقبة والاتصالات خارج الحمولة النافعة لأنظمة الطائرات دون طيار</w:t>
      </w:r>
      <w:r w:rsidR="00BE7497">
        <w:rPr>
          <w:rFonts w:hint="cs"/>
          <w:b w:val="0"/>
          <w:bCs w:val="0"/>
          <w:rtl/>
        </w:rPr>
        <w:t xml:space="preserve"> لا يتّسق مع أحكام خدمة السلامة للطيران للأسباب التالية:</w:t>
      </w:r>
    </w:p>
    <w:p w:rsidR="001300FD" w:rsidRDefault="001300FD" w:rsidP="00734FE6">
      <w:pPr>
        <w:pStyle w:val="enumlev1"/>
        <w:rPr>
          <w:rtl/>
          <w:lang w:bidi="ar-EG"/>
        </w:rPr>
      </w:pPr>
      <w:r>
        <w:rPr>
          <w:rFonts w:cs="Times New Roman"/>
          <w:rtl/>
        </w:rPr>
        <w:t>•</w:t>
      </w:r>
      <w:r>
        <w:rPr>
          <w:rtl/>
        </w:rPr>
        <w:tab/>
      </w:r>
      <w:r w:rsidR="00BE7497">
        <w:rPr>
          <w:rFonts w:hint="cs"/>
          <w:rtl/>
        </w:rPr>
        <w:t>إن تعريفي المحطة الأرضي</w:t>
      </w:r>
      <w:r w:rsidR="00F4674A">
        <w:rPr>
          <w:rFonts w:hint="cs"/>
          <w:rtl/>
        </w:rPr>
        <w:t>ة</w:t>
      </w:r>
      <w:r w:rsidR="00BE7497">
        <w:rPr>
          <w:rFonts w:hint="cs"/>
          <w:rtl/>
        </w:rPr>
        <w:t xml:space="preserve"> في الطائرة والخدمة الثابتة الساتلية ليسا متّسقين، مما يؤدي إلى عدم قدرة وصلات</w:t>
      </w:r>
      <w:r w:rsidR="00734FE6">
        <w:rPr>
          <w:rFonts w:hint="eastAsia"/>
          <w:rtl/>
        </w:rPr>
        <w:t> </w:t>
      </w:r>
      <w:bookmarkStart w:id="2" w:name="_GoBack"/>
      <w:bookmarkEnd w:id="2"/>
      <w:r w:rsidR="00BE7497">
        <w:t>CPNC</w:t>
      </w:r>
      <w:r w:rsidR="00BE7497">
        <w:rPr>
          <w:rFonts w:hint="cs"/>
          <w:rtl/>
          <w:lang w:bidi="ar-EG"/>
        </w:rPr>
        <w:t xml:space="preserve"> في</w:t>
      </w:r>
      <w:r w:rsidR="00734FE6">
        <w:rPr>
          <w:rFonts w:hint="eastAsia"/>
          <w:rtl/>
          <w:lang w:bidi="ar-EG"/>
        </w:rPr>
        <w:t> </w:t>
      </w:r>
      <w:r w:rsidR="00BE7497">
        <w:rPr>
          <w:rFonts w:hint="cs"/>
          <w:rtl/>
          <w:lang w:bidi="ar-EG"/>
        </w:rPr>
        <w:t>فضاء غير معزول على العمل في بيئة تنظيمية متسقة مع خدمة السلامة.</w:t>
      </w:r>
    </w:p>
    <w:p w:rsidR="001300FD" w:rsidRPr="001300FD" w:rsidRDefault="001300FD" w:rsidP="00734FE6">
      <w:pPr>
        <w:pStyle w:val="enumlev1"/>
      </w:pPr>
      <w:r>
        <w:rPr>
          <w:rFonts w:cs="Times New Roman"/>
          <w:rtl/>
        </w:rPr>
        <w:t>•</w:t>
      </w:r>
      <w:r>
        <w:rPr>
          <w:rtl/>
        </w:rPr>
        <w:tab/>
      </w:r>
      <w:r w:rsidR="00BE7497">
        <w:rPr>
          <w:rFonts w:hint="cs"/>
          <w:rtl/>
        </w:rPr>
        <w:t xml:space="preserve">إن القدرة والقيود الجغرافية المطلوبة لحماية الخدمات القائمة أو لعدم فرض قيود عليها من شأنها أن تجعل تشغيل المحطة الأرضية في </w:t>
      </w:r>
      <w:r w:rsidR="00F4674A">
        <w:rPr>
          <w:rFonts w:hint="cs"/>
          <w:rtl/>
        </w:rPr>
        <w:t>ال</w:t>
      </w:r>
      <w:r w:rsidR="00BE7497">
        <w:rPr>
          <w:rFonts w:hint="cs"/>
          <w:rtl/>
        </w:rPr>
        <w:t>طائرة بدون طيار ثانوياً بالنسبة للخدمات الأخرى في نطاقات التردد ذات الصلة</w:t>
      </w:r>
      <w:r w:rsidR="00F4674A">
        <w:rPr>
          <w:rFonts w:hint="cs"/>
          <w:rtl/>
        </w:rPr>
        <w:t>،</w:t>
      </w:r>
      <w:r w:rsidR="00BE7497">
        <w:rPr>
          <w:rFonts w:hint="cs"/>
          <w:rtl/>
        </w:rPr>
        <w:t xml:space="preserve"> وهو ما</w:t>
      </w:r>
      <w:r w:rsidR="00734FE6">
        <w:rPr>
          <w:rFonts w:hint="eastAsia"/>
          <w:rtl/>
        </w:rPr>
        <w:t> </w:t>
      </w:r>
      <w:r w:rsidR="00BE7497">
        <w:rPr>
          <w:rFonts w:hint="cs"/>
          <w:rtl/>
        </w:rPr>
        <w:t>يتعارض مع توفير خدمة سلامة الأرواح.</w:t>
      </w:r>
    </w:p>
    <w:p w:rsidR="001300FD" w:rsidRDefault="001300FD" w:rsidP="00BE7497">
      <w:pPr>
        <w:pStyle w:val="enumlev1"/>
        <w:rPr>
          <w:rtl/>
        </w:rPr>
      </w:pPr>
      <w:r>
        <w:rPr>
          <w:rFonts w:cs="Times New Roman"/>
          <w:rtl/>
        </w:rPr>
        <w:t>•</w:t>
      </w:r>
      <w:r>
        <w:rPr>
          <w:rtl/>
        </w:rPr>
        <w:tab/>
      </w:r>
      <w:r w:rsidR="00BE7497">
        <w:rPr>
          <w:rFonts w:hint="cs"/>
          <w:rtl/>
        </w:rPr>
        <w:t>إن القدرة والقيود الجغرافية المشار إليها أعلاه لن تكون متسقة مع النفاذ غير المقيد للفضاء الجوي وقد تفرض قيوداً غير مقبولة على مراقبة الحركة الجوية.</w:t>
      </w:r>
    </w:p>
    <w:p w:rsidR="001300FD" w:rsidRDefault="001300FD" w:rsidP="00BE7497">
      <w:pPr>
        <w:pStyle w:val="enumlev1"/>
        <w:rPr>
          <w:rtl/>
        </w:rPr>
      </w:pPr>
      <w:r>
        <w:rPr>
          <w:rFonts w:cs="Times New Roman"/>
          <w:rtl/>
        </w:rPr>
        <w:t>•</w:t>
      </w:r>
      <w:r>
        <w:rPr>
          <w:rtl/>
        </w:rPr>
        <w:tab/>
      </w:r>
      <w:r w:rsidR="00BE7497">
        <w:rPr>
          <w:rFonts w:hint="cs"/>
          <w:rtl/>
        </w:rPr>
        <w:t>إن التداخل وأغلفة الحماية المرتبطة بتشغيل الخدمة الثابتة الساتلية ليست معرّفة بوضوح وتخضع في بعض الحالات إلى اتفاقات سرية تشك</w:t>
      </w:r>
      <w:r w:rsidR="00F4674A">
        <w:rPr>
          <w:rFonts w:hint="cs"/>
          <w:rtl/>
        </w:rPr>
        <w:t>ّ</w:t>
      </w:r>
      <w:r w:rsidR="00BE7497">
        <w:rPr>
          <w:rFonts w:hint="cs"/>
          <w:rtl/>
        </w:rPr>
        <w:t>ك في استنتاج حالة سلامة قابلة للتدقيق تقوم على التشغيل في ظل هذه الظروف.</w:t>
      </w:r>
    </w:p>
    <w:p w:rsidR="00BE7497" w:rsidRPr="00BE7497" w:rsidRDefault="00BE7497" w:rsidP="00F4674A">
      <w:pPr>
        <w:rPr>
          <w:rtl/>
        </w:rPr>
      </w:pPr>
      <w:r>
        <w:rPr>
          <w:rFonts w:hint="cs"/>
          <w:rtl/>
        </w:rPr>
        <w:t xml:space="preserve">بالإضافة إلى ذلك، لم يبرز أي أسلوب يراعي هذه الشواغل ويحول في الوقت نفسه </w:t>
      </w:r>
      <w:r w:rsidR="00F4674A">
        <w:rPr>
          <w:rFonts w:hint="cs"/>
          <w:rtl/>
        </w:rPr>
        <w:t>دون</w:t>
      </w:r>
      <w:r>
        <w:rPr>
          <w:rFonts w:hint="cs"/>
          <w:rtl/>
        </w:rPr>
        <w:t xml:space="preserve"> إمكانية زعزعة عملية تنسيق الترددات لشبكات الخدمة الثابتة الساتلية.</w:t>
      </w:r>
    </w:p>
    <w:p w:rsidR="00D43E79" w:rsidRDefault="00D06828">
      <w:pPr>
        <w:pStyle w:val="Proposal"/>
      </w:pPr>
      <w:r>
        <w:t>SUP</w:t>
      </w:r>
      <w:r>
        <w:tab/>
        <w:t>RUS/NOR/HOL/G/133/2</w:t>
      </w:r>
    </w:p>
    <w:p w:rsidR="00622532" w:rsidRPr="00867A17" w:rsidRDefault="00D06828" w:rsidP="00622532">
      <w:pPr>
        <w:pStyle w:val="ResNo"/>
        <w:rPr>
          <w:rtl/>
        </w:rPr>
      </w:pPr>
      <w:bookmarkStart w:id="3" w:name="_Toc327956609"/>
      <w:r w:rsidRPr="00867A17">
        <w:rPr>
          <w:rFonts w:hint="cs"/>
          <w:rtl/>
        </w:rPr>
        <w:t>الق</w:t>
      </w:r>
      <w:r>
        <w:rPr>
          <w:rFonts w:hint="cs"/>
          <w:rtl/>
        </w:rPr>
        <w:t>ـ</w:t>
      </w:r>
      <w:r w:rsidRPr="00867A17">
        <w:rPr>
          <w:rFonts w:hint="cs"/>
          <w:rtl/>
        </w:rPr>
        <w:t xml:space="preserve">رار </w:t>
      </w:r>
      <w:r w:rsidRPr="00622532">
        <w:rPr>
          <w:rStyle w:val="href"/>
        </w:rPr>
        <w:t>153</w:t>
      </w:r>
      <w:r>
        <w:t> </w:t>
      </w:r>
      <w:r w:rsidRPr="00AB31CC">
        <w:t>(WRC</w:t>
      </w:r>
      <w:r>
        <w:noBreakHyphen/>
      </w:r>
      <w:r w:rsidRPr="00AB31CC">
        <w:t>12)</w:t>
      </w:r>
      <w:bookmarkEnd w:id="3"/>
    </w:p>
    <w:p w:rsidR="00622532" w:rsidRPr="008603F9" w:rsidRDefault="00D06828" w:rsidP="00C9456C">
      <w:pPr>
        <w:pStyle w:val="Restitle"/>
        <w:rPr>
          <w:rtl/>
        </w:rPr>
      </w:pPr>
      <w:bookmarkStart w:id="4" w:name="_Toc327956610"/>
      <w:r w:rsidRPr="008603F9">
        <w:rPr>
          <w:rFonts w:hint="cs"/>
          <w:rtl/>
        </w:rPr>
        <w:t>استعمال نطاقات التردد الموزعة للخدمة الثابتة الساتلية التي لا تخضع</w:t>
      </w:r>
      <w:r>
        <w:rPr>
          <w:rFonts w:hint="cs"/>
          <w:rtl/>
        </w:rPr>
        <w:t xml:space="preserve"> </w:t>
      </w:r>
      <w:r w:rsidR="00E3539E">
        <w:rPr>
          <w:rtl/>
        </w:rPr>
        <w:br/>
      </w:r>
      <w:r w:rsidRPr="008603F9">
        <w:rPr>
          <w:rFonts w:hint="cs"/>
          <w:rtl/>
        </w:rPr>
        <w:t xml:space="preserve">للتذييلات </w:t>
      </w:r>
      <w:r w:rsidRPr="00867A17">
        <w:t>30</w:t>
      </w:r>
      <w:r w:rsidRPr="008603F9">
        <w:rPr>
          <w:rFonts w:hint="cs"/>
          <w:rtl/>
        </w:rPr>
        <w:t xml:space="preserve"> و</w:t>
      </w:r>
      <w:r w:rsidRPr="008603F9">
        <w:t>30A</w:t>
      </w:r>
      <w:r w:rsidRPr="008603F9">
        <w:rPr>
          <w:rFonts w:hint="cs"/>
          <w:rtl/>
        </w:rPr>
        <w:t xml:space="preserve"> و</w:t>
      </w:r>
      <w:r w:rsidRPr="008603F9">
        <w:t>30B</w:t>
      </w:r>
      <w:r w:rsidRPr="008603F9">
        <w:rPr>
          <w:rFonts w:hint="cs"/>
          <w:rtl/>
        </w:rPr>
        <w:t xml:space="preserve"> </w:t>
      </w:r>
      <w:r>
        <w:rPr>
          <w:rFonts w:hint="cs"/>
          <w:rtl/>
        </w:rPr>
        <w:t xml:space="preserve">من أجل </w:t>
      </w:r>
      <w:r w:rsidRPr="00894887">
        <w:rPr>
          <w:rFonts w:hint="cs"/>
          <w:rtl/>
        </w:rPr>
        <w:t>اتصالات المراقبة</w:t>
      </w:r>
      <w:r>
        <w:rPr>
          <w:rFonts w:hint="cs"/>
          <w:rtl/>
        </w:rPr>
        <w:t xml:space="preserve"> </w:t>
      </w:r>
      <w:r w:rsidRPr="00894887">
        <w:rPr>
          <w:rFonts w:hint="cs"/>
          <w:rtl/>
        </w:rPr>
        <w:t xml:space="preserve">والاتصالات </w:t>
      </w:r>
      <w:r w:rsidR="00E3539E">
        <w:rPr>
          <w:rtl/>
        </w:rPr>
        <w:br/>
      </w:r>
      <w:r w:rsidRPr="00894887">
        <w:rPr>
          <w:rFonts w:hint="cs"/>
          <w:rtl/>
        </w:rPr>
        <w:t>خارج الحمولة</w:t>
      </w:r>
      <w:r>
        <w:rPr>
          <w:rFonts w:hint="cs"/>
          <w:rtl/>
        </w:rPr>
        <w:t xml:space="preserve"> </w:t>
      </w:r>
      <w:r w:rsidRPr="00894887">
        <w:rPr>
          <w:rFonts w:hint="cs"/>
          <w:rtl/>
        </w:rPr>
        <w:t>النافعة لأنظمة الطائرات دون طيار</w:t>
      </w:r>
      <w:r>
        <w:rPr>
          <w:rFonts w:hint="cs"/>
          <w:rtl/>
        </w:rPr>
        <w:t xml:space="preserve"> </w:t>
      </w:r>
      <w:r>
        <w:rPr>
          <w:rtl/>
        </w:rPr>
        <w:br/>
      </w:r>
      <w:r w:rsidRPr="00894887">
        <w:rPr>
          <w:rFonts w:hint="cs"/>
          <w:rtl/>
        </w:rPr>
        <w:t>في الفضاء الجوي</w:t>
      </w:r>
      <w:r w:rsidRPr="008603F9">
        <w:rPr>
          <w:rFonts w:hint="cs"/>
          <w:rtl/>
        </w:rPr>
        <w:t xml:space="preserve"> غير </w:t>
      </w:r>
      <w:r>
        <w:rPr>
          <w:rFonts w:hint="cs"/>
          <w:rtl/>
        </w:rPr>
        <w:t>المحجوز</w:t>
      </w:r>
      <w:bookmarkEnd w:id="4"/>
    </w:p>
    <w:p w:rsidR="001300FD" w:rsidRDefault="001300FD" w:rsidP="00E3539E">
      <w:pPr>
        <w:pStyle w:val="Reasons"/>
        <w:spacing w:before="360"/>
        <w:rPr>
          <w:b w:val="0"/>
          <w:bCs w:val="0"/>
          <w:rtl/>
        </w:rPr>
      </w:pPr>
      <w:r>
        <w:rPr>
          <w:rtl/>
        </w:rPr>
        <w:t>الأسباب:</w:t>
      </w:r>
      <w:r>
        <w:tab/>
      </w:r>
      <w:r w:rsidRPr="00343690">
        <w:rPr>
          <w:rFonts w:hint="cs"/>
          <w:b w:val="0"/>
          <w:bCs w:val="0"/>
          <w:rtl/>
        </w:rPr>
        <w:t>لم تعد هناك حاجة لهذا القرار.</w:t>
      </w:r>
    </w:p>
    <w:p w:rsidR="001300FD" w:rsidRDefault="001300FD" w:rsidP="001300FD">
      <w:pPr>
        <w:spacing w:before="600"/>
        <w:jc w:val="center"/>
        <w:rPr>
          <w:rtl/>
        </w:rPr>
      </w:pPr>
      <w:r>
        <w:rPr>
          <w:rtl/>
        </w:rPr>
        <w:t>___________</w:t>
      </w:r>
    </w:p>
    <w:sectPr w:rsidR="001300FD">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E402A">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17152F">
      <w:rPr>
        <w:noProof/>
        <w:lang w:val="es-ES"/>
      </w:rPr>
      <w:t>P:\ARA\ITU-R\CONF-R\CMR15\100\133A.docx</w:t>
    </w:r>
    <w:r w:rsidRPr="00CB4300">
      <w:fldChar w:fldCharType="end"/>
    </w:r>
    <w:r w:rsidRPr="00CB4300">
      <w:rPr>
        <w:lang w:val="es-ES"/>
      </w:rPr>
      <w:t xml:space="preserve">  (</w:t>
    </w:r>
    <w:r w:rsidR="00BE402A">
      <w:rPr>
        <w:lang w:val="es-ES"/>
      </w:rPr>
      <w:t>388981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A81B2B">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343690">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E402A">
    <w:pPr>
      <w:pStyle w:val="Footer"/>
      <w:rPr>
        <w:lang w:val="es-ES"/>
      </w:rPr>
    </w:pPr>
    <w:r>
      <w:fldChar w:fldCharType="begin"/>
    </w:r>
    <w:r w:rsidRPr="00CB4300">
      <w:rPr>
        <w:lang w:val="es-ES"/>
      </w:rPr>
      <w:instrText xml:space="preserve"> FILENAME \p \* MERGEFORMAT </w:instrText>
    </w:r>
    <w:r>
      <w:fldChar w:fldCharType="separate"/>
    </w:r>
    <w:r w:rsidR="004E700B">
      <w:rPr>
        <w:noProof/>
        <w:lang w:val="es-ES"/>
      </w:rPr>
      <w:t>P:\ARA\ITU-R\CONF-R\CMR15\100\133A.docx</w:t>
    </w:r>
    <w:r>
      <w:fldChar w:fldCharType="end"/>
    </w:r>
    <w:r w:rsidRPr="00CB4300">
      <w:rPr>
        <w:lang w:val="es-ES"/>
      </w:rPr>
      <w:t xml:space="preserve">   (</w:t>
    </w:r>
    <w:r w:rsidR="00BE402A">
      <w:rPr>
        <w:lang w:val="es-ES"/>
      </w:rPr>
      <w:t>388981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A81B2B">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43690">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E44CAD" w:rsidRPr="00E44CAD" w:rsidRDefault="00E44CAD" w:rsidP="00372467">
      <w:pPr>
        <w:pStyle w:val="FootnoteText"/>
        <w:rPr>
          <w:rFonts w:hint="cs"/>
          <w:highlight w:val="yellow"/>
          <w:rtl/>
        </w:rPr>
      </w:pPr>
      <w:r>
        <w:rPr>
          <w:rStyle w:val="FootnoteReference"/>
        </w:rPr>
        <w:footnoteRef/>
      </w:r>
      <w:r>
        <w:rPr>
          <w:rtl/>
        </w:rPr>
        <w:tab/>
      </w:r>
      <w:r w:rsidR="00372467">
        <w:rPr>
          <w:rFonts w:hint="cs"/>
          <w:rtl/>
        </w:rPr>
        <w:t xml:space="preserve">التقرير </w:t>
      </w:r>
      <w:r w:rsidR="00372467">
        <w:t>ITU</w:t>
      </w:r>
      <w:r w:rsidR="00372467">
        <w:noBreakHyphen/>
        <w:t>R M.2171</w:t>
      </w:r>
      <w:r w:rsidR="00372467">
        <w:rPr>
          <w:rFonts w:hint="cs"/>
          <w:rtl/>
        </w:rPr>
        <w:t xml:space="preserve"> خصائص أنظمة الطائرات دون طيار واحتياجاتها من الطيف لضمان أمن تشغيلها في فضاء جوي غير منفصل.</w:t>
      </w:r>
    </w:p>
  </w:footnote>
  <w:footnote w:id="2">
    <w:p w:rsidR="00E44CAD" w:rsidRPr="009B6CBD" w:rsidRDefault="00E44CAD" w:rsidP="009B6CBD">
      <w:pPr>
        <w:pStyle w:val="FootnoteText"/>
      </w:pPr>
      <w:r w:rsidRPr="009B6CBD">
        <w:rPr>
          <w:rStyle w:val="FootnoteReference"/>
        </w:rPr>
        <w:footnoteRef/>
      </w:r>
      <w:r w:rsidRPr="009B6CBD">
        <w:rPr>
          <w:rtl/>
        </w:rPr>
        <w:tab/>
      </w:r>
      <w:r w:rsidR="009B6CBD" w:rsidRPr="009B6CBD">
        <w:rPr>
          <w:spacing w:val="6"/>
          <w:rtl/>
        </w:rPr>
        <w:t>محطة أرضية في طائرة:</w:t>
      </w:r>
      <w:r w:rsidR="009B6CBD" w:rsidRPr="009B6CBD">
        <w:rPr>
          <w:spacing w:val="6"/>
          <w:rtl/>
        </w:rPr>
        <w:t xml:space="preserve"> </w:t>
      </w:r>
      <w:r w:rsidR="009B6CBD" w:rsidRPr="009B6CBD">
        <w:rPr>
          <w:spacing w:val="6"/>
          <w:rtl/>
        </w:rPr>
        <w:t>هي محطة أرضية متنقلة في الخدمة المتنقلة الساتلية للطيران، موضوعة على متن طائرة.</w:t>
      </w:r>
    </w:p>
  </w:footnote>
  <w:footnote w:id="3">
    <w:p w:rsidR="00E44CAD" w:rsidRDefault="00E44CAD" w:rsidP="009B6CBD">
      <w:pPr>
        <w:pStyle w:val="FootnoteText"/>
      </w:pPr>
      <w:r w:rsidRPr="009B6CBD">
        <w:rPr>
          <w:rStyle w:val="FootnoteReference"/>
        </w:rPr>
        <w:footnoteRef/>
      </w:r>
      <w:r w:rsidRPr="009B6CBD">
        <w:rPr>
          <w:rtl/>
        </w:rPr>
        <w:tab/>
      </w:r>
      <w:r w:rsidR="009B6CBD" w:rsidRPr="009B6CBD">
        <w:rPr>
          <w:rtl/>
        </w:rPr>
        <w:t xml:space="preserve">الخدمة الثابتة الساتلية:  هي خدمة اتصالات راديوية بين محطات أرضية قائمة في مواقع معينة، عندما يستعمل ساتل واحد أو عدة </w:t>
      </w:r>
      <w:proofErr w:type="spellStart"/>
      <w:r w:rsidR="009B6CBD" w:rsidRPr="009B6CBD">
        <w:rPr>
          <w:rtl/>
        </w:rPr>
        <w:t>سواتل</w:t>
      </w:r>
      <w:proofErr w:type="spellEnd"/>
      <w:r w:rsidR="009B6CBD" w:rsidRPr="009B6CBD">
        <w:rPr>
          <w:rtl/>
        </w:rPr>
        <w:t xml:space="preserve">. وقد يكون الموقع المعين نقطة ثابتة محددة أو أية نقطة ثابتة تقع في مناطق محددة. وتتضمن هذه الخدمة، في بعض الحالات، وصلات بين </w:t>
      </w:r>
      <w:proofErr w:type="spellStart"/>
      <w:r w:rsidR="009B6CBD" w:rsidRPr="009B6CBD">
        <w:rPr>
          <w:rtl/>
        </w:rPr>
        <w:t>السواتل</w:t>
      </w:r>
      <w:proofErr w:type="spellEnd"/>
      <w:r w:rsidR="009B6CBD" w:rsidRPr="009B6CBD">
        <w:rPr>
          <w:rtl/>
        </w:rPr>
        <w:t xml:space="preserve">، يمكن تأمينها أيضاً ضمن الخدمة ما بين </w:t>
      </w:r>
      <w:proofErr w:type="spellStart"/>
      <w:r w:rsidR="009B6CBD" w:rsidRPr="009B6CBD">
        <w:rPr>
          <w:rtl/>
        </w:rPr>
        <w:t>السواتل</w:t>
      </w:r>
      <w:proofErr w:type="spellEnd"/>
      <w:r w:rsidR="009B6CBD" w:rsidRPr="009B6CBD">
        <w:rPr>
          <w:rtl/>
        </w:rPr>
        <w:t>. وقد تتضمن الخدمة الثابتة الساتلية أيضاً وصلات تغذية لخدمات أخرى خاصة بالاتصالات الراديوية الفضائية.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34FE6">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0FC7"/>
    <w:rsid w:val="000A1B16"/>
    <w:rsid w:val="000B5404"/>
    <w:rsid w:val="000D1708"/>
    <w:rsid w:val="000E2AFC"/>
    <w:rsid w:val="000E6D30"/>
    <w:rsid w:val="000F05F5"/>
    <w:rsid w:val="000F28EA"/>
    <w:rsid w:val="000F518F"/>
    <w:rsid w:val="0010081C"/>
    <w:rsid w:val="001013E3"/>
    <w:rsid w:val="0010363F"/>
    <w:rsid w:val="001300FD"/>
    <w:rsid w:val="001464F2"/>
    <w:rsid w:val="001629EC"/>
    <w:rsid w:val="00167364"/>
    <w:rsid w:val="0017152F"/>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43690"/>
    <w:rsid w:val="00353652"/>
    <w:rsid w:val="003569E1"/>
    <w:rsid w:val="00372467"/>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02919"/>
    <w:rsid w:val="004147B9"/>
    <w:rsid w:val="00422C04"/>
    <w:rsid w:val="00426144"/>
    <w:rsid w:val="00461FA7"/>
    <w:rsid w:val="00470CBD"/>
    <w:rsid w:val="00473EBD"/>
    <w:rsid w:val="0047407D"/>
    <w:rsid w:val="004909DD"/>
    <w:rsid w:val="004A05E6"/>
    <w:rsid w:val="004A6C66"/>
    <w:rsid w:val="004A7AA0"/>
    <w:rsid w:val="004C11BC"/>
    <w:rsid w:val="004D4AE6"/>
    <w:rsid w:val="004E34FA"/>
    <w:rsid w:val="004E700B"/>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4FE6"/>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B6CBD"/>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1B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4439F"/>
    <w:rsid w:val="00B528DF"/>
    <w:rsid w:val="00B606BA"/>
    <w:rsid w:val="00B66817"/>
    <w:rsid w:val="00B71E3B"/>
    <w:rsid w:val="00B721D5"/>
    <w:rsid w:val="00B81CB5"/>
    <w:rsid w:val="00B8351F"/>
    <w:rsid w:val="00B86C44"/>
    <w:rsid w:val="00B9727C"/>
    <w:rsid w:val="00BA610A"/>
    <w:rsid w:val="00BA7D44"/>
    <w:rsid w:val="00BB5AF8"/>
    <w:rsid w:val="00BD6EF3"/>
    <w:rsid w:val="00BE402A"/>
    <w:rsid w:val="00BE69C3"/>
    <w:rsid w:val="00BE7497"/>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06828"/>
    <w:rsid w:val="00D25120"/>
    <w:rsid w:val="00D419CB"/>
    <w:rsid w:val="00D43E79"/>
    <w:rsid w:val="00D44350"/>
    <w:rsid w:val="00D44E3F"/>
    <w:rsid w:val="00D525F5"/>
    <w:rsid w:val="00D535D0"/>
    <w:rsid w:val="00D62C78"/>
    <w:rsid w:val="00D81703"/>
    <w:rsid w:val="00D82929"/>
    <w:rsid w:val="00D84214"/>
    <w:rsid w:val="00D943E5"/>
    <w:rsid w:val="00D962E7"/>
    <w:rsid w:val="00DA1AE0"/>
    <w:rsid w:val="00DC29DD"/>
    <w:rsid w:val="00DC7C0E"/>
    <w:rsid w:val="00DF2A6A"/>
    <w:rsid w:val="00DF3B72"/>
    <w:rsid w:val="00E10821"/>
    <w:rsid w:val="00E165ED"/>
    <w:rsid w:val="00E2489D"/>
    <w:rsid w:val="00E25C06"/>
    <w:rsid w:val="00E26520"/>
    <w:rsid w:val="00E343A3"/>
    <w:rsid w:val="00E3539E"/>
    <w:rsid w:val="00E44CAD"/>
    <w:rsid w:val="00E51BFA"/>
    <w:rsid w:val="00E621A3"/>
    <w:rsid w:val="00E77D29"/>
    <w:rsid w:val="00E833BC"/>
    <w:rsid w:val="00E8580E"/>
    <w:rsid w:val="00E90C56"/>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4674A"/>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030BE85-001B-462A-9041-B8211553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styleId="EndnoteText">
    <w:name w:val="endnote text"/>
    <w:basedOn w:val="Normal"/>
    <w:link w:val="EndnoteTextChar"/>
    <w:semiHidden/>
    <w:unhideWhenUsed/>
    <w:rsid w:val="00BE402A"/>
    <w:pPr>
      <w:spacing w:before="0" w:line="240" w:lineRule="auto"/>
    </w:pPr>
    <w:rPr>
      <w:sz w:val="20"/>
      <w:szCs w:val="20"/>
    </w:rPr>
  </w:style>
  <w:style w:type="character" w:customStyle="1" w:styleId="EndnoteTextChar">
    <w:name w:val="Endnote Text Char"/>
    <w:basedOn w:val="DefaultParagraphFont"/>
    <w:link w:val="EndnoteText"/>
    <w:semiHidden/>
    <w:rsid w:val="00BE402A"/>
    <w:rPr>
      <w:rFonts w:ascii="Times New Roman" w:hAnsi="Times New Roman"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R15-WRC15-C-0133!!MSW-A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9A8E862C-8CD9-440E-A03B-2B386A321662}">
  <ds:schemaRefs>
    <ds:schemaRef ds:uri="http://schemas.microsoft.com/office/2006/documentManagement/types"/>
    <ds:schemaRef ds:uri="http://purl.org/dc/dcmitype/"/>
    <ds:schemaRef ds:uri="http://schemas.microsoft.com/office/infopath/2007/PartnerControls"/>
    <ds:schemaRef ds:uri="996b2e75-67fd-4955-a3b0-5ab9934cb50b"/>
    <ds:schemaRef ds:uri="http://purl.org/dc/elements/1.1/"/>
    <ds:schemaRef ds:uri="http://purl.org/dc/terms/"/>
    <ds:schemaRef ds:uri="http://schemas.microsoft.com/office/2006/metadata/properties"/>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9CFECBD4-E849-4053-8DCF-C153EBDF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744</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R15-WRC15-C-0133!!MSW-A</vt:lpstr>
    </vt:vector>
  </TitlesOfParts>
  <Manager>General Secretariat - Pool</Manager>
  <Company>International Telecommunication Union (ITU)</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R15-WRC15-C-0133!!MSW-A</dc:title>
  <dc:creator>Documents Proposals Manager (DPM)</dc:creator>
  <cp:keywords>DPM_v5.2015.10.15_prod</cp:keywords>
  <cp:lastModifiedBy>Tahawi, Mohamad </cp:lastModifiedBy>
  <cp:revision>5</cp:revision>
  <cp:lastPrinted>2015-11-01T15:32:00Z</cp:lastPrinted>
  <dcterms:created xsi:type="dcterms:W3CDTF">2015-11-01T21:07:00Z</dcterms:created>
  <dcterms:modified xsi:type="dcterms:W3CDTF">2015-11-01T21:12:00Z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