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4C4C70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4C4C70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4C4C70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4C4C70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C4C70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C4C70">
              <w:rPr>
                <w:rFonts w:ascii="Verdana" w:hAnsi="Verdana"/>
                <w:rtl/>
              </w:rPr>
              <w:t xml:space="preserve">الإضافة </w:t>
            </w:r>
            <w:r w:rsidRPr="004C4C70">
              <w:rPr>
                <w:rFonts w:ascii="Verdana" w:hAnsi="Verdana"/>
              </w:rPr>
              <w:t>1</w:t>
            </w:r>
            <w:r w:rsidRPr="004C4C70">
              <w:rPr>
                <w:rFonts w:ascii="Verdana" w:hAnsi="Verdana"/>
              </w:rPr>
              <w:br/>
            </w:r>
            <w:r w:rsidRPr="004C4C70">
              <w:rPr>
                <w:rFonts w:ascii="Verdana" w:hAnsi="Verdana"/>
                <w:rtl/>
              </w:rPr>
              <w:t xml:space="preserve">للوثيقة </w:t>
            </w:r>
            <w:r w:rsidRPr="004C4C70">
              <w:rPr>
                <w:rFonts w:ascii="Verdana" w:hAnsi="Verdana"/>
              </w:rPr>
              <w:t>130(Add.9)-</w:t>
            </w:r>
            <w:r w:rsidR="004C4C70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4C4C70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C4C70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C4C70">
              <w:rPr>
                <w:rFonts w:ascii="Verdana" w:eastAsia="SimSun" w:hAnsi="Verdana"/>
              </w:rPr>
              <w:t>16</w:t>
            </w:r>
            <w:r w:rsidRPr="004C4C70">
              <w:rPr>
                <w:rFonts w:ascii="Verdana" w:eastAsia="SimSun" w:hAnsi="Verdana"/>
                <w:rtl/>
              </w:rPr>
              <w:t xml:space="preserve"> أكتوبر </w:t>
            </w:r>
            <w:r w:rsidRPr="004C4C70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C4C7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C4C7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4C4C70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4C4C7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أنغولا/جمهورية بوتسوانا/مملكة ليسوتو/جمهورية مدغشقر/ملاوي/جمهورية موريشيوس/جمهورية موزامبيق/جمهورية ناميبيا/جمهورية الكونغو الديمقراطية/جمهورية سيشيل/جمهورية جنوب إفريقيا/مملكة سوازيلاند/جمهورية تنـزانيا المتحدة/جمهورية زامبيا/جمهورية زيمبابوي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C4C70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0235F5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0235F5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C4C7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C4C70">
              <w:t>1.9.1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D07092" w:rsidP="004C4C70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 xml:space="preserve">النظر وفقاً للقرار 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1D597A" w:rsidRPr="00431196" w:rsidRDefault="00D07092" w:rsidP="001D597A">
      <w:pPr>
        <w:rPr>
          <w:rFonts w:eastAsia="SimSun"/>
          <w:rtl/>
        </w:rPr>
      </w:pPr>
      <w:r w:rsidRPr="00431196">
        <w:rPr>
          <w:rFonts w:eastAsia="SimSun"/>
        </w:rPr>
        <w:t>1.9.1</w:t>
      </w:r>
      <w:r w:rsidRPr="00431196">
        <w:rPr>
          <w:rFonts w:eastAsia="SimSun" w:hint="cs"/>
          <w:rtl/>
        </w:rPr>
        <w:tab/>
        <w:t xml:space="preserve">إمكانية منح توزيعات جديدة للخدمة الثابتة الساتلية في نطاقي الترددات </w:t>
      </w:r>
      <w:r w:rsidRPr="00431196">
        <w:rPr>
          <w:rFonts w:eastAsia="SimSun"/>
        </w:rPr>
        <w:t>MHz 7 250</w:t>
      </w:r>
      <w:r w:rsidRPr="00431196">
        <w:rPr>
          <w:rFonts w:eastAsia="SimSun"/>
        </w:rPr>
        <w:noBreakHyphen/>
        <w:t>7 150</w:t>
      </w:r>
      <w:r w:rsidRPr="00431196">
        <w:rPr>
          <w:rFonts w:eastAsia="SimSun" w:hint="cs"/>
          <w:rtl/>
        </w:rPr>
        <w:t xml:space="preserve"> (فضاء-أرض) و</w:t>
      </w:r>
      <w:r w:rsidRPr="00431196">
        <w:rPr>
          <w:rFonts w:eastAsia="SimSun"/>
        </w:rPr>
        <w:t>MHz 8 500</w:t>
      </w:r>
      <w:r w:rsidRPr="00431196">
        <w:rPr>
          <w:rFonts w:eastAsia="SimSun"/>
        </w:rPr>
        <w:noBreakHyphen/>
        <w:t>8 400</w:t>
      </w:r>
      <w:r w:rsidRPr="00431196">
        <w:rPr>
          <w:rFonts w:eastAsia="SimSun" w:hint="cs"/>
          <w:rtl/>
        </w:rPr>
        <w:t xml:space="preserve"> (أرض-فضاء) رهناً بشروط التقاسم المناسبة؛</w:t>
      </w:r>
    </w:p>
    <w:p w:rsidR="004C4C70" w:rsidRPr="00E00D3B" w:rsidRDefault="004C4C70" w:rsidP="004C4C70">
      <w:pPr>
        <w:rPr>
          <w:rtl/>
        </w:rPr>
      </w:pPr>
      <w:r w:rsidRPr="004C4C70">
        <w:rPr>
          <w:rFonts w:hint="cs"/>
          <w:b/>
          <w:bCs/>
          <w:rtl/>
          <w:lang w:bidi="ar-EG"/>
        </w:rPr>
        <w:t>القرار </w:t>
      </w:r>
      <w:r w:rsidRPr="004C4C70">
        <w:rPr>
          <w:b/>
          <w:bCs/>
          <w:lang w:bidi="ar-EG"/>
        </w:rPr>
        <w:t>758 (WRC</w:t>
      </w:r>
      <w:r w:rsidRPr="004C4C70">
        <w:rPr>
          <w:b/>
          <w:bCs/>
          <w:lang w:bidi="ar-EG"/>
        </w:rPr>
        <w:noBreakHyphen/>
        <w:t>12)</w:t>
      </w:r>
      <w:r w:rsidRPr="004C4C70">
        <w:rPr>
          <w:rFonts w:hint="cs"/>
          <w:b/>
          <w:bCs/>
          <w:rtl/>
          <w:lang w:bidi="ar-EG"/>
        </w:rPr>
        <w:t xml:space="preserve">: </w:t>
      </w:r>
      <w:r w:rsidRPr="00E00D3B">
        <w:rPr>
          <w:rFonts w:hint="cs"/>
          <w:rtl/>
        </w:rPr>
        <w:t>التوزيعات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للخدمة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الثابتة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الساتلية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والخدمة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المتنقلة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البحرية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الساتلية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في</w:t>
      </w:r>
      <w:r w:rsidRPr="00E00D3B">
        <w:rPr>
          <w:rtl/>
        </w:rPr>
        <w:t xml:space="preserve"> </w:t>
      </w:r>
      <w:r w:rsidRPr="00E00D3B">
        <w:rPr>
          <w:rFonts w:hint="cs"/>
          <w:rtl/>
        </w:rPr>
        <w:t>المدى</w:t>
      </w:r>
      <w:r w:rsidRPr="00E00D3B">
        <w:rPr>
          <w:rtl/>
        </w:rPr>
        <w:t xml:space="preserve"> </w:t>
      </w:r>
      <w:r w:rsidRPr="00E00D3B">
        <w:t>GHz 8/7</w:t>
      </w:r>
      <w:r>
        <w:rPr>
          <w:rFonts w:hint="cs"/>
          <w:rtl/>
        </w:rPr>
        <w:t>.</w:t>
      </w:r>
    </w:p>
    <w:p w:rsidR="004C4C70" w:rsidRDefault="004C4C70" w:rsidP="004C4C7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92181F" w:rsidRPr="00440448" w:rsidRDefault="0092181F" w:rsidP="00B91AA2">
      <w:pPr>
        <w:rPr>
          <w:spacing w:val="-2"/>
          <w:lang w:bidi="ar-SY"/>
        </w:rPr>
      </w:pPr>
      <w:r w:rsidRPr="00440448">
        <w:rPr>
          <w:rFonts w:hint="cs"/>
          <w:spacing w:val="-2"/>
          <w:rtl/>
        </w:rPr>
        <w:t>في</w:t>
      </w:r>
      <w:r w:rsidRPr="00440448">
        <w:rPr>
          <w:rFonts w:hint="eastAsia"/>
          <w:spacing w:val="-2"/>
          <w:rtl/>
        </w:rPr>
        <w:t> </w:t>
      </w:r>
      <w:r w:rsidRPr="00440448">
        <w:rPr>
          <w:rFonts w:hint="cs"/>
          <w:spacing w:val="-2"/>
          <w:rtl/>
        </w:rPr>
        <w:t xml:space="preserve">الوقت الحالي، هناك توزيع على الصعيد العالمي </w:t>
      </w:r>
      <w:r w:rsidR="00B91AA2" w:rsidRPr="00440448">
        <w:rPr>
          <w:rFonts w:hint="cs"/>
          <w:spacing w:val="-2"/>
          <w:rtl/>
        </w:rPr>
        <w:t>ل</w:t>
      </w:r>
      <w:r w:rsidRPr="00440448">
        <w:rPr>
          <w:rFonts w:hint="cs"/>
          <w:spacing w:val="-2"/>
          <w:rtl/>
        </w:rPr>
        <w:t xml:space="preserve">لخدمة </w:t>
      </w:r>
      <w:r w:rsidR="00B91AA2" w:rsidRPr="00440448">
        <w:rPr>
          <w:rFonts w:hint="cs"/>
          <w:spacing w:val="-2"/>
          <w:rtl/>
        </w:rPr>
        <w:t xml:space="preserve">الثابتة الساتلية </w:t>
      </w:r>
      <w:r w:rsidRPr="00440448">
        <w:rPr>
          <w:rFonts w:hint="cs"/>
          <w:spacing w:val="-2"/>
          <w:rtl/>
        </w:rPr>
        <w:t xml:space="preserve">في النطاقين </w:t>
      </w:r>
      <w:r w:rsidRPr="00440448">
        <w:rPr>
          <w:spacing w:val="-2"/>
        </w:rPr>
        <w:t>MHz 7 750</w:t>
      </w:r>
      <w:r w:rsidRPr="00440448">
        <w:rPr>
          <w:spacing w:val="-2"/>
        </w:rPr>
        <w:noBreakHyphen/>
        <w:t>7 250</w:t>
      </w:r>
      <w:r w:rsidRPr="00440448">
        <w:rPr>
          <w:rFonts w:hint="cs"/>
          <w:spacing w:val="-2"/>
          <w:rtl/>
        </w:rPr>
        <w:t xml:space="preserve"> (فضاء-أرض) و</w:t>
      </w:r>
      <w:r w:rsidRPr="00440448">
        <w:rPr>
          <w:spacing w:val="-2"/>
        </w:rPr>
        <w:t>MHz 8 400</w:t>
      </w:r>
      <w:r w:rsidRPr="00440448">
        <w:rPr>
          <w:spacing w:val="-2"/>
        </w:rPr>
        <w:noBreakHyphen/>
        <w:t>7 900</w:t>
      </w:r>
      <w:r w:rsidRPr="00440448">
        <w:rPr>
          <w:rFonts w:hint="cs"/>
          <w:spacing w:val="-2"/>
          <w:rtl/>
        </w:rPr>
        <w:t xml:space="preserve"> (أرض-فضاء) ويتناول البند </w:t>
      </w:r>
      <w:r w:rsidRPr="00440448">
        <w:rPr>
          <w:spacing w:val="-2"/>
        </w:rPr>
        <w:t>1.9.1</w:t>
      </w:r>
      <w:r w:rsidRPr="00440448">
        <w:rPr>
          <w:rFonts w:hint="cs"/>
          <w:spacing w:val="-2"/>
          <w:rtl/>
        </w:rPr>
        <w:t xml:space="preserve"> من جدول أعمال المؤتمر </w:t>
      </w:r>
      <w:r w:rsidRPr="00440448">
        <w:rPr>
          <w:spacing w:val="-2"/>
          <w:lang w:bidi="ar-SY"/>
        </w:rPr>
        <w:t>WRC</w:t>
      </w:r>
      <w:r w:rsidRPr="00440448">
        <w:rPr>
          <w:spacing w:val="-2"/>
          <w:lang w:bidi="ar-SY"/>
        </w:rPr>
        <w:noBreakHyphen/>
        <w:t>15</w:t>
      </w:r>
      <w:r w:rsidRPr="00440448">
        <w:rPr>
          <w:rFonts w:hint="cs"/>
          <w:spacing w:val="-2"/>
          <w:rtl/>
        </w:rPr>
        <w:t xml:space="preserve"> إمكانية توسيع النطاقات الحالية للخدمة</w:t>
      </w:r>
      <w:r w:rsidRPr="00440448">
        <w:rPr>
          <w:rFonts w:hint="eastAsia"/>
          <w:spacing w:val="-2"/>
          <w:rtl/>
        </w:rPr>
        <w:t> </w:t>
      </w:r>
      <w:r w:rsidR="00B91AA2" w:rsidRPr="00440448">
        <w:rPr>
          <w:rFonts w:hint="cs"/>
          <w:spacing w:val="-2"/>
          <w:rtl/>
        </w:rPr>
        <w:t xml:space="preserve">الثابتة الساتلية </w:t>
      </w:r>
      <w:r w:rsidRPr="00440448">
        <w:rPr>
          <w:rFonts w:hint="cs"/>
          <w:spacing w:val="-2"/>
          <w:rtl/>
        </w:rPr>
        <w:t xml:space="preserve">طبقاً للقرار </w:t>
      </w:r>
      <w:r w:rsidRPr="00440448">
        <w:rPr>
          <w:spacing w:val="-2"/>
          <w:lang w:bidi="ar-SY"/>
        </w:rPr>
        <w:t>758 (WRC</w:t>
      </w:r>
      <w:r w:rsidRPr="00440448">
        <w:rPr>
          <w:spacing w:val="-2"/>
          <w:lang w:bidi="ar-SY"/>
        </w:rPr>
        <w:noBreakHyphen/>
        <w:t>12)</w:t>
      </w:r>
      <w:r w:rsidRPr="00440448">
        <w:rPr>
          <w:rFonts w:hint="cs"/>
          <w:spacing w:val="-2"/>
          <w:rtl/>
        </w:rPr>
        <w:t xml:space="preserve"> ل</w:t>
      </w:r>
      <w:r w:rsidR="00B91AA2" w:rsidRPr="00440448">
        <w:rPr>
          <w:rFonts w:hint="cs"/>
          <w:spacing w:val="-2"/>
          <w:rtl/>
        </w:rPr>
        <w:t>تشمل ا</w:t>
      </w:r>
      <w:r w:rsidRPr="00440448">
        <w:rPr>
          <w:rFonts w:hint="cs"/>
          <w:spacing w:val="-2"/>
          <w:rtl/>
        </w:rPr>
        <w:t xml:space="preserve">لنطاقين </w:t>
      </w:r>
      <w:r w:rsidRPr="00440448">
        <w:rPr>
          <w:spacing w:val="-2"/>
        </w:rPr>
        <w:t>MHz 7 250</w:t>
      </w:r>
      <w:r w:rsidRPr="00440448">
        <w:rPr>
          <w:spacing w:val="-2"/>
        </w:rPr>
        <w:noBreakHyphen/>
        <w:t>7 150</w:t>
      </w:r>
      <w:r w:rsidRPr="00440448">
        <w:rPr>
          <w:rFonts w:hint="cs"/>
          <w:spacing w:val="-2"/>
          <w:rtl/>
        </w:rPr>
        <w:t xml:space="preserve"> (فضاء-أرض) و</w:t>
      </w:r>
      <w:r w:rsidRPr="00440448">
        <w:rPr>
          <w:spacing w:val="-2"/>
        </w:rPr>
        <w:t>MHz 8 500</w:t>
      </w:r>
      <w:r w:rsidRPr="00440448">
        <w:rPr>
          <w:spacing w:val="-2"/>
        </w:rPr>
        <w:noBreakHyphen/>
        <w:t>8 400</w:t>
      </w:r>
      <w:r w:rsidRPr="00440448">
        <w:rPr>
          <w:rFonts w:hint="cs"/>
          <w:spacing w:val="-2"/>
          <w:rtl/>
        </w:rPr>
        <w:t xml:space="preserve"> (أرض-فضاء).</w:t>
      </w:r>
    </w:p>
    <w:p w:rsidR="00D07092" w:rsidRPr="00493052" w:rsidRDefault="0092181F" w:rsidP="00073889">
      <w:pPr>
        <w:rPr>
          <w:spacing w:val="2"/>
          <w:rtl/>
        </w:rPr>
      </w:pPr>
      <w:r w:rsidRPr="00B91AA2">
        <w:rPr>
          <w:rFonts w:hint="cs"/>
          <w:spacing w:val="2"/>
          <w:rtl/>
        </w:rPr>
        <w:t xml:space="preserve">وفي الوقت الحالي، </w:t>
      </w:r>
      <w:r w:rsidR="00B91AA2">
        <w:rPr>
          <w:rFonts w:hint="cs"/>
          <w:spacing w:val="2"/>
          <w:rtl/>
        </w:rPr>
        <w:t>يوزع</w:t>
      </w:r>
      <w:r w:rsidRPr="00B91AA2">
        <w:rPr>
          <w:rFonts w:hint="cs"/>
          <w:spacing w:val="2"/>
          <w:rtl/>
        </w:rPr>
        <w:t xml:space="preserve"> النطاق </w:t>
      </w:r>
      <w:r w:rsidRPr="00B91AA2">
        <w:rPr>
          <w:spacing w:val="2"/>
        </w:rPr>
        <w:t>MHz 7 235</w:t>
      </w:r>
      <w:r w:rsidRPr="00B91AA2">
        <w:rPr>
          <w:spacing w:val="2"/>
        </w:rPr>
        <w:noBreakHyphen/>
        <w:t>7 150</w:t>
      </w:r>
      <w:r w:rsidRPr="00B91AA2">
        <w:rPr>
          <w:rFonts w:hint="cs"/>
          <w:spacing w:val="2"/>
          <w:rtl/>
        </w:rPr>
        <w:t xml:space="preserve"> على أساس أولي للخدمة الثابتة </w:t>
      </w:r>
      <w:r w:rsidRPr="00B91AA2">
        <w:rPr>
          <w:spacing w:val="2"/>
        </w:rPr>
        <w:t>(</w:t>
      </w:r>
      <w:r w:rsidRPr="00B91AA2">
        <w:rPr>
          <w:spacing w:val="2"/>
          <w:lang w:bidi="ar-SY"/>
        </w:rPr>
        <w:t>FS)</w:t>
      </w:r>
      <w:r w:rsidRPr="00B91AA2">
        <w:rPr>
          <w:rFonts w:hint="cs"/>
          <w:spacing w:val="2"/>
          <w:rtl/>
        </w:rPr>
        <w:t xml:space="preserve"> والخدمة المتنقلة</w:t>
      </w:r>
      <w:r w:rsidRPr="00B91AA2">
        <w:rPr>
          <w:rFonts w:hint="eastAsia"/>
          <w:spacing w:val="2"/>
          <w:rtl/>
        </w:rPr>
        <w:t> </w:t>
      </w:r>
      <w:r w:rsidRPr="00B91AA2">
        <w:rPr>
          <w:spacing w:val="2"/>
        </w:rPr>
        <w:t>(</w:t>
      </w:r>
      <w:r w:rsidRPr="00B91AA2">
        <w:rPr>
          <w:spacing w:val="2"/>
          <w:lang w:bidi="ar-SY"/>
        </w:rPr>
        <w:t>MS</w:t>
      </w:r>
      <w:r w:rsidRPr="00B91AA2">
        <w:rPr>
          <w:spacing w:val="2"/>
        </w:rPr>
        <w:t>)</w:t>
      </w:r>
      <w:r w:rsidRPr="00B91AA2">
        <w:rPr>
          <w:rFonts w:hint="cs"/>
          <w:spacing w:val="2"/>
          <w:rtl/>
        </w:rPr>
        <w:t xml:space="preserve"> وخدمة</w:t>
      </w:r>
      <w:r w:rsidRPr="00B91AA2">
        <w:rPr>
          <w:rFonts w:hint="eastAsia"/>
          <w:spacing w:val="2"/>
          <w:rtl/>
        </w:rPr>
        <w:t> </w:t>
      </w:r>
      <w:r w:rsidR="00B91AA2">
        <w:rPr>
          <w:rFonts w:hint="cs"/>
          <w:spacing w:val="2"/>
          <w:rtl/>
          <w:lang w:bidi="ar-SY"/>
        </w:rPr>
        <w:t>العمليات الفضائية</w:t>
      </w:r>
      <w:r w:rsidR="00A27283">
        <w:rPr>
          <w:rFonts w:hint="cs"/>
          <w:spacing w:val="2"/>
          <w:rtl/>
          <w:lang w:bidi="ar-SY"/>
        </w:rPr>
        <w:t xml:space="preserve"> (</w:t>
      </w:r>
      <w:r w:rsidR="00A27283" w:rsidRPr="00FB5501">
        <w:rPr>
          <w:szCs w:val="24"/>
        </w:rPr>
        <w:t>SOS</w:t>
      </w:r>
      <w:r w:rsidR="00A27283">
        <w:rPr>
          <w:rFonts w:hint="cs"/>
          <w:szCs w:val="24"/>
          <w:rtl/>
        </w:rPr>
        <w:t>)</w:t>
      </w:r>
      <w:r w:rsidRPr="00B91AA2">
        <w:rPr>
          <w:rFonts w:hint="cs"/>
          <w:spacing w:val="2"/>
          <w:rtl/>
        </w:rPr>
        <w:t xml:space="preserve"> (أرض-فضاء) وخدمة </w:t>
      </w:r>
      <w:r w:rsidR="00B91AA2">
        <w:rPr>
          <w:rFonts w:hint="cs"/>
          <w:spacing w:val="2"/>
          <w:rtl/>
          <w:lang w:bidi="ar-SY"/>
        </w:rPr>
        <w:t>الأبحاث الفضائية</w:t>
      </w:r>
      <w:r w:rsidR="00A27283">
        <w:rPr>
          <w:rFonts w:hint="cs"/>
          <w:spacing w:val="2"/>
          <w:rtl/>
          <w:lang w:bidi="ar-SY"/>
        </w:rPr>
        <w:t xml:space="preserve"> (</w:t>
      </w:r>
      <w:r w:rsidR="00A27283" w:rsidRPr="00FB5501">
        <w:rPr>
          <w:szCs w:val="24"/>
        </w:rPr>
        <w:t>SRS</w:t>
      </w:r>
      <w:r w:rsidR="00A27283">
        <w:rPr>
          <w:rFonts w:hint="cs"/>
          <w:szCs w:val="24"/>
          <w:rtl/>
        </w:rPr>
        <w:t>)</w:t>
      </w:r>
      <w:r w:rsidRPr="00B91AA2">
        <w:rPr>
          <w:rFonts w:hint="cs"/>
          <w:spacing w:val="2"/>
          <w:rtl/>
        </w:rPr>
        <w:t xml:space="preserve"> (أرض-فضاء) بينما </w:t>
      </w:r>
      <w:r w:rsidR="00B91AA2">
        <w:rPr>
          <w:rFonts w:hint="cs"/>
          <w:spacing w:val="2"/>
          <w:rtl/>
        </w:rPr>
        <w:t>يوزع</w:t>
      </w:r>
      <w:r w:rsidRPr="00B91AA2">
        <w:rPr>
          <w:rFonts w:hint="cs"/>
          <w:spacing w:val="2"/>
          <w:rtl/>
        </w:rPr>
        <w:t xml:space="preserve"> النطاق </w:t>
      </w:r>
      <w:r w:rsidRPr="00B91AA2">
        <w:rPr>
          <w:spacing w:val="2"/>
        </w:rPr>
        <w:lastRenderedPageBreak/>
        <w:t>MHz 7 250</w:t>
      </w:r>
      <w:r w:rsidRPr="00B91AA2">
        <w:rPr>
          <w:spacing w:val="2"/>
        </w:rPr>
        <w:noBreakHyphen/>
        <w:t>7 235</w:t>
      </w:r>
      <w:r w:rsidRPr="00B91AA2">
        <w:rPr>
          <w:rFonts w:hint="cs"/>
          <w:spacing w:val="2"/>
          <w:rtl/>
        </w:rPr>
        <w:t xml:space="preserve"> </w:t>
      </w:r>
      <w:r w:rsidR="00B91AA2">
        <w:rPr>
          <w:rFonts w:hint="cs"/>
          <w:spacing w:val="2"/>
          <w:rtl/>
        </w:rPr>
        <w:t xml:space="preserve">على أساس أولي للخدمتين </w:t>
      </w:r>
      <w:r w:rsidR="00A27283" w:rsidRPr="00B91AA2">
        <w:rPr>
          <w:spacing w:val="2"/>
          <w:lang w:bidi="ar-SY"/>
        </w:rPr>
        <w:t>FS</w:t>
      </w:r>
      <w:r w:rsidR="00B91AA2">
        <w:rPr>
          <w:rFonts w:hint="cs"/>
          <w:spacing w:val="2"/>
          <w:rtl/>
        </w:rPr>
        <w:t xml:space="preserve"> و</w:t>
      </w:r>
      <w:r w:rsidR="00A27283" w:rsidRPr="00B91AA2">
        <w:rPr>
          <w:spacing w:val="2"/>
          <w:lang w:bidi="ar-SY"/>
        </w:rPr>
        <w:t>MS</w:t>
      </w:r>
      <w:r w:rsidRPr="00B91AA2">
        <w:rPr>
          <w:rFonts w:hint="cs"/>
          <w:spacing w:val="2"/>
          <w:rtl/>
        </w:rPr>
        <w:t xml:space="preserve"> فقط. وبالمثل، </w:t>
      </w:r>
      <w:r w:rsidR="00B91AA2">
        <w:rPr>
          <w:rFonts w:hint="cs"/>
          <w:spacing w:val="2"/>
          <w:rtl/>
        </w:rPr>
        <w:t xml:space="preserve">يوزع </w:t>
      </w:r>
      <w:r w:rsidRPr="00B91AA2">
        <w:rPr>
          <w:rFonts w:hint="cs"/>
          <w:spacing w:val="2"/>
          <w:rtl/>
        </w:rPr>
        <w:t xml:space="preserve">النطاق </w:t>
      </w:r>
      <w:r w:rsidRPr="00B91AA2">
        <w:rPr>
          <w:spacing w:val="2"/>
        </w:rPr>
        <w:t>MHz 8 500</w:t>
      </w:r>
      <w:r w:rsidRPr="00B91AA2">
        <w:rPr>
          <w:spacing w:val="2"/>
        </w:rPr>
        <w:noBreakHyphen/>
        <w:t>8 400</w:t>
      </w:r>
      <w:r w:rsidR="00B91AA2">
        <w:rPr>
          <w:rFonts w:hint="cs"/>
          <w:spacing w:val="2"/>
          <w:rtl/>
        </w:rPr>
        <w:t xml:space="preserve"> على أساس أولي للخدمتين </w:t>
      </w:r>
      <w:r w:rsidR="00A27283" w:rsidRPr="00B91AA2">
        <w:rPr>
          <w:spacing w:val="2"/>
          <w:lang w:bidi="ar-SY"/>
        </w:rPr>
        <w:t>FS</w:t>
      </w:r>
      <w:r w:rsidR="00A27283">
        <w:rPr>
          <w:rFonts w:hint="cs"/>
          <w:spacing w:val="2"/>
          <w:rtl/>
        </w:rPr>
        <w:t xml:space="preserve"> و</w:t>
      </w:r>
      <w:r w:rsidR="00A27283" w:rsidRPr="00A27283">
        <w:rPr>
          <w:spacing w:val="2"/>
          <w:lang w:bidi="ar-SY"/>
        </w:rPr>
        <w:t xml:space="preserve"> </w:t>
      </w:r>
      <w:r w:rsidR="00A27283" w:rsidRPr="00B91AA2">
        <w:rPr>
          <w:spacing w:val="2"/>
          <w:lang w:bidi="ar-SY"/>
        </w:rPr>
        <w:t>MS</w:t>
      </w:r>
      <w:r w:rsidR="00A27283" w:rsidRPr="00B91AA2">
        <w:rPr>
          <w:rFonts w:hint="cs"/>
          <w:spacing w:val="2"/>
          <w:rtl/>
        </w:rPr>
        <w:t xml:space="preserve"> </w:t>
      </w:r>
      <w:r w:rsidR="00A27283">
        <w:rPr>
          <w:rFonts w:hint="cs"/>
          <w:spacing w:val="2"/>
          <w:rtl/>
        </w:rPr>
        <w:t xml:space="preserve"> </w:t>
      </w:r>
      <w:r w:rsidR="00B91AA2">
        <w:rPr>
          <w:rFonts w:hint="cs"/>
          <w:spacing w:val="2"/>
          <w:rtl/>
        </w:rPr>
        <w:t>(باستثناء الطيران) و</w:t>
      </w:r>
      <w:r w:rsidR="00A27283">
        <w:rPr>
          <w:rFonts w:hint="cs"/>
          <w:spacing w:val="2"/>
          <w:rtl/>
        </w:rPr>
        <w:t>ال</w:t>
      </w:r>
      <w:r w:rsidR="00B91AA2">
        <w:rPr>
          <w:rFonts w:hint="cs"/>
          <w:spacing w:val="2"/>
          <w:rtl/>
        </w:rPr>
        <w:t>خ</w:t>
      </w:r>
      <w:r w:rsidRPr="00B91AA2">
        <w:rPr>
          <w:rFonts w:hint="cs"/>
          <w:spacing w:val="2"/>
          <w:rtl/>
        </w:rPr>
        <w:t>دمة</w:t>
      </w:r>
      <w:r w:rsidRPr="00B91AA2">
        <w:rPr>
          <w:rFonts w:hint="eastAsia"/>
          <w:spacing w:val="2"/>
          <w:rtl/>
        </w:rPr>
        <w:t> </w:t>
      </w:r>
      <w:r w:rsidR="00A27283" w:rsidRPr="00FB5501">
        <w:rPr>
          <w:szCs w:val="24"/>
        </w:rPr>
        <w:t>SRS</w:t>
      </w:r>
      <w:r w:rsidR="00A27283" w:rsidRPr="00B91AA2">
        <w:rPr>
          <w:rFonts w:hint="cs"/>
          <w:spacing w:val="2"/>
          <w:rtl/>
        </w:rPr>
        <w:t xml:space="preserve"> </w:t>
      </w:r>
      <w:r w:rsidRPr="00B91AA2">
        <w:rPr>
          <w:rFonts w:hint="cs"/>
          <w:spacing w:val="2"/>
          <w:rtl/>
        </w:rPr>
        <w:t>(فضاء-أرض).</w:t>
      </w:r>
    </w:p>
    <w:p w:rsidR="0092181F" w:rsidRPr="00493052" w:rsidRDefault="0092181F" w:rsidP="0092181F">
      <w:pPr>
        <w:rPr>
          <w:lang w:bidi="ar-SY"/>
        </w:rPr>
      </w:pPr>
      <w:r w:rsidRPr="00493052">
        <w:rPr>
          <w:rFonts w:hint="cs"/>
          <w:rtl/>
        </w:rPr>
        <w:t xml:space="preserve">بالإضافة إلى ذلك، يدعو البند </w:t>
      </w:r>
      <w:r w:rsidRPr="00493052">
        <w:rPr>
          <w:lang w:bidi="ar-SY"/>
        </w:rPr>
        <w:t>11.1</w:t>
      </w:r>
      <w:r w:rsidRPr="00493052">
        <w:rPr>
          <w:rFonts w:hint="cs"/>
          <w:rtl/>
        </w:rPr>
        <w:t xml:space="preserve"> من جدول أعمال المؤتمر </w:t>
      </w:r>
      <w:r w:rsidRPr="00493052">
        <w:rPr>
          <w:lang w:bidi="ar-SY"/>
        </w:rPr>
        <w:t>WRC</w:t>
      </w:r>
      <w:r w:rsidRPr="00493052">
        <w:rPr>
          <w:lang w:bidi="ar-SY"/>
        </w:rPr>
        <w:noBreakHyphen/>
        <w:t>15</w:t>
      </w:r>
      <w:r w:rsidRPr="00493052">
        <w:rPr>
          <w:rFonts w:hint="cs"/>
          <w:rtl/>
        </w:rPr>
        <w:t xml:space="preserve">، قطاع الاتصالات الراديوية إلى إجراء دراسات توافق بين خدمة استكشاف الأرض الساتلية </w:t>
      </w:r>
      <w:r w:rsidRPr="00493052">
        <w:t>(</w:t>
      </w:r>
      <w:r w:rsidRPr="00493052">
        <w:rPr>
          <w:lang w:bidi="ar-SY"/>
        </w:rPr>
        <w:t>EESS</w:t>
      </w:r>
      <w:r w:rsidRPr="00493052">
        <w:t>)</w:t>
      </w:r>
      <w:r w:rsidRPr="00493052">
        <w:rPr>
          <w:rFonts w:hint="cs"/>
          <w:rtl/>
        </w:rPr>
        <w:t xml:space="preserve"> (أرض-فضاء) والخدمات الحالية في المدى </w:t>
      </w:r>
      <w:r w:rsidRPr="00493052">
        <w:rPr>
          <w:lang w:bidi="ar-SY"/>
        </w:rPr>
        <w:t>GHz 8</w:t>
      </w:r>
      <w:r w:rsidRPr="00493052">
        <w:rPr>
          <w:lang w:bidi="ar-SY"/>
        </w:rPr>
        <w:noBreakHyphen/>
        <w:t>7</w:t>
      </w:r>
      <w:r w:rsidRPr="00493052">
        <w:rPr>
          <w:rFonts w:hint="cs"/>
          <w:rtl/>
        </w:rPr>
        <w:t>، على أن تكون الأولوية للنطاق</w:t>
      </w:r>
      <w:r w:rsidRPr="00493052">
        <w:rPr>
          <w:rFonts w:hint="eastAsia"/>
          <w:rtl/>
        </w:rPr>
        <w:t> </w:t>
      </w:r>
      <w:r w:rsidRPr="00493052">
        <w:t>MHz 7 235</w:t>
      </w:r>
      <w:r w:rsidRPr="00493052">
        <w:noBreakHyphen/>
        <w:t>7 145</w:t>
      </w:r>
      <w:r w:rsidRPr="00493052">
        <w:rPr>
          <w:rFonts w:hint="cs"/>
          <w:rtl/>
        </w:rPr>
        <w:t xml:space="preserve">، بهدف الحصول على توزيع على أساس أولي للخدمة </w:t>
      </w:r>
      <w:r w:rsidRPr="00493052">
        <w:rPr>
          <w:lang w:bidi="ar-SY"/>
        </w:rPr>
        <w:t>EESS</w:t>
      </w:r>
      <w:r w:rsidRPr="00493052">
        <w:rPr>
          <w:rFonts w:hint="cs"/>
          <w:rtl/>
        </w:rPr>
        <w:t xml:space="preserve"> (أرض-فضاء) بغية استكمال عمليات القياس عن بُعد للخدمة </w:t>
      </w:r>
      <w:r w:rsidRPr="00493052">
        <w:rPr>
          <w:lang w:bidi="ar-SY"/>
        </w:rPr>
        <w:t>EESS</w:t>
      </w:r>
      <w:r w:rsidRPr="00493052">
        <w:rPr>
          <w:rFonts w:hint="cs"/>
          <w:rtl/>
        </w:rPr>
        <w:t xml:space="preserve"> (فضاء-أرض) في النطاق </w:t>
      </w:r>
      <w:r w:rsidRPr="00493052">
        <w:t>MHz 8 400</w:t>
      </w:r>
      <w:r w:rsidRPr="00493052">
        <w:noBreakHyphen/>
        <w:t>8 025</w:t>
      </w:r>
      <w:r w:rsidRPr="00493052">
        <w:rPr>
          <w:rFonts w:hint="cs"/>
          <w:rtl/>
        </w:rPr>
        <w:t>.</w:t>
      </w:r>
    </w:p>
    <w:p w:rsidR="004C4C70" w:rsidRPr="005C3615" w:rsidRDefault="005C3615" w:rsidP="005C3615">
      <w:pPr>
        <w:pStyle w:val="Headingb"/>
        <w:rPr>
          <w:rtl/>
        </w:rPr>
      </w:pPr>
      <w:r>
        <w:rPr>
          <w:rFonts w:hint="cs"/>
          <w:rtl/>
        </w:rPr>
        <w:t xml:space="preserve">ملخص مقترحات الاتحاد الإنمائي لإفريقيا الجنوبية </w:t>
      </w:r>
    </w:p>
    <w:p w:rsidR="00D07092" w:rsidRDefault="005C3615" w:rsidP="005C3615">
      <w:r>
        <w:rPr>
          <w:rFonts w:hint="cs"/>
          <w:rtl/>
        </w:rPr>
        <w:t>لا تؤيد الدول الأعضاء في الاتحاد الإنمائي لإفريقيا الجنوبية</w:t>
      </w:r>
      <w:r w:rsidR="0092181F" w:rsidRPr="005C3615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الواردة أسماؤها أعلاه </w:t>
      </w:r>
      <w:r w:rsidR="0092181F" w:rsidRPr="005C3615">
        <w:rPr>
          <w:rFonts w:hint="cs"/>
          <w:rtl/>
        </w:rPr>
        <w:t xml:space="preserve">منح توزيعات جديدة للخدمة الثابتة الساتلية في نطاقي الترددات </w:t>
      </w:r>
      <w:r w:rsidR="0092181F" w:rsidRPr="005C3615">
        <w:t>MHz 7 250</w:t>
      </w:r>
      <w:r w:rsidR="0092181F" w:rsidRPr="005C3615">
        <w:noBreakHyphen/>
        <w:t>7 150</w:t>
      </w:r>
      <w:r w:rsidR="0092181F" w:rsidRPr="005C3615">
        <w:rPr>
          <w:rFonts w:hint="cs"/>
          <w:rtl/>
        </w:rPr>
        <w:t xml:space="preserve"> (فضاء-أرض) و</w:t>
      </w:r>
      <w:r w:rsidR="0092181F" w:rsidRPr="005C3615">
        <w:t>MHz 8 500</w:t>
      </w:r>
      <w:r w:rsidR="0092181F" w:rsidRPr="005C3615">
        <w:noBreakHyphen/>
        <w:t>8 400</w:t>
      </w:r>
      <w:r w:rsidR="0092181F" w:rsidRPr="005C3615">
        <w:rPr>
          <w:rFonts w:hint="cs"/>
          <w:rtl/>
        </w:rPr>
        <w:t xml:space="preserve"> (أرض-فضاء)</w:t>
      </w:r>
      <w:r>
        <w:rPr>
          <w:rFonts w:hint="cs"/>
          <w:rtl/>
        </w:rPr>
        <w:t>.</w:t>
      </w:r>
    </w:p>
    <w:p w:rsidR="0092181F" w:rsidRDefault="0092181F" w:rsidP="004C6199">
      <w:pPr>
        <w:rPr>
          <w:b/>
          <w:bCs/>
          <w:rtl/>
          <w:lang w:bidi="ar-EG"/>
        </w:rPr>
      </w:pPr>
      <w:r w:rsidRPr="00440448">
        <w:rPr>
          <w:rFonts w:hint="cs"/>
          <w:b/>
          <w:bCs/>
          <w:rtl/>
          <w:lang w:bidi="ar-EG"/>
        </w:rPr>
        <w:t>الأسباب</w:t>
      </w:r>
      <w:r w:rsidRPr="0092181F">
        <w:rPr>
          <w:rFonts w:hint="cs"/>
          <w:rtl/>
          <w:lang w:bidi="ar-EG"/>
        </w:rPr>
        <w:t>:</w:t>
      </w:r>
      <w:r w:rsidRPr="0092181F">
        <w:rPr>
          <w:rFonts w:hint="cs"/>
          <w:rtl/>
          <w:lang w:bidi="ar-EG"/>
        </w:rPr>
        <w:tab/>
      </w:r>
      <w:r w:rsidR="005C3615" w:rsidRPr="005C3615">
        <w:rPr>
          <w:rFonts w:hint="cs"/>
          <w:rtl/>
          <w:lang w:bidi="ar-EG"/>
        </w:rPr>
        <w:t>ي</w:t>
      </w:r>
      <w:r w:rsidR="00A27283">
        <w:rPr>
          <w:rFonts w:hint="cs"/>
          <w:rtl/>
          <w:lang w:bidi="ar-EG"/>
        </w:rPr>
        <w:t>ُ</w:t>
      </w:r>
      <w:r w:rsidR="005C3615" w:rsidRPr="005C3615">
        <w:rPr>
          <w:rFonts w:hint="cs"/>
          <w:rtl/>
          <w:lang w:bidi="ar-EG"/>
        </w:rPr>
        <w:t xml:space="preserve">ستعمل النطاق </w:t>
      </w:r>
      <w:bookmarkStart w:id="1" w:name="_GoBack"/>
      <w:bookmarkEnd w:id="1"/>
      <w:r w:rsidR="005C3615" w:rsidRPr="005C3615">
        <w:rPr>
          <w:lang w:bidi="ar-SY"/>
        </w:rPr>
        <w:t>GHz</w:t>
      </w:r>
      <w:r w:rsidR="004C6199">
        <w:rPr>
          <w:lang w:bidi="ar-SY"/>
        </w:rPr>
        <w:t> 8/7</w:t>
      </w:r>
      <w:r w:rsidR="005C3615">
        <w:rPr>
          <w:rFonts w:hint="cs"/>
          <w:rtl/>
          <w:lang w:bidi="ar-SY"/>
        </w:rPr>
        <w:t xml:space="preserve"> استعمالاً مكثفاً </w:t>
      </w:r>
      <w:r w:rsidR="00945A9D">
        <w:rPr>
          <w:rFonts w:hint="cs"/>
          <w:rtl/>
          <w:lang w:bidi="ar-SY"/>
        </w:rPr>
        <w:t xml:space="preserve">للوصلات التوصيلية والأساسية للموجات الصغرية. </w:t>
      </w:r>
      <w:r w:rsidR="000D128B">
        <w:rPr>
          <w:rFonts w:hint="cs"/>
          <w:rtl/>
          <w:lang w:bidi="ar-SY"/>
        </w:rPr>
        <w:t>ويتعين حماية الاستثمار على الأرض. وينبغي حماية الشبكات المتنقلة من مصادر التداخلات التي يحتمل أن تتعرض لها التوزيعات المقترحة أو</w:t>
      </w:r>
      <w:r w:rsidR="00073889">
        <w:rPr>
          <w:rFonts w:hint="eastAsia"/>
          <w:b/>
          <w:bCs/>
          <w:lang w:bidi="ar-SY"/>
        </w:rPr>
        <w:t> </w:t>
      </w:r>
      <w:r w:rsidR="000D128B">
        <w:rPr>
          <w:rFonts w:hint="cs"/>
          <w:rtl/>
          <w:lang w:bidi="ar-SY"/>
        </w:rPr>
        <w:t xml:space="preserve">تنجم عنها. وتقترح الدول الأعضاء في الاتحاد الإنمائي لإفريقيا الجنوبية عدم إدخال أيّ تغيير على لوائح الراديو. </w:t>
      </w:r>
    </w:p>
    <w:p w:rsidR="0092181F" w:rsidRDefault="0092181F" w:rsidP="0092181F">
      <w:pPr>
        <w:pStyle w:val="Headingb"/>
      </w:pPr>
      <w:r>
        <w:rPr>
          <w:rFonts w:hint="cs"/>
          <w:rtl/>
        </w:rPr>
        <w:t>المقترحات</w:t>
      </w:r>
    </w:p>
    <w:p w:rsidR="006176E8" w:rsidRPr="000235F5" w:rsidRDefault="00D07092">
      <w:pPr>
        <w:pStyle w:val="Proposal"/>
        <w:rPr>
          <w:spacing w:val="-12"/>
        </w:rPr>
      </w:pPr>
      <w:r w:rsidRPr="000235F5">
        <w:rPr>
          <w:spacing w:val="-12"/>
        </w:rPr>
        <w:t>SUP</w:t>
      </w:r>
      <w:r w:rsidRPr="000235F5">
        <w:rPr>
          <w:spacing w:val="-12"/>
        </w:rPr>
        <w:tab/>
        <w:t>AGL/BOT/LSO/MDG/MWI/MAU/MOZ/NMB/COD/SEY/AFS/SWZ/TZA/ZMB/ZWE/130A9A1/1</w:t>
      </w:r>
    </w:p>
    <w:p w:rsidR="00D053B6" w:rsidRPr="00F555FE" w:rsidRDefault="00D07092" w:rsidP="00D053B6">
      <w:pPr>
        <w:pStyle w:val="ResNo"/>
        <w:tabs>
          <w:tab w:val="left" w:pos="782"/>
          <w:tab w:val="center" w:pos="4819"/>
        </w:tabs>
        <w:spacing w:line="185" w:lineRule="auto"/>
        <w:rPr>
          <w:rtl/>
        </w:rPr>
      </w:pPr>
      <w:bookmarkStart w:id="2" w:name="_Toc327956783"/>
      <w:r w:rsidRPr="00F555FE">
        <w:rPr>
          <w:rFonts w:hint="cs"/>
          <w:rtl/>
        </w:rPr>
        <w:t xml:space="preserve">القـرار </w:t>
      </w:r>
      <w:r w:rsidRPr="00A21FE4">
        <w:t>758</w:t>
      </w:r>
      <w:r w:rsidRPr="00F555FE">
        <w:t xml:space="preserve"> (WRC</w:t>
      </w:r>
      <w:r w:rsidRPr="00F555FE">
        <w:noBreakHyphen/>
        <w:t>12)</w:t>
      </w:r>
      <w:bookmarkEnd w:id="2"/>
    </w:p>
    <w:p w:rsidR="00D053B6" w:rsidRDefault="00D07092" w:rsidP="00332847">
      <w:pPr>
        <w:pStyle w:val="Restitle"/>
        <w:spacing w:line="185" w:lineRule="auto"/>
        <w:rPr>
          <w:rtl/>
        </w:rPr>
      </w:pPr>
      <w:bookmarkStart w:id="3" w:name="_Toc327956784"/>
      <w:r>
        <w:rPr>
          <w:rFonts w:hint="cs"/>
          <w:rtl/>
        </w:rPr>
        <w:t xml:space="preserve">التوزيعات للخدمة الثابتة الساتلية </w:t>
      </w:r>
      <w:r>
        <w:rPr>
          <w:rtl/>
        </w:rPr>
        <w:br/>
      </w:r>
      <w:r>
        <w:rPr>
          <w:rFonts w:hint="cs"/>
          <w:rtl/>
        </w:rPr>
        <w:t xml:space="preserve">والخدمة المتنقلة البحرية الساتلية في المدى </w:t>
      </w:r>
      <w:r>
        <w:t>GHz 8/7</w:t>
      </w:r>
      <w:bookmarkEnd w:id="3"/>
    </w:p>
    <w:p w:rsidR="006176E8" w:rsidRDefault="006176E8">
      <w:pPr>
        <w:pStyle w:val="Reasons"/>
      </w:pPr>
    </w:p>
    <w:p w:rsidR="0092181F" w:rsidRPr="0092181F" w:rsidRDefault="0092181F" w:rsidP="0092181F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92181F" w:rsidRPr="0092181F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C4C70" w:rsidRDefault="00281F5F" w:rsidP="004C4C70">
    <w:pPr>
      <w:pStyle w:val="Footer"/>
      <w:tabs>
        <w:tab w:val="clear" w:pos="5812"/>
        <w:tab w:val="left" w:pos="6379"/>
      </w:tabs>
    </w:pPr>
    <w:r w:rsidRPr="00CB4300">
      <w:fldChar w:fldCharType="begin"/>
    </w:r>
    <w:r w:rsidRPr="004C4C70">
      <w:instrText xml:space="preserve"> FILENAME \p \* MERGEFORMAT </w:instrText>
    </w:r>
    <w:r w:rsidRPr="00CB4300">
      <w:fldChar w:fldCharType="separate"/>
    </w:r>
    <w:r w:rsidR="00440448">
      <w:rPr>
        <w:noProof/>
      </w:rPr>
      <w:t>P:\ARA\ITU-R\CONF-R\CMR15\100\130ADD09ADD01A.docx</w:t>
    </w:r>
    <w:r w:rsidRPr="00CB4300">
      <w:fldChar w:fldCharType="end"/>
    </w:r>
    <w:r w:rsidRPr="004C4C70">
      <w:t xml:space="preserve">  (</w:t>
    </w:r>
    <w:r w:rsidR="004C4C70">
      <w:t>389020</w:t>
    </w:r>
    <w:r w:rsidRPr="004C4C70">
      <w:t>)</w:t>
    </w:r>
    <w:r w:rsidRPr="004C4C70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40448">
      <w:rPr>
        <w:noProof/>
      </w:rPr>
      <w:t>01.11.15</w:t>
    </w:r>
    <w:r w:rsidRPr="00CB4300">
      <w:fldChar w:fldCharType="end"/>
    </w:r>
    <w:r w:rsidRPr="004C4C70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440448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C4C70" w:rsidRDefault="00281F5F" w:rsidP="004C4C70">
    <w:pPr>
      <w:pStyle w:val="Footer"/>
      <w:tabs>
        <w:tab w:val="clear" w:pos="5812"/>
        <w:tab w:val="left" w:pos="6379"/>
      </w:tabs>
    </w:pPr>
    <w:r>
      <w:fldChar w:fldCharType="begin"/>
    </w:r>
    <w:r w:rsidRPr="004C4C70">
      <w:instrText xml:space="preserve"> FILENAME \p \* MERGEFORMAT </w:instrText>
    </w:r>
    <w:r>
      <w:fldChar w:fldCharType="separate"/>
    </w:r>
    <w:r w:rsidR="00440448">
      <w:rPr>
        <w:noProof/>
      </w:rPr>
      <w:t>P:\ARA\ITU-R\CONF-R\CMR15\100\130ADD09ADD01A.docx</w:t>
    </w:r>
    <w:r>
      <w:fldChar w:fldCharType="end"/>
    </w:r>
    <w:r w:rsidRPr="004C4C70">
      <w:t xml:space="preserve">   (</w:t>
    </w:r>
    <w:r w:rsidR="004C4C70">
      <w:t>389020</w:t>
    </w:r>
    <w:r w:rsidRPr="004C4C70">
      <w:t>)</w:t>
    </w:r>
    <w:r w:rsidRPr="004C4C70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40448">
      <w:rPr>
        <w:noProof/>
      </w:rPr>
      <w:t>01.11.15</w:t>
    </w:r>
    <w:r w:rsidRPr="00B12661">
      <w:fldChar w:fldCharType="end"/>
    </w:r>
    <w:r w:rsidRPr="004C4C70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440448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4C619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130(Add.9)(Add.1)-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35F5"/>
    <w:rsid w:val="00040C94"/>
    <w:rsid w:val="000425FC"/>
    <w:rsid w:val="00044D43"/>
    <w:rsid w:val="00051907"/>
    <w:rsid w:val="00073889"/>
    <w:rsid w:val="00075A3F"/>
    <w:rsid w:val="000A1B16"/>
    <w:rsid w:val="000B5404"/>
    <w:rsid w:val="000D128B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40448"/>
    <w:rsid w:val="00461FA7"/>
    <w:rsid w:val="00470CBD"/>
    <w:rsid w:val="0047407D"/>
    <w:rsid w:val="004909DD"/>
    <w:rsid w:val="004A05E6"/>
    <w:rsid w:val="004A6C66"/>
    <w:rsid w:val="004A7AA0"/>
    <w:rsid w:val="004C11BC"/>
    <w:rsid w:val="004C4C70"/>
    <w:rsid w:val="004C6199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3615"/>
    <w:rsid w:val="005C5D25"/>
    <w:rsid w:val="005D6D48"/>
    <w:rsid w:val="005D72A4"/>
    <w:rsid w:val="005F05CC"/>
    <w:rsid w:val="005F65DE"/>
    <w:rsid w:val="00613492"/>
    <w:rsid w:val="006176E8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181F"/>
    <w:rsid w:val="00945A9D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283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17ADD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1AA2"/>
    <w:rsid w:val="00B9727C"/>
    <w:rsid w:val="00BA610A"/>
    <w:rsid w:val="00BA7D44"/>
    <w:rsid w:val="00BD6EF3"/>
    <w:rsid w:val="00BE0F2E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07092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74C7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CDF3B44-36DB-434C-888E-B4B283E6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,R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TableText">
    <w:name w:val="Table_Text"/>
    <w:basedOn w:val="Normal"/>
    <w:link w:val="TableTextChar"/>
    <w:rsid w:val="004C4C70"/>
    <w:pPr>
      <w:keepNext/>
      <w:widowControl w:val="0"/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00" w:after="100" w:line="-190" w:lineRule="auto"/>
    </w:pPr>
    <w:rPr>
      <w:noProof/>
      <w:sz w:val="18"/>
      <w:szCs w:val="21"/>
      <w:lang w:val="en-GB" w:eastAsia="zh-CN" w:bidi="ar-EG"/>
    </w:rPr>
  </w:style>
  <w:style w:type="character" w:customStyle="1" w:styleId="TableTextChar">
    <w:name w:val="Table_Text Char"/>
    <w:basedOn w:val="DefaultParagraphFont"/>
    <w:link w:val="TableText"/>
    <w:locked/>
    <w:rsid w:val="004C4C70"/>
    <w:rPr>
      <w:rFonts w:ascii="Times New Roman" w:hAnsi="Times New Roman" w:cs="Traditional Arabic"/>
      <w:noProof/>
      <w:sz w:val="18"/>
      <w:szCs w:val="21"/>
      <w:lang w:val="en-GB" w:bidi="ar-EG"/>
    </w:rPr>
  </w:style>
  <w:style w:type="paragraph" w:customStyle="1" w:styleId="Footnotetexte">
    <w:name w:val="Footnote texte"/>
    <w:basedOn w:val="Normal"/>
    <w:qFormat/>
    <w:rsid w:val="0092181F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R15-WRC15-C-0130!A9-A1!MSW-A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84DEC-B89C-4F48-8756-AC0DDD89F3E8}">
  <ds:schemaRefs>
    <ds:schemaRef ds:uri="http://purl.org/dc/elements/1.1/"/>
    <ds:schemaRef ds:uri="http://schemas.microsoft.com/office/2006/documentManagement/types"/>
    <ds:schemaRef ds:uri="http://www.w3.org/XML/1998/namespace"/>
    <ds:schemaRef ds:uri="996b2e75-67fd-4955-a3b0-5ab9934cb5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EE182E-E420-4373-9BE3-0D7A36DA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2317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R15-WRC15-C-0130!A9-A1!MSW-A</vt:lpstr>
    </vt:vector>
  </TitlesOfParts>
  <Manager>General Secretariat - Pool</Manager>
  <Company>International Telecommunication Union (ITU)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R15-WRC15-C-0130!A9-A1!MSW-A</dc:title>
  <dc:creator>Documents Proposals Manager (DPM)</dc:creator>
  <cp:keywords>DPM_v5.2015.10.230_prod</cp:keywords>
  <cp:lastModifiedBy>Tahawi, Mohamad </cp:lastModifiedBy>
  <cp:revision>5</cp:revision>
  <cp:lastPrinted>2011-11-07T13:53:00Z</cp:lastPrinted>
  <dcterms:created xsi:type="dcterms:W3CDTF">2015-10-31T23:30:00Z</dcterms:created>
  <dcterms:modified xsi:type="dcterms:W3CDTF">2015-10-31T23:32:00Z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