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5A7A4C"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5A7A4C" w:rsidRDefault="00280E04" w:rsidP="00D44350">
            <w:pPr>
              <w:pStyle w:val="Adress"/>
              <w:framePr w:hSpace="0" w:wrap="auto" w:xAlign="left" w:yAlign="inline"/>
              <w:rPr>
                <w:rFonts w:ascii="Verdana" w:hAnsi="Verdana"/>
              </w:rPr>
            </w:pPr>
          </w:p>
        </w:tc>
      </w:tr>
      <w:tr w:rsidR="003E1608" w:rsidTr="003E1608">
        <w:trPr>
          <w:cantSplit/>
        </w:trPr>
        <w:tc>
          <w:tcPr>
            <w:tcW w:w="6619" w:type="dxa"/>
            <w:shd w:val="clear" w:color="auto" w:fill="auto"/>
          </w:tcPr>
          <w:p w:rsidR="003E1608" w:rsidRPr="005A7A4C"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5A7A4C">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5A7A4C" w:rsidRDefault="003E1608" w:rsidP="00663348">
            <w:pPr>
              <w:pStyle w:val="Adress"/>
              <w:framePr w:hSpace="0" w:wrap="auto" w:xAlign="left" w:yAlign="inline"/>
              <w:rPr>
                <w:rFonts w:ascii="Verdana" w:hAnsi="Verdana"/>
                <w:rtl/>
              </w:rPr>
            </w:pPr>
            <w:r w:rsidRPr="005A7A4C">
              <w:rPr>
                <w:rFonts w:ascii="Verdana" w:hAnsi="Verdana"/>
                <w:rtl/>
              </w:rPr>
              <w:t xml:space="preserve">الإضافة </w:t>
            </w:r>
            <w:r w:rsidRPr="005A7A4C">
              <w:rPr>
                <w:rFonts w:ascii="Verdana" w:hAnsi="Verdana"/>
              </w:rPr>
              <w:t>3</w:t>
            </w:r>
            <w:r w:rsidRPr="005A7A4C">
              <w:rPr>
                <w:rFonts w:ascii="Verdana" w:hAnsi="Verdana"/>
              </w:rPr>
              <w:br/>
            </w:r>
            <w:r w:rsidRPr="005A7A4C">
              <w:rPr>
                <w:rFonts w:ascii="Verdana" w:hAnsi="Verdana"/>
                <w:rtl/>
              </w:rPr>
              <w:t xml:space="preserve">للوثيقة </w:t>
            </w:r>
            <w:r w:rsidRPr="005A7A4C">
              <w:rPr>
                <w:rFonts w:ascii="Verdana" w:hAnsi="Verdana"/>
              </w:rPr>
              <w:t>130-</w:t>
            </w:r>
            <w:r w:rsidR="00663348" w:rsidRPr="005A7A4C">
              <w:rPr>
                <w:rFonts w:ascii="Verdana" w:hAnsi="Verdana"/>
              </w:rPr>
              <w:t>A</w:t>
            </w:r>
          </w:p>
        </w:tc>
      </w:tr>
      <w:tr w:rsidR="00764079" w:rsidTr="003E1608">
        <w:trPr>
          <w:cantSplit/>
        </w:trPr>
        <w:tc>
          <w:tcPr>
            <w:tcW w:w="6619" w:type="dxa"/>
            <w:shd w:val="clear" w:color="auto" w:fill="auto"/>
          </w:tcPr>
          <w:p w:rsidR="00764079" w:rsidRPr="005A7A4C"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5A7A4C" w:rsidRDefault="00764079" w:rsidP="00D44350">
            <w:pPr>
              <w:pStyle w:val="Adress"/>
              <w:framePr w:hSpace="0" w:wrap="auto" w:xAlign="left" w:yAlign="inline"/>
              <w:rPr>
                <w:rFonts w:ascii="Verdana" w:hAnsi="Verdana"/>
                <w:rtl/>
              </w:rPr>
            </w:pPr>
            <w:r w:rsidRPr="005A7A4C">
              <w:rPr>
                <w:rFonts w:ascii="Verdana" w:eastAsia="SimSun" w:hAnsi="Verdana"/>
              </w:rPr>
              <w:t>16</w:t>
            </w:r>
            <w:r w:rsidRPr="005A7A4C">
              <w:rPr>
                <w:rFonts w:ascii="Verdana" w:eastAsia="SimSun" w:hAnsi="Verdana"/>
                <w:rtl/>
              </w:rPr>
              <w:t xml:space="preserve"> أكتوبر </w:t>
            </w:r>
            <w:r w:rsidRPr="005A7A4C">
              <w:rPr>
                <w:rFonts w:ascii="Verdana" w:eastAsia="SimSun" w:hAnsi="Verdana"/>
              </w:rPr>
              <w:t>2015</w:t>
            </w:r>
          </w:p>
        </w:tc>
      </w:tr>
      <w:tr w:rsidR="00764079" w:rsidTr="003E1608">
        <w:trPr>
          <w:cantSplit/>
        </w:trPr>
        <w:tc>
          <w:tcPr>
            <w:tcW w:w="6619" w:type="dxa"/>
          </w:tcPr>
          <w:p w:rsidR="00764079" w:rsidRPr="005A7A4C" w:rsidRDefault="00764079" w:rsidP="00D44350">
            <w:pPr>
              <w:pStyle w:val="Adress"/>
              <w:framePr w:hSpace="0" w:wrap="auto" w:xAlign="left" w:yAlign="inline"/>
              <w:rPr>
                <w:rFonts w:ascii="Verdana" w:eastAsia="SimSun" w:hAnsi="Verdana"/>
                <w:rtl/>
              </w:rPr>
            </w:pPr>
          </w:p>
        </w:tc>
        <w:tc>
          <w:tcPr>
            <w:tcW w:w="3053" w:type="dxa"/>
            <w:vAlign w:val="center"/>
          </w:tcPr>
          <w:p w:rsidR="00764079" w:rsidRPr="005A7A4C" w:rsidRDefault="00764079" w:rsidP="00D44350">
            <w:pPr>
              <w:pStyle w:val="Adress"/>
              <w:framePr w:hSpace="0" w:wrap="auto" w:xAlign="left" w:yAlign="inline"/>
              <w:rPr>
                <w:rFonts w:ascii="Verdana" w:eastAsia="SimSun" w:hAnsi="Verdana"/>
              </w:rPr>
            </w:pPr>
            <w:r w:rsidRPr="005A7A4C">
              <w:rPr>
                <w:rFonts w:ascii="Verdana" w:eastAsia="SimSun" w:hAnsi="Verdana"/>
                <w:rtl/>
              </w:rPr>
              <w:t>الأصل: بالإنكليزية</w:t>
            </w:r>
          </w:p>
        </w:tc>
      </w:tr>
      <w:tr w:rsidR="00764079" w:rsidTr="003E1608">
        <w:trPr>
          <w:cantSplit/>
        </w:trPr>
        <w:tc>
          <w:tcPr>
            <w:tcW w:w="9672" w:type="dxa"/>
            <w:gridSpan w:val="2"/>
          </w:tcPr>
          <w:p w:rsidR="00764079" w:rsidRPr="005A7A4C"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221E96">
            <w:pPr>
              <w:pStyle w:val="Source"/>
              <w:rPr>
                <w:rtl/>
              </w:rPr>
            </w:pPr>
            <w:r w:rsidRPr="008204AC">
              <w:rPr>
                <w:rtl/>
              </w:rPr>
              <w:t>جمهورية أنغولا/جمهورية بوتسوانا</w:t>
            </w:r>
            <w:r w:rsidR="00221E96" w:rsidRPr="008204AC">
              <w:rPr>
                <w:rtl/>
              </w:rPr>
              <w:t>/جمهورية</w:t>
            </w:r>
            <w:r w:rsidR="00221E96">
              <w:rPr>
                <w:rFonts w:hint="cs"/>
                <w:rtl/>
              </w:rPr>
              <w:t> </w:t>
            </w:r>
            <w:r w:rsidR="00221E96" w:rsidRPr="008204AC">
              <w:rPr>
                <w:rtl/>
              </w:rPr>
              <w:t>الكونغو</w:t>
            </w:r>
            <w:r w:rsidR="00221E96">
              <w:rPr>
                <w:rFonts w:hint="cs"/>
                <w:rtl/>
              </w:rPr>
              <w:t> </w:t>
            </w:r>
            <w:r w:rsidR="00221E96" w:rsidRPr="008204AC">
              <w:rPr>
                <w:rtl/>
              </w:rPr>
              <w:t>الديمقراطية</w:t>
            </w:r>
            <w:r w:rsidRPr="008204AC">
              <w:rPr>
                <w:rtl/>
              </w:rPr>
              <w:t>/مملكة ليسوتو/</w:t>
            </w:r>
            <w:r w:rsidR="00221E96">
              <w:rPr>
                <w:rFonts w:hint="cs"/>
                <w:rtl/>
              </w:rPr>
              <w:t xml:space="preserve"> </w:t>
            </w:r>
            <w:r w:rsidRPr="008204AC">
              <w:rPr>
                <w:rtl/>
              </w:rPr>
              <w:t>جمهورية</w:t>
            </w:r>
            <w:r w:rsidR="00221E96">
              <w:rPr>
                <w:rFonts w:hint="cs"/>
                <w:rtl/>
              </w:rPr>
              <w:t> </w:t>
            </w:r>
            <w:r w:rsidRPr="008204AC">
              <w:rPr>
                <w:rtl/>
              </w:rPr>
              <w:t>مدغشقر/ملاوي/جمهورية</w:t>
            </w:r>
            <w:r w:rsidR="00221E96">
              <w:rPr>
                <w:rFonts w:hint="cs"/>
                <w:rtl/>
              </w:rPr>
              <w:t> </w:t>
            </w:r>
            <w:r w:rsidRPr="008204AC">
              <w:rPr>
                <w:rtl/>
              </w:rPr>
              <w:t>موريشيوس/جمهورية موزامبيق/</w:t>
            </w:r>
            <w:r w:rsidR="00221E96">
              <w:rPr>
                <w:rFonts w:hint="cs"/>
                <w:rtl/>
              </w:rPr>
              <w:t xml:space="preserve"> </w:t>
            </w:r>
            <w:r w:rsidRPr="008204AC">
              <w:rPr>
                <w:rtl/>
              </w:rPr>
              <w:t>جمهورية</w:t>
            </w:r>
            <w:r w:rsidR="00221E96">
              <w:rPr>
                <w:rFonts w:hint="cs"/>
                <w:rtl/>
              </w:rPr>
              <w:t> </w:t>
            </w:r>
            <w:r w:rsidRPr="008204AC">
              <w:rPr>
                <w:rtl/>
              </w:rPr>
              <w:t>ناميبيا/جمهورية سيشيل/جمهورية جنوب إفريقيا/مملكة</w:t>
            </w:r>
            <w:r w:rsidR="00221E96">
              <w:rPr>
                <w:rFonts w:hint="cs"/>
                <w:rtl/>
              </w:rPr>
              <w:t> </w:t>
            </w:r>
            <w:r w:rsidRPr="008204AC">
              <w:rPr>
                <w:rtl/>
              </w:rPr>
              <w:t>سوازيلاند/</w:t>
            </w:r>
            <w:r w:rsidR="00221E96">
              <w:rPr>
                <w:rFonts w:hint="cs"/>
                <w:rtl/>
              </w:rPr>
              <w:t xml:space="preserve"> </w:t>
            </w:r>
            <w:r w:rsidRPr="008204AC">
              <w:rPr>
                <w:rtl/>
              </w:rPr>
              <w:t>جمهورية</w:t>
            </w:r>
            <w:r w:rsidR="00221E96">
              <w:rPr>
                <w:rFonts w:hint="cs"/>
                <w:rtl/>
              </w:rPr>
              <w:t> </w:t>
            </w:r>
            <w:r w:rsidRPr="008204AC">
              <w:rPr>
                <w:rtl/>
              </w:rPr>
              <w:t>تنـزانيا المتحدة/جمهورية زامبيا/جمهورية زيمبابوي</w:t>
            </w:r>
          </w:p>
        </w:tc>
      </w:tr>
      <w:tr w:rsidR="00764079" w:rsidTr="003E1608">
        <w:trPr>
          <w:cantSplit/>
        </w:trPr>
        <w:tc>
          <w:tcPr>
            <w:tcW w:w="9672" w:type="dxa"/>
            <w:gridSpan w:val="2"/>
          </w:tcPr>
          <w:p w:rsidR="00764079" w:rsidRPr="00BD6EF3" w:rsidRDefault="00221E96" w:rsidP="00D44350">
            <w:pPr>
              <w:pStyle w:val="Title1"/>
              <w:spacing w:before="240"/>
              <w:rPr>
                <w:rtl/>
              </w:rPr>
            </w:pPr>
            <w:r>
              <w:rPr>
                <w:rFonts w:hint="cs"/>
                <w:rtl/>
              </w:rPr>
              <w:t>مقترحات بشأن أعمال ال‍مؤت</w:t>
            </w:r>
            <w:r w:rsidR="003B48C4">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376D0C">
            <w:pPr>
              <w:pStyle w:val="Agendaitem"/>
              <w:spacing w:before="240" w:line="192" w:lineRule="auto"/>
            </w:pPr>
            <w:r w:rsidRPr="008204AC">
              <w:rPr>
                <w:rtl/>
              </w:rPr>
              <w:t xml:space="preserve">البنـد </w:t>
            </w:r>
            <w:r w:rsidR="00376D0C">
              <w:t>3.1</w:t>
            </w:r>
            <w:r w:rsidRPr="008204AC">
              <w:rPr>
                <w:rtl/>
              </w:rPr>
              <w:t xml:space="preserve"> من جدول الأعمال</w:t>
            </w:r>
          </w:p>
        </w:tc>
      </w:tr>
    </w:tbl>
    <w:p w:rsidR="001D597A" w:rsidRPr="00431196" w:rsidRDefault="00663348" w:rsidP="00881E37">
      <w:pPr>
        <w:pStyle w:val="Normalaftertitle"/>
        <w:rPr>
          <w:rFonts w:eastAsia="SimSun"/>
          <w:rtl/>
        </w:rPr>
      </w:pPr>
      <w:r w:rsidRPr="00431196">
        <w:rPr>
          <w:rFonts w:eastAsia="SimSun"/>
        </w:rPr>
        <w:t>3.1</w:t>
      </w:r>
      <w:r w:rsidRPr="00431196">
        <w:rPr>
          <w:rFonts w:eastAsia="SimSun" w:hint="cs"/>
          <w:rtl/>
        </w:rPr>
        <w:tab/>
        <w:t xml:space="preserve">استعراض ومراجعة القرار </w:t>
      </w:r>
      <w:r w:rsidRPr="00431196">
        <w:rPr>
          <w:rFonts w:eastAsia="SimSun"/>
          <w:b/>
          <w:bCs/>
        </w:rPr>
        <w:t>646 (Rev.WRC</w:t>
      </w:r>
      <w:r w:rsidRPr="00431196">
        <w:rPr>
          <w:rFonts w:eastAsia="SimSun"/>
          <w:b/>
          <w:bCs/>
        </w:rPr>
        <w:noBreakHyphen/>
        <w:t>12)</w:t>
      </w:r>
      <w:r w:rsidRPr="00431196">
        <w:rPr>
          <w:rFonts w:eastAsia="SimSun" w:hint="cs"/>
          <w:rtl/>
        </w:rPr>
        <w:t xml:space="preserve"> فيما يتعلق بالتطبيقات عريضة النطاق من أجل حماية الجمهور والإغاثة في حالات الكوارث</w:t>
      </w:r>
      <w:r w:rsidRPr="00431196">
        <w:rPr>
          <w:rFonts w:eastAsia="SimSun" w:hint="eastAsia"/>
          <w:rtl/>
        </w:rPr>
        <w:t> </w:t>
      </w:r>
      <w:r w:rsidRPr="00431196">
        <w:rPr>
          <w:rFonts w:eastAsia="SimSun"/>
        </w:rPr>
        <w:t>(PPDR)</w:t>
      </w:r>
      <w:r w:rsidRPr="00431196">
        <w:rPr>
          <w:rFonts w:eastAsia="SimSun" w:hint="cs"/>
          <w:rtl/>
        </w:rPr>
        <w:t xml:space="preserve"> وفقاً للقرار</w:t>
      </w:r>
      <w:r w:rsidRPr="00431196">
        <w:rPr>
          <w:rFonts w:eastAsia="SimSun" w:hint="eastAsia"/>
          <w:rtl/>
        </w:rPr>
        <w:t> </w:t>
      </w:r>
      <w:r w:rsidRPr="00431196">
        <w:rPr>
          <w:rFonts w:eastAsia="SimSun"/>
          <w:b/>
          <w:bCs/>
        </w:rPr>
        <w:t>648 </w:t>
      </w:r>
      <w:r w:rsidRPr="00431196">
        <w:rPr>
          <w:rFonts w:eastAsia="SimSun" w:hint="eastAsia"/>
          <w:b/>
        </w:rPr>
        <w:t>(WRC-12)</w:t>
      </w:r>
      <w:r w:rsidRPr="00431196">
        <w:rPr>
          <w:rFonts w:eastAsia="SimSun" w:hint="cs"/>
          <w:b/>
          <w:rtl/>
        </w:rPr>
        <w:t>؛</w:t>
      </w:r>
    </w:p>
    <w:p w:rsidR="00F16602" w:rsidRDefault="003B48C4" w:rsidP="00376D0C">
      <w:pPr>
        <w:pStyle w:val="Headingb"/>
      </w:pPr>
      <w:r>
        <w:rPr>
          <w:rFonts w:hint="cs"/>
          <w:rtl/>
          <w:lang w:bidi="ar-SA"/>
        </w:rPr>
        <w:t>خلفية</w:t>
      </w:r>
    </w:p>
    <w:p w:rsidR="00376D0C" w:rsidRPr="00500875" w:rsidRDefault="00376D0C" w:rsidP="00376D0C">
      <w:pPr>
        <w:rPr>
          <w:spacing w:val="6"/>
          <w:rtl/>
          <w:lang w:bidi="ar-JO"/>
        </w:rPr>
      </w:pPr>
      <w:r w:rsidRPr="00500875">
        <w:rPr>
          <w:rFonts w:hint="cs"/>
          <w:spacing w:val="6"/>
          <w:rtl/>
          <w:lang w:bidi="ar-JO"/>
        </w:rPr>
        <w:t xml:space="preserve">إن القرار </w:t>
      </w:r>
      <w:r w:rsidRPr="00500875">
        <w:rPr>
          <w:spacing w:val="6"/>
        </w:rPr>
        <w:t>646 (Rev.WRC</w:t>
      </w:r>
      <w:r w:rsidRPr="00500875">
        <w:rPr>
          <w:spacing w:val="6"/>
        </w:rPr>
        <w:noBreakHyphen/>
        <w:t>12)</w:t>
      </w:r>
      <w:r w:rsidRPr="00500875">
        <w:rPr>
          <w:rFonts w:hint="cs"/>
          <w:spacing w:val="6"/>
          <w:rtl/>
          <w:lang w:bidi="ar-JO"/>
        </w:rPr>
        <w:t xml:space="preserve"> المتعلق بحماية الجمهور والإغاثة في حالات الكوارث</w:t>
      </w:r>
      <w:r w:rsidRPr="00500875">
        <w:rPr>
          <w:rFonts w:hint="eastAsia"/>
          <w:spacing w:val="6"/>
          <w:rtl/>
          <w:lang w:bidi="ar-JO"/>
        </w:rPr>
        <w:t> </w:t>
      </w:r>
      <w:r w:rsidRPr="00500875">
        <w:rPr>
          <w:spacing w:val="6"/>
        </w:rPr>
        <w:t>(PPDR)</w:t>
      </w:r>
      <w:r w:rsidRPr="00500875">
        <w:rPr>
          <w:rFonts w:hint="cs"/>
          <w:spacing w:val="6"/>
          <w:rtl/>
          <w:lang w:bidi="ar-JO"/>
        </w:rPr>
        <w:t>، يشج</w:t>
      </w:r>
      <w:r w:rsidRPr="00500875">
        <w:rPr>
          <w:rFonts w:hint="cs"/>
          <w:spacing w:val="6"/>
          <w:rtl/>
        </w:rPr>
        <w:t>ِّ</w:t>
      </w:r>
      <w:r w:rsidRPr="00500875">
        <w:rPr>
          <w:rFonts w:hint="cs"/>
          <w:spacing w:val="6"/>
          <w:rtl/>
          <w:lang w:bidi="ar-JO"/>
        </w:rPr>
        <w:t>ع الإدارات على النظر، عندما تقوم بالتخطيط على الصعيد الوطني، في بعض نطاقات/مديات التردد التي يتم تحديدها أو في أجزاء منها من أجل التوصل إلى نطاقات/مديات تردد منسَّقة على الصعيد الإقليمي لأغراض الحلول المتقدِّمة في مجال حماية الجمهور والإغاثة في حالات الكوارث.</w:t>
      </w:r>
    </w:p>
    <w:p w:rsidR="00376D0C" w:rsidRPr="00376D0C" w:rsidRDefault="00376D0C" w:rsidP="00376D0C">
      <w:pPr>
        <w:rPr>
          <w:rtl/>
          <w:lang w:bidi="ar-JO"/>
        </w:rPr>
      </w:pPr>
      <w:r w:rsidRPr="00376D0C">
        <w:rPr>
          <w:rFonts w:hint="cs"/>
          <w:rtl/>
          <w:lang w:bidi="ar-JO"/>
        </w:rPr>
        <w:t>وقد وُثِّق جيداً، في هذا القرار وفي الكثير من الدراسات والتقارير، للمنافع التي يؤتيها استخدام نطاقات تردد منسَّقة إقليمياً أو</w:t>
      </w:r>
      <w:r w:rsidRPr="00376D0C">
        <w:rPr>
          <w:rFonts w:hint="eastAsia"/>
          <w:rtl/>
          <w:lang w:bidi="ar-JO"/>
        </w:rPr>
        <w:t> </w:t>
      </w:r>
      <w:r w:rsidRPr="00376D0C">
        <w:rPr>
          <w:rFonts w:hint="cs"/>
          <w:rtl/>
          <w:lang w:bidi="ar-JO"/>
        </w:rPr>
        <w:t>دولياً. ومن هذه المنافع التوصل إلى تحقيق وفورات متأتية عن تعاظم حجم الأعمال وإلى زيادة توفُّر المعدات، وربما إلى زيادة التنافس وتحسين إدارة الطيف والتخطيط المتصل به. كما أن من المنافع التي يؤتيها التنسيق في أوضاع الإغاثة في حالات الطوارئ والكوارث تعزيز تناقل المعدات عبر الحدود وزيادة إمكان قابلية التشغيل البيني للاتصالات عندما تتلقى البلدان مساعدة من بلدان أخرى.</w:t>
      </w:r>
    </w:p>
    <w:p w:rsidR="00376D0C" w:rsidRPr="00575891" w:rsidRDefault="00C91A60" w:rsidP="00C03738">
      <w:pPr>
        <w:pStyle w:val="Headingb"/>
      </w:pPr>
      <w:r w:rsidRPr="00575891">
        <w:rPr>
          <w:rFonts w:hint="cs"/>
          <w:rtl/>
          <w:lang w:bidi="ar-SA"/>
        </w:rPr>
        <w:lastRenderedPageBreak/>
        <w:t>يقرر</w:t>
      </w:r>
    </w:p>
    <w:p w:rsidR="00C03738" w:rsidRPr="00575891" w:rsidRDefault="00C03738" w:rsidP="00B23918">
      <w:pPr>
        <w:rPr>
          <w:lang w:bidi="ar-JO"/>
        </w:rPr>
      </w:pPr>
      <w:r w:rsidRPr="00575891">
        <w:rPr>
          <w:lang w:bidi="ar-JO"/>
        </w:rPr>
        <w:t>1</w:t>
      </w:r>
      <w:r w:rsidRPr="00575891">
        <w:rPr>
          <w:lang w:bidi="ar-JO"/>
        </w:rPr>
        <w:tab/>
      </w:r>
      <w:r w:rsidRPr="00575891">
        <w:rPr>
          <w:rFonts w:hint="cs"/>
          <w:rtl/>
        </w:rPr>
        <w:t xml:space="preserve">أن يوصي الإدارات بقوة </w:t>
      </w:r>
      <w:r w:rsidR="00B23918">
        <w:rPr>
          <w:rFonts w:hint="cs"/>
          <w:rtl/>
        </w:rPr>
        <w:t>ب</w:t>
      </w:r>
      <w:r w:rsidRPr="00575891">
        <w:rPr>
          <w:rFonts w:hint="cs"/>
          <w:rtl/>
        </w:rPr>
        <w:t>استعمال النطاقات المنسقة على المستوى الإقليمي في أغراض حماية الجمهور والإغاثة في حالات الكوارث إلى أقصى حد ممكن، آخذة بعين الاعتبار المتطلبات الوطنية والإقليمية وكذلك مراعاة ما</w:t>
      </w:r>
      <w:r w:rsidRPr="00575891">
        <w:rPr>
          <w:rFonts w:hint="eastAsia"/>
          <w:rtl/>
        </w:rPr>
        <w:t> </w:t>
      </w:r>
      <w:r w:rsidRPr="00575891">
        <w:rPr>
          <w:rFonts w:hint="cs"/>
          <w:rtl/>
        </w:rPr>
        <w:t>قد</w:t>
      </w:r>
      <w:r w:rsidRPr="00575891">
        <w:rPr>
          <w:rFonts w:hint="eastAsia"/>
          <w:rtl/>
        </w:rPr>
        <w:t> </w:t>
      </w:r>
      <w:r w:rsidRPr="00575891">
        <w:rPr>
          <w:rFonts w:hint="cs"/>
          <w:rtl/>
        </w:rPr>
        <w:t>يلزم من تشاور وتعاون مع البلدان الأخرى المعنية؛</w:t>
      </w:r>
    </w:p>
    <w:p w:rsidR="005A7A4C" w:rsidRPr="00575891" w:rsidRDefault="005A7A4C" w:rsidP="00DD4024">
      <w:pPr>
        <w:rPr>
          <w:spacing w:val="-6"/>
          <w:rtl/>
        </w:rPr>
      </w:pPr>
      <w:r w:rsidRPr="00575891">
        <w:rPr>
          <w:spacing w:val="-6"/>
        </w:rPr>
        <w:t>2</w:t>
      </w:r>
      <w:r w:rsidRPr="00575891">
        <w:rPr>
          <w:spacing w:val="-6"/>
          <w:rtl/>
        </w:rPr>
        <w:tab/>
        <w:t>تشجيع الإدارات على مراعا</w:t>
      </w:r>
      <w:r w:rsidRPr="00575891">
        <w:rPr>
          <w:rFonts w:hint="cs"/>
          <w:spacing w:val="-6"/>
          <w:rtl/>
        </w:rPr>
        <w:t>ة</w:t>
      </w:r>
      <w:r w:rsidRPr="00575891">
        <w:rPr>
          <w:spacing w:val="-6"/>
          <w:rtl/>
        </w:rPr>
        <w:t xml:space="preserve"> مديات توليف التردد </w:t>
      </w:r>
      <w:r w:rsidRPr="00575891">
        <w:rPr>
          <w:spacing w:val="-6"/>
        </w:rPr>
        <w:t>MHz 800/700</w:t>
      </w:r>
      <w:r w:rsidRPr="00575891">
        <w:rPr>
          <w:spacing w:val="-6"/>
          <w:rtl/>
        </w:rPr>
        <w:t xml:space="preserve"> </w:t>
      </w:r>
      <w:r w:rsidR="00623905">
        <w:rPr>
          <w:rFonts w:hint="cs"/>
          <w:spacing w:val="-6"/>
          <w:rtl/>
        </w:rPr>
        <w:t>على النحو</w:t>
      </w:r>
      <w:r w:rsidRPr="00575891">
        <w:rPr>
          <w:spacing w:val="-6"/>
          <w:rtl/>
        </w:rPr>
        <w:t xml:space="preserve"> </w:t>
      </w:r>
      <w:r w:rsidR="00623905">
        <w:rPr>
          <w:rFonts w:hint="cs"/>
          <w:spacing w:val="-6"/>
          <w:rtl/>
        </w:rPr>
        <w:t>ال</w:t>
      </w:r>
      <w:r w:rsidRPr="00575891">
        <w:rPr>
          <w:spacing w:val="-6"/>
          <w:rtl/>
        </w:rPr>
        <w:t xml:space="preserve">مبين في أحدث نسخة </w:t>
      </w:r>
      <w:r w:rsidR="00623905">
        <w:rPr>
          <w:rFonts w:hint="cs"/>
          <w:spacing w:val="-6"/>
          <w:rtl/>
        </w:rPr>
        <w:t>من التوصية</w:t>
      </w:r>
      <w:r w:rsidRPr="00575891">
        <w:rPr>
          <w:rFonts w:hint="eastAsia"/>
          <w:spacing w:val="-6"/>
          <w:rtl/>
          <w:lang w:bidi="ar-EG"/>
        </w:rPr>
        <w:t> </w:t>
      </w:r>
      <w:r w:rsidRPr="00575891">
        <w:rPr>
          <w:spacing w:val="-6"/>
        </w:rPr>
        <w:t>ITU</w:t>
      </w:r>
      <w:r w:rsidRPr="00575891">
        <w:rPr>
          <w:spacing w:val="-6"/>
        </w:rPr>
        <w:noBreakHyphen/>
        <w:t>R M.2015</w:t>
      </w:r>
      <w:r w:rsidR="00DD4024">
        <w:rPr>
          <w:rFonts w:hint="cs"/>
          <w:spacing w:val="-6"/>
          <w:rtl/>
        </w:rPr>
        <w:t>،</w:t>
      </w:r>
      <w:r w:rsidRPr="00575891">
        <w:rPr>
          <w:spacing w:val="-6"/>
          <w:rtl/>
        </w:rPr>
        <w:t xml:space="preserve"> أو </w:t>
      </w:r>
      <w:r w:rsidR="00DD4024">
        <w:rPr>
          <w:rFonts w:hint="cs"/>
          <w:spacing w:val="-6"/>
          <w:rtl/>
        </w:rPr>
        <w:t>أجزاء منها،</w:t>
      </w:r>
      <w:r w:rsidRPr="00575891">
        <w:rPr>
          <w:spacing w:val="-6"/>
          <w:rtl/>
        </w:rPr>
        <w:t xml:space="preserve"> لتوفير حلول حماية الجمهور والإغاثة في حالات الكوارث بغية تحقيق تنسيق عالمي؛</w:t>
      </w:r>
    </w:p>
    <w:p w:rsidR="005A7A4C" w:rsidRPr="00575891" w:rsidRDefault="005A7A4C" w:rsidP="005A7A4C">
      <w:pPr>
        <w:rPr>
          <w:rtl/>
          <w:lang w:bidi="ar-EG"/>
        </w:rPr>
      </w:pPr>
      <w:r w:rsidRPr="00575891">
        <w:t>3</w:t>
      </w:r>
      <w:r w:rsidRPr="00575891">
        <w:rPr>
          <w:rtl/>
          <w:lang w:bidi="ar-EG"/>
        </w:rPr>
        <w:tab/>
        <w:t>تشجيع الإدارات على أن تأخذ في الاعتبار مديات توليف التردد المنسق عالمياً التالية، أو أجزاء منها، فيما يتعلق بما تم تخطيطه أو سيخطط له في المستقبل من عمليات حماية الجمهور والإغاثة في حالات الكوارث:</w:t>
      </w:r>
    </w:p>
    <w:p w:rsidR="005A7A4C" w:rsidRPr="00575891" w:rsidRDefault="005A7A4C" w:rsidP="005A7A4C">
      <w:pPr>
        <w:pStyle w:val="enumlev1"/>
        <w:rPr>
          <w:spacing w:val="-8"/>
        </w:rPr>
      </w:pPr>
      <w:r w:rsidRPr="00575891">
        <w:rPr>
          <w:rFonts w:hint="cs"/>
          <w:spacing w:val="-8"/>
          <w:rtl/>
        </w:rPr>
        <w:t>-</w:t>
      </w:r>
      <w:r w:rsidRPr="00575891">
        <w:rPr>
          <w:rFonts w:hint="cs"/>
          <w:spacing w:val="-8"/>
          <w:rtl/>
        </w:rPr>
        <w:tab/>
        <w:t xml:space="preserve">في الإقليم </w:t>
      </w:r>
      <w:r w:rsidRPr="00575891">
        <w:rPr>
          <w:spacing w:val="-8"/>
        </w:rPr>
        <w:t>1</w:t>
      </w:r>
      <w:r w:rsidRPr="00575891">
        <w:rPr>
          <w:rFonts w:hint="cs"/>
          <w:spacing w:val="-8"/>
          <w:rtl/>
        </w:rPr>
        <w:t xml:space="preserve">: </w:t>
      </w:r>
      <w:r w:rsidRPr="00575891">
        <w:rPr>
          <w:spacing w:val="-8"/>
        </w:rPr>
        <w:t>MHz 470</w:t>
      </w:r>
      <w:r w:rsidRPr="00575891">
        <w:rPr>
          <w:spacing w:val="-8"/>
        </w:rPr>
        <w:sym w:font="Symbol" w:char="F02D"/>
      </w:r>
      <w:r w:rsidRPr="00575891">
        <w:rPr>
          <w:spacing w:val="-8"/>
        </w:rPr>
        <w:t>380</w:t>
      </w:r>
      <w:r w:rsidRPr="00575891">
        <w:rPr>
          <w:rFonts w:hint="cs"/>
          <w:spacing w:val="-8"/>
          <w:rtl/>
        </w:rPr>
        <w:t>؛</w:t>
      </w:r>
    </w:p>
    <w:p w:rsidR="005A7A4C" w:rsidRPr="00575891" w:rsidRDefault="005A7A4C" w:rsidP="005A7A4C">
      <w:pPr>
        <w:pStyle w:val="enumlev1"/>
        <w:rPr>
          <w:rtl/>
        </w:rPr>
      </w:pPr>
      <w:r w:rsidRPr="00575891">
        <w:rPr>
          <w:rFonts w:hint="cs"/>
          <w:rtl/>
        </w:rPr>
        <w:t>-</w:t>
      </w:r>
      <w:r w:rsidRPr="00575891">
        <w:rPr>
          <w:rFonts w:hint="cs"/>
          <w:rtl/>
        </w:rPr>
        <w:tab/>
        <w:t xml:space="preserve">في الإقليم </w:t>
      </w:r>
      <w:r w:rsidRPr="00575891">
        <w:t>2</w:t>
      </w:r>
      <w:r w:rsidRPr="00575891">
        <w:rPr>
          <w:rFonts w:hint="cs"/>
          <w:rtl/>
        </w:rPr>
        <w:t xml:space="preserve">: </w:t>
      </w:r>
      <w:r w:rsidRPr="00575891">
        <w:t>MHz 4 990</w:t>
      </w:r>
      <w:r w:rsidRPr="00575891">
        <w:sym w:font="Symbol" w:char="F02D"/>
      </w:r>
      <w:r w:rsidRPr="00575891">
        <w:t>4 940</w:t>
      </w:r>
      <w:r w:rsidRPr="00575891">
        <w:rPr>
          <w:rFonts w:hint="cs"/>
          <w:rtl/>
        </w:rPr>
        <w:t>؛</w:t>
      </w:r>
    </w:p>
    <w:p w:rsidR="005A7A4C" w:rsidRPr="00575891" w:rsidRDefault="005A7A4C" w:rsidP="005A7A4C">
      <w:pPr>
        <w:rPr>
          <w:spacing w:val="-6"/>
          <w:rtl/>
        </w:rPr>
      </w:pPr>
      <w:r w:rsidRPr="00575891">
        <w:rPr>
          <w:rFonts w:hint="cs"/>
          <w:spacing w:val="-6"/>
          <w:rtl/>
        </w:rPr>
        <w:t>-</w:t>
      </w:r>
      <w:r w:rsidRPr="00575891">
        <w:rPr>
          <w:rFonts w:hint="cs"/>
          <w:spacing w:val="-6"/>
          <w:rtl/>
        </w:rPr>
        <w:tab/>
        <w:t xml:space="preserve">في الإقليم </w:t>
      </w:r>
      <w:r w:rsidRPr="00575891">
        <w:rPr>
          <w:spacing w:val="-6"/>
        </w:rPr>
        <w:t>3</w:t>
      </w:r>
      <w:r w:rsidRPr="00575891">
        <w:rPr>
          <w:rFonts w:hint="cs"/>
          <w:spacing w:val="-6"/>
          <w:rtl/>
        </w:rPr>
        <w:t xml:space="preserve">: </w:t>
      </w:r>
      <w:r w:rsidRPr="00575891">
        <w:rPr>
          <w:spacing w:val="-6"/>
        </w:rPr>
        <w:t>MHz 430</w:t>
      </w:r>
      <w:r w:rsidRPr="00575891">
        <w:rPr>
          <w:spacing w:val="-6"/>
        </w:rPr>
        <w:sym w:font="Symbol" w:char="F02D"/>
      </w:r>
      <w:r w:rsidRPr="00575891">
        <w:rPr>
          <w:spacing w:val="-6"/>
        </w:rPr>
        <w:t>406,1</w:t>
      </w:r>
      <w:r w:rsidRPr="00575891">
        <w:rPr>
          <w:rFonts w:hint="cs"/>
          <w:spacing w:val="-6"/>
          <w:rtl/>
        </w:rPr>
        <w:t xml:space="preserve"> و</w:t>
      </w:r>
      <w:r w:rsidRPr="00575891">
        <w:rPr>
          <w:spacing w:val="-6"/>
        </w:rPr>
        <w:t>MHz 470</w:t>
      </w:r>
      <w:r w:rsidRPr="00575891">
        <w:rPr>
          <w:spacing w:val="-6"/>
        </w:rPr>
        <w:sym w:font="Symbol" w:char="F02D"/>
      </w:r>
      <w:r w:rsidRPr="00575891">
        <w:rPr>
          <w:spacing w:val="-6"/>
        </w:rPr>
        <w:t>440</w:t>
      </w:r>
      <w:r w:rsidRPr="00575891">
        <w:rPr>
          <w:rFonts w:hint="cs"/>
          <w:spacing w:val="-6"/>
          <w:rtl/>
        </w:rPr>
        <w:t xml:space="preserve"> و</w:t>
      </w:r>
      <w:r w:rsidRPr="00575891">
        <w:rPr>
          <w:spacing w:val="-6"/>
        </w:rPr>
        <w:t>MHz 4 990</w:t>
      </w:r>
      <w:r w:rsidRPr="00575891">
        <w:rPr>
          <w:spacing w:val="-6"/>
        </w:rPr>
        <w:sym w:font="Symbol" w:char="F02D"/>
      </w:r>
      <w:r w:rsidRPr="00575891">
        <w:rPr>
          <w:spacing w:val="-6"/>
        </w:rPr>
        <w:t>4 940</w:t>
      </w:r>
      <w:r w:rsidRPr="00575891">
        <w:rPr>
          <w:spacing w:val="-6"/>
          <w:rtl/>
        </w:rPr>
        <w:t>؛</w:t>
      </w:r>
    </w:p>
    <w:p w:rsidR="005A7A4C" w:rsidRPr="00575891" w:rsidRDefault="005A7A4C" w:rsidP="005A7A4C">
      <w:pPr>
        <w:rPr>
          <w:spacing w:val="-6"/>
          <w:rtl/>
        </w:rPr>
      </w:pPr>
      <w:r w:rsidRPr="00575891">
        <w:rPr>
          <w:spacing w:val="-6"/>
        </w:rPr>
        <w:t>4</w:t>
      </w:r>
      <w:r w:rsidRPr="00575891">
        <w:rPr>
          <w:spacing w:val="-6"/>
          <w:rtl/>
        </w:rPr>
        <w:tab/>
      </w:r>
      <w:r w:rsidRPr="00575891">
        <w:rPr>
          <w:rtl/>
        </w:rPr>
        <w:t xml:space="preserve">أن تحتوي التوصية </w:t>
      </w:r>
      <w:r w:rsidRPr="00575891">
        <w:t>ITU-R M.2015</w:t>
      </w:r>
      <w:r w:rsidRPr="00575891">
        <w:rPr>
          <w:rtl/>
        </w:rPr>
        <w:t xml:space="preserve"> على معلومات محددة عن ترتيبات الترددات لحماية الجمهور والإغاثة في حالات الكوارث في هذه المديات، وكذلك تفاصيل محددة عن المناطق و/أو الإدارات التي تستخدم هذه المديات؛</w:t>
      </w:r>
    </w:p>
    <w:p w:rsidR="005A7A4C" w:rsidRPr="00575891" w:rsidRDefault="005A7A4C" w:rsidP="00377BE8">
      <w:r w:rsidRPr="00575891">
        <w:t>5</w:t>
      </w:r>
      <w:r w:rsidRPr="00575891">
        <w:rPr>
          <w:rtl/>
        </w:rPr>
        <w:tab/>
        <w:t xml:space="preserve">أن </w:t>
      </w:r>
      <w:r w:rsidRPr="00575891">
        <w:rPr>
          <w:rtl/>
          <w:lang w:bidi="ar-EG"/>
        </w:rPr>
        <w:t xml:space="preserve">إدراج </w:t>
      </w:r>
      <w:r w:rsidRPr="00575891">
        <w:rPr>
          <w:rtl/>
        </w:rPr>
        <w:t>مديات التردد لحماية الجمهور والإغاثة في حالات الكوارث في هذا القرار، فضلاً عن إدراج ترتيبات التردد</w:t>
      </w:r>
      <w:r w:rsidR="00377BE8">
        <w:rPr>
          <w:rFonts w:hint="cs"/>
          <w:rtl/>
        </w:rPr>
        <w:t> </w:t>
      </w:r>
      <w:r w:rsidRPr="00575891">
        <w:rPr>
          <w:rtl/>
        </w:rPr>
        <w:t>لعمليات حماية الجمهور والإغاثة في حالات الكوارث في مديات التردد هذه، كما هو مبين في أحدث نسخة من التوصية</w:t>
      </w:r>
      <w:r w:rsidR="00377BE8">
        <w:rPr>
          <w:rFonts w:hint="cs"/>
          <w:rtl/>
        </w:rPr>
        <w:t> </w:t>
      </w:r>
      <w:r w:rsidRPr="00575891">
        <w:t>ITU</w:t>
      </w:r>
      <w:r w:rsidRPr="00575891">
        <w:noBreakHyphen/>
        <w:t>R M.2015</w:t>
      </w:r>
      <w:r w:rsidRPr="00575891">
        <w:rPr>
          <w:rtl/>
        </w:rPr>
        <w:t>، لا يحول دون استعمال هذه الترددات في أي تطبيق في الخدمات الموزع لها هذه النطاقات/الترددات، كما أنه لا يحول دون استعمال أي ترددات أخرى لحماية الجمهور والإغاثة في حالات الكوارث طبقاً للوائح الراديو ولا يحدد أي</w:t>
      </w:r>
      <w:r w:rsidR="00377BE8">
        <w:rPr>
          <w:rFonts w:hint="cs"/>
          <w:rtl/>
        </w:rPr>
        <w:t> </w:t>
      </w:r>
      <w:r w:rsidRPr="00575891">
        <w:rPr>
          <w:rtl/>
        </w:rPr>
        <w:t>أولوية بالنسبة إلى هذه</w:t>
      </w:r>
      <w:r w:rsidRPr="00575891">
        <w:rPr>
          <w:rFonts w:hint="eastAsia"/>
          <w:rtl/>
        </w:rPr>
        <w:t> </w:t>
      </w:r>
      <w:r w:rsidRPr="00575891">
        <w:rPr>
          <w:rtl/>
        </w:rPr>
        <w:t>الترددات؛</w:t>
      </w:r>
    </w:p>
    <w:p w:rsidR="005A7A4C" w:rsidRPr="00575891" w:rsidRDefault="005A7A4C" w:rsidP="00B23918">
      <w:pPr>
        <w:rPr>
          <w:rtl/>
        </w:rPr>
      </w:pPr>
      <w:r w:rsidRPr="00575891">
        <w:rPr>
          <w:rtl/>
        </w:rPr>
        <w:t xml:space="preserve">يدل المصطلح "مدى </w:t>
      </w:r>
      <w:r w:rsidR="00B23918">
        <w:rPr>
          <w:rFonts w:hint="cs"/>
          <w:rtl/>
        </w:rPr>
        <w:t>توليف التردد</w:t>
      </w:r>
      <w:r w:rsidRPr="00575891">
        <w:rPr>
          <w:rtl/>
        </w:rPr>
        <w:t xml:space="preserve">" في سياق هذا القرار، على مدى ترددات يتوخى أن تكون فيه التجهيزات الراديوية قادرة على التشغيل لكنها تقتصر على نطاق </w:t>
      </w:r>
      <w:r w:rsidRPr="00575891">
        <w:rPr>
          <w:rFonts w:hint="cs"/>
          <w:rtl/>
        </w:rPr>
        <w:t>(</w:t>
      </w:r>
      <w:r w:rsidRPr="00575891">
        <w:rPr>
          <w:rtl/>
        </w:rPr>
        <w:t>نطاقات) تردد وفقاً للشروط والمتطلبات الوطنية.</w:t>
      </w:r>
    </w:p>
    <w:p w:rsidR="005A7A4C" w:rsidRPr="00575891" w:rsidRDefault="005A7A4C" w:rsidP="005A7A4C">
      <w:pPr>
        <w:rPr>
          <w:rtl/>
        </w:rPr>
      </w:pPr>
      <w:r w:rsidRPr="00575891">
        <w:t>6</w:t>
      </w:r>
      <w:r w:rsidRPr="00575891">
        <w:rPr>
          <w:rtl/>
        </w:rPr>
        <w:tab/>
        <w:t>تشجيع الإدارات على أن تلبي، في حالات الطوارئ والإغاثة في حالات الكوارث، الاحتياجات المؤقتة إلى الترددات بالإضافة إلى ما توفره عادة طبقاً للاتفاقات مع الإدارات المعنية؛</w:t>
      </w:r>
    </w:p>
    <w:p w:rsidR="005A7A4C" w:rsidRPr="00575891" w:rsidRDefault="005A7A4C" w:rsidP="005A7A4C">
      <w:pPr>
        <w:rPr>
          <w:rtl/>
        </w:rPr>
      </w:pPr>
      <w:r w:rsidRPr="00575891">
        <w:t>7</w:t>
      </w:r>
      <w:r w:rsidRPr="00575891">
        <w:rPr>
          <w:rtl/>
        </w:rPr>
        <w:tab/>
        <w:t>أن تشجع الإدارات الوكالات والمنظمات المعنية بحماية الجمهور والإغاثة في حالات الكوارث على استعمال التكنولوجيات وا</w:t>
      </w:r>
      <w:r w:rsidR="00B23918">
        <w:rPr>
          <w:rtl/>
        </w:rPr>
        <w:t>لأنظمة والحلول الحالية والجديدة</w:t>
      </w:r>
      <w:r w:rsidRPr="00575891">
        <w:rPr>
          <w:rtl/>
        </w:rPr>
        <w:t>، بالقدر الممكن عملياً، وتلبية متطلبات التشغيل البيني، والعمل على تحقيق أهداف حماية الجمهور والإغاثة في حالات الكوارث؛</w:t>
      </w:r>
    </w:p>
    <w:p w:rsidR="005A7A4C" w:rsidRPr="00575891" w:rsidRDefault="005A7A4C" w:rsidP="005A7A4C">
      <w:pPr>
        <w:rPr>
          <w:rtl/>
        </w:rPr>
      </w:pPr>
      <w:r w:rsidRPr="00575891">
        <w:t>8</w:t>
      </w:r>
      <w:r w:rsidRPr="00575891">
        <w:rPr>
          <w:rtl/>
        </w:rPr>
        <w:tab/>
        <w:t>تشجيع الإدارات على تيسير التداول عبر الحدود لتجهيزات الاتصالات الراديوية التي تستخدم في الطوارئ والإغاثة في حالات الكوارث، من خلال التعاون والتشاور المتبادل دون الإخلال بالتشريعات الوطنية؛</w:t>
      </w:r>
    </w:p>
    <w:p w:rsidR="005A7A4C" w:rsidRPr="00575891" w:rsidRDefault="005A7A4C" w:rsidP="005A7A4C">
      <w:pPr>
        <w:rPr>
          <w:rtl/>
        </w:rPr>
      </w:pPr>
      <w:r w:rsidRPr="00575891">
        <w:t>9</w:t>
      </w:r>
      <w:r w:rsidRPr="00575891">
        <w:rPr>
          <w:rtl/>
        </w:rPr>
        <w:tab/>
        <w:t xml:space="preserve">أن تشجع الإدارات الوكالات والمنظمات المعنية بحماية الجمهور والإغاثة في حالات الكوارث على استعمال التوصيات </w:t>
      </w:r>
      <w:r w:rsidRPr="00575891">
        <w:rPr>
          <w:rtl/>
          <w:lang w:bidi="ar-EG"/>
        </w:rPr>
        <w:t xml:space="preserve">والتقارير </w:t>
      </w:r>
      <w:r w:rsidRPr="00575891">
        <w:rPr>
          <w:rtl/>
        </w:rPr>
        <w:t>ذات الصلة التي يصدرها قطاع الاتصالات الراديوية في الاتحاد في تخطيط استخدامات الطيف وتنفيذ التكنولوجيات والأنظمة التي تدعم حماية الجمهور والإغاثة في حالات الكوارث؛</w:t>
      </w:r>
    </w:p>
    <w:p w:rsidR="005A7A4C" w:rsidRPr="00575891" w:rsidRDefault="005A7A4C" w:rsidP="005A7A4C">
      <w:pPr>
        <w:rPr>
          <w:highlight w:val="yellow"/>
          <w:rtl/>
        </w:rPr>
      </w:pPr>
      <w:r w:rsidRPr="00575891">
        <w:t>10</w:t>
      </w:r>
      <w:r w:rsidRPr="00575891">
        <w:rPr>
          <w:rtl/>
        </w:rPr>
        <w:tab/>
        <w:t>تشجيع الإدارات على مواصلة التعاون مع الجهات المعنية بحماية الجمهور والإغاثة في حالات الكوارث كي تحدد بمزيد من الدقة المتطلبات التشغيلية اللازمة لأنشطة حماية الجمهور والإغاثة في حالات الكوارث؛</w:t>
      </w:r>
    </w:p>
    <w:p w:rsidR="005A7A4C" w:rsidRPr="004446E5" w:rsidRDefault="005A7A4C" w:rsidP="00245FD6">
      <w:pPr>
        <w:rPr>
          <w:lang w:bidi="ar-EG"/>
        </w:rPr>
      </w:pPr>
      <w:r w:rsidRPr="00575891">
        <w:lastRenderedPageBreak/>
        <w:t>11</w:t>
      </w:r>
      <w:r w:rsidRPr="00575891">
        <w:rPr>
          <w:rtl/>
        </w:rPr>
        <w:tab/>
        <w:t xml:space="preserve">أنه ينبغي تشجيع الدوائر الصناعية على أخذ هذا القرار </w:t>
      </w:r>
      <w:r w:rsidRPr="00575891">
        <w:rPr>
          <w:rtl/>
          <w:lang w:bidi="ar-EG"/>
        </w:rPr>
        <w:t xml:space="preserve">وتوصيات وتقارير قطاع الاتصالات الراديوية </w:t>
      </w:r>
      <w:r w:rsidRPr="00575891">
        <w:rPr>
          <w:rtl/>
        </w:rPr>
        <w:t>في الاعتبار عند تصميم المعدات في المستقبل بما في ذلك حاجة الإدارات إلى العمل في الأجزاء المختلفة من ترتيبات التردد الموصوفة في</w:t>
      </w:r>
      <w:r w:rsidRPr="00575891">
        <w:rPr>
          <w:rFonts w:hint="cs"/>
          <w:rtl/>
        </w:rPr>
        <w:t> </w:t>
      </w:r>
      <w:r w:rsidRPr="00575891">
        <w:rPr>
          <w:rtl/>
        </w:rPr>
        <w:t xml:space="preserve">أحدث نسخة من التوصية </w:t>
      </w:r>
      <w:r w:rsidRPr="00575891">
        <w:t>ITU-R</w:t>
      </w:r>
      <w:r w:rsidRPr="00575891">
        <w:rPr>
          <w:spacing w:val="-1"/>
        </w:rPr>
        <w:t xml:space="preserve"> </w:t>
      </w:r>
      <w:r w:rsidRPr="00575891">
        <w:t>M.2015</w:t>
      </w:r>
      <w:r w:rsidRPr="00575891">
        <w:rPr>
          <w:rtl/>
        </w:rPr>
        <w:t>،</w:t>
      </w:r>
      <w:bookmarkStart w:id="1" w:name="_GoBack"/>
      <w:bookmarkEnd w:id="1"/>
    </w:p>
    <w:p w:rsidR="005A7A4C" w:rsidRPr="004446E5" w:rsidRDefault="005A7A4C" w:rsidP="00881E37">
      <w:pPr>
        <w:pStyle w:val="Headingb"/>
        <w:rPr>
          <w:rtl/>
        </w:rPr>
      </w:pPr>
      <w:r w:rsidRPr="004446E5">
        <w:rPr>
          <w:rFonts w:hint="cs"/>
          <w:rtl/>
        </w:rPr>
        <w:t>ويدعو</w:t>
      </w:r>
      <w:r w:rsidRPr="004446E5">
        <w:rPr>
          <w:rFonts w:hint="eastAsia"/>
          <w:rtl/>
        </w:rPr>
        <w:t xml:space="preserve"> </w:t>
      </w:r>
      <w:r w:rsidRPr="004446E5">
        <w:rPr>
          <w:rFonts w:hint="cs"/>
          <w:rtl/>
        </w:rPr>
        <w:t>قطاع</w:t>
      </w:r>
      <w:r w:rsidRPr="004446E5">
        <w:rPr>
          <w:rFonts w:hint="eastAsia"/>
          <w:rtl/>
        </w:rPr>
        <w:t xml:space="preserve"> </w:t>
      </w:r>
      <w:r w:rsidRPr="004446E5">
        <w:rPr>
          <w:rFonts w:hint="cs"/>
          <w:rtl/>
        </w:rPr>
        <w:t>الاتصالات</w:t>
      </w:r>
      <w:r w:rsidRPr="004446E5">
        <w:rPr>
          <w:rFonts w:hint="eastAsia"/>
          <w:rtl/>
        </w:rPr>
        <w:t xml:space="preserve"> </w:t>
      </w:r>
      <w:r w:rsidRPr="004446E5">
        <w:rPr>
          <w:rFonts w:hint="cs"/>
          <w:rtl/>
        </w:rPr>
        <w:t>الراديوية</w:t>
      </w:r>
      <w:r w:rsidRPr="004446E5">
        <w:rPr>
          <w:rFonts w:hint="eastAsia"/>
          <w:rtl/>
        </w:rPr>
        <w:t xml:space="preserve"> </w:t>
      </w:r>
      <w:r w:rsidRPr="004446E5">
        <w:rPr>
          <w:rFonts w:hint="cs"/>
          <w:rtl/>
        </w:rPr>
        <w:t>في</w:t>
      </w:r>
      <w:r w:rsidRPr="004446E5">
        <w:rPr>
          <w:rFonts w:hint="eastAsia"/>
          <w:rtl/>
        </w:rPr>
        <w:t> </w:t>
      </w:r>
      <w:r w:rsidRPr="004446E5">
        <w:rPr>
          <w:rFonts w:hint="cs"/>
          <w:rtl/>
        </w:rPr>
        <w:t>الاتحاد</w:t>
      </w:r>
      <w:r w:rsidRPr="004446E5">
        <w:rPr>
          <w:rFonts w:hint="eastAsia"/>
          <w:rtl/>
        </w:rPr>
        <w:t xml:space="preserve"> </w:t>
      </w:r>
      <w:r w:rsidRPr="004446E5">
        <w:rPr>
          <w:rFonts w:hint="cs"/>
          <w:rtl/>
        </w:rPr>
        <w:t>إلى</w:t>
      </w:r>
    </w:p>
    <w:p w:rsidR="005A7A4C" w:rsidRPr="00575891" w:rsidRDefault="005A7A4C" w:rsidP="005A7A4C">
      <w:pPr>
        <w:rPr>
          <w:rtl/>
        </w:rPr>
      </w:pPr>
      <w:r w:rsidRPr="00575891">
        <w:t>1</w:t>
      </w:r>
      <w:r w:rsidRPr="00575891">
        <w:rPr>
          <w:rtl/>
        </w:rPr>
        <w:tab/>
        <w:t>مواصلة إجراء الدراسات التقنية ووضع توصيات فيما يتعلق بالتنفيذ التقني والتشغيلي، حسب الاقتضاء، للحلول المتقدمة اللازمة لتلبية احتياجات تطبيقات الاتصالات الراديوية المستخدمة في أغراض حماية الجمهور والإغاثة في حالات الكوارث، مع مراعاة قدرات الأنظمة الحالية وما يمكن أن يطرأ عليها من تطور وما يترتب على ذلك من متطلبات انتقالية، وخصوصاً الأنظمة القائمة في كثير من البلدان النامية، للقيام بالعمليات الوطنية والدولية؛</w:t>
      </w:r>
    </w:p>
    <w:p w:rsidR="005A7A4C" w:rsidRDefault="005A7A4C" w:rsidP="00881E37">
      <w:pPr>
        <w:rPr>
          <w:rtl/>
        </w:rPr>
      </w:pPr>
      <w:r w:rsidRPr="00575891">
        <w:t>2</w:t>
      </w:r>
      <w:r w:rsidRPr="00575891">
        <w:rPr>
          <w:rtl/>
        </w:rPr>
        <w:tab/>
        <w:t xml:space="preserve">استعراض التوصية </w:t>
      </w:r>
      <w:r w:rsidRPr="00575891">
        <w:t>ITU</w:t>
      </w:r>
      <w:r w:rsidR="00881E37" w:rsidRPr="00575891">
        <w:noBreakHyphen/>
      </w:r>
      <w:r w:rsidRPr="00575891">
        <w:t>R</w:t>
      </w:r>
      <w:r w:rsidR="00881E37" w:rsidRPr="00575891">
        <w:t> </w:t>
      </w:r>
      <w:r w:rsidRPr="00575891">
        <w:t>M.2015</w:t>
      </w:r>
      <w:r w:rsidRPr="00575891">
        <w:rPr>
          <w:rtl/>
        </w:rPr>
        <w:t xml:space="preserve"> والتوصيات والتقارير الأخرى لقطاع الاتصالات الراديوية ذات الصلة ومراجعتها، حسب الاقتضاء.</w:t>
      </w:r>
    </w:p>
    <w:p w:rsidR="00881E37" w:rsidRDefault="00245FD6" w:rsidP="00CE49D8">
      <w:r>
        <w:rPr>
          <w:rFonts w:hint="cs"/>
          <w:rtl/>
          <w:lang w:bidi="ar-EG"/>
        </w:rPr>
        <w:t xml:space="preserve">تؤيد الدول الأعضاء في </w:t>
      </w:r>
      <w:r>
        <w:rPr>
          <w:color w:val="000000"/>
          <w:rtl/>
        </w:rPr>
        <w:t>الجماعة الإنمائية للجنوب الإفريقي</w:t>
      </w:r>
      <w:r w:rsidR="00CE49D8">
        <w:rPr>
          <w:rFonts w:hint="cs"/>
          <w:color w:val="000000"/>
          <w:rtl/>
        </w:rPr>
        <w:t xml:space="preserve"> </w:t>
      </w:r>
      <w:r>
        <w:rPr>
          <w:color w:val="000000"/>
        </w:rPr>
        <w:t>(SADC)</w:t>
      </w:r>
      <w:r w:rsidR="00CE49D8">
        <w:rPr>
          <w:rFonts w:hint="cs"/>
          <w:color w:val="000000"/>
          <w:rtl/>
        </w:rPr>
        <w:t xml:space="preserve"> </w:t>
      </w:r>
      <w:r>
        <w:rPr>
          <w:rFonts w:hint="cs"/>
          <w:rtl/>
          <w:lang w:bidi="ar-EG"/>
        </w:rPr>
        <w:t xml:space="preserve">الأسلوب </w:t>
      </w:r>
      <w:r>
        <w:rPr>
          <w:lang w:bidi="ar-EG"/>
        </w:rPr>
        <w:t>D</w:t>
      </w:r>
      <w:r>
        <w:rPr>
          <w:rFonts w:hint="cs"/>
          <w:rtl/>
          <w:lang w:bidi="ar-EG"/>
        </w:rPr>
        <w:t xml:space="preserve"> الذي </w:t>
      </w:r>
      <w:r w:rsidR="00881E37" w:rsidRPr="00C03738">
        <w:rPr>
          <w:rFonts w:hint="cs"/>
          <w:rtl/>
        </w:rPr>
        <w:t xml:space="preserve">يوصي الإدارات بقوة </w:t>
      </w:r>
      <w:r>
        <w:rPr>
          <w:rFonts w:hint="cs"/>
          <w:rtl/>
        </w:rPr>
        <w:t>ب</w:t>
      </w:r>
      <w:r w:rsidR="00881E37" w:rsidRPr="00C03738">
        <w:rPr>
          <w:rFonts w:hint="cs"/>
          <w:rtl/>
        </w:rPr>
        <w:t>استعمال النطاقات المنسقة على المستوى الإقليمي في أغراض حماية الجمهور والإغاثة في حالات الكوارث إلى أقصى حد ممكن، آخذة بعين الاعتبار المتطلبات الوطنية والإقليمية وكذلك مراعاة ما</w:t>
      </w:r>
      <w:r w:rsidR="00881E37" w:rsidRPr="00C03738">
        <w:rPr>
          <w:rFonts w:hint="eastAsia"/>
          <w:rtl/>
        </w:rPr>
        <w:t> </w:t>
      </w:r>
      <w:r w:rsidR="00881E37" w:rsidRPr="00C03738">
        <w:rPr>
          <w:rFonts w:hint="cs"/>
          <w:rtl/>
        </w:rPr>
        <w:t>قد</w:t>
      </w:r>
      <w:r w:rsidR="00881E37" w:rsidRPr="00C03738">
        <w:rPr>
          <w:rFonts w:hint="eastAsia"/>
          <w:rtl/>
        </w:rPr>
        <w:t> </w:t>
      </w:r>
      <w:r w:rsidR="00881E37" w:rsidRPr="00C03738">
        <w:rPr>
          <w:rFonts w:hint="cs"/>
          <w:rtl/>
        </w:rPr>
        <w:t>يلزم من تشاور وتعاون مع البلدان الأخرى المعنية</w:t>
      </w:r>
      <w:r>
        <w:rPr>
          <w:rFonts w:hint="cs"/>
          <w:rtl/>
        </w:rPr>
        <w:t>.</w:t>
      </w:r>
    </w:p>
    <w:p w:rsidR="00881E37" w:rsidRPr="00881E37" w:rsidRDefault="00950720" w:rsidP="00950720">
      <w:pPr>
        <w:spacing w:before="600"/>
        <w:jc w:val="center"/>
        <w:rPr>
          <w:noProof/>
          <w:rtl/>
          <w:lang w:bidi="ar-EG"/>
        </w:rPr>
      </w:pPr>
      <w:r>
        <w:rPr>
          <w:rFonts w:hint="cs"/>
          <w:noProof/>
          <w:rtl/>
          <w:lang w:bidi="ar-EG"/>
        </w:rPr>
        <w:t>___________</w:t>
      </w:r>
    </w:p>
    <w:sectPr w:rsidR="00881E37" w:rsidRPr="00881E37"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D923AE">
    <w:pPr>
      <w:pStyle w:val="Footer"/>
      <w:tabs>
        <w:tab w:val="clear" w:pos="5812"/>
        <w:tab w:val="left" w:pos="6379"/>
      </w:tabs>
      <w:rPr>
        <w:lang w:val="es-ES"/>
      </w:rPr>
    </w:pPr>
    <w:r w:rsidRPr="00CB4300">
      <w:fldChar w:fldCharType="begin"/>
    </w:r>
    <w:r w:rsidRPr="00CB4300">
      <w:rPr>
        <w:lang w:val="es-ES"/>
      </w:rPr>
      <w:instrText xml:space="preserve"> FILENAME \p \* MERGEFORMAT </w:instrText>
    </w:r>
    <w:r w:rsidRPr="00CB4300">
      <w:fldChar w:fldCharType="separate"/>
    </w:r>
    <w:r w:rsidR="00B44592">
      <w:rPr>
        <w:noProof/>
        <w:lang w:val="es-ES"/>
      </w:rPr>
      <w:t>P:\ARA\ITU-R\CONF-R\CMR15\100\130ADD03A.docx</w:t>
    </w:r>
    <w:r w:rsidRPr="00CB4300">
      <w:fldChar w:fldCharType="end"/>
    </w:r>
    <w:r w:rsidRPr="00CB4300">
      <w:rPr>
        <w:lang w:val="es-ES"/>
      </w:rPr>
      <w:t xml:space="preserve">  (</w:t>
    </w:r>
    <w:r w:rsidR="00376D0C">
      <w:rPr>
        <w:lang w:val="es-ES"/>
      </w:rPr>
      <w:t>389000</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215C1D">
      <w:rPr>
        <w:noProof/>
      </w:rPr>
      <w:t>31.10.15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D923AE">
    <w:pPr>
      <w:pStyle w:val="Footer"/>
      <w:tabs>
        <w:tab w:val="clear" w:pos="5812"/>
        <w:tab w:val="left" w:pos="6379"/>
      </w:tabs>
      <w:rPr>
        <w:lang w:val="es-ES"/>
      </w:rPr>
    </w:pPr>
    <w:r>
      <w:fldChar w:fldCharType="begin"/>
    </w:r>
    <w:r w:rsidRPr="00CB4300">
      <w:rPr>
        <w:lang w:val="es-ES"/>
      </w:rPr>
      <w:instrText xml:space="preserve"> FILENAME \p \* MERGEFORMAT </w:instrText>
    </w:r>
    <w:r>
      <w:fldChar w:fldCharType="separate"/>
    </w:r>
    <w:r w:rsidR="00B44592">
      <w:rPr>
        <w:noProof/>
        <w:lang w:val="es-ES"/>
      </w:rPr>
      <w:t>P:\ARA\ITU-R\CONF-R\CMR15\100\130ADD03A.docx</w:t>
    </w:r>
    <w:r>
      <w:fldChar w:fldCharType="end"/>
    </w:r>
    <w:r w:rsidRPr="00CB4300">
      <w:rPr>
        <w:lang w:val="es-ES"/>
      </w:rPr>
      <w:t xml:space="preserve">   (</w:t>
    </w:r>
    <w:r w:rsidR="00376D0C">
      <w:rPr>
        <w:lang w:val="es-ES"/>
      </w:rPr>
      <w:t>389000</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215C1D">
      <w:rPr>
        <w:noProof/>
      </w:rPr>
      <w:t>31.10.15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CE49D8">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130(Add.3)-</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15C1D"/>
    <w:rsid w:val="00221E96"/>
    <w:rsid w:val="002333A0"/>
    <w:rsid w:val="00245FD6"/>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76D0C"/>
    <w:rsid w:val="00377BE8"/>
    <w:rsid w:val="003815E2"/>
    <w:rsid w:val="00381FAD"/>
    <w:rsid w:val="00382A66"/>
    <w:rsid w:val="003923B1"/>
    <w:rsid w:val="003965FE"/>
    <w:rsid w:val="003A6AB4"/>
    <w:rsid w:val="003B27AD"/>
    <w:rsid w:val="003B48C4"/>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0875"/>
    <w:rsid w:val="00505FCA"/>
    <w:rsid w:val="00510C2D"/>
    <w:rsid w:val="005169F4"/>
    <w:rsid w:val="005210D1"/>
    <w:rsid w:val="00523146"/>
    <w:rsid w:val="00523275"/>
    <w:rsid w:val="00531DC7"/>
    <w:rsid w:val="005350B0"/>
    <w:rsid w:val="00546A99"/>
    <w:rsid w:val="00553411"/>
    <w:rsid w:val="00554AE7"/>
    <w:rsid w:val="00564746"/>
    <w:rsid w:val="0056512C"/>
    <w:rsid w:val="00575891"/>
    <w:rsid w:val="00576D0A"/>
    <w:rsid w:val="00576FCC"/>
    <w:rsid w:val="00584333"/>
    <w:rsid w:val="005930D8"/>
    <w:rsid w:val="005953EC"/>
    <w:rsid w:val="005A7A4C"/>
    <w:rsid w:val="005B00A1"/>
    <w:rsid w:val="005C29C8"/>
    <w:rsid w:val="005C5D25"/>
    <w:rsid w:val="005D6D48"/>
    <w:rsid w:val="005D72A4"/>
    <w:rsid w:val="005F05CC"/>
    <w:rsid w:val="005F65DE"/>
    <w:rsid w:val="00613492"/>
    <w:rsid w:val="00623905"/>
    <w:rsid w:val="006315B5"/>
    <w:rsid w:val="00651343"/>
    <w:rsid w:val="0065562F"/>
    <w:rsid w:val="00663348"/>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1E37"/>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0720"/>
    <w:rsid w:val="00951718"/>
    <w:rsid w:val="00954CCB"/>
    <w:rsid w:val="00960962"/>
    <w:rsid w:val="00972CE0"/>
    <w:rsid w:val="00990D73"/>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23918"/>
    <w:rsid w:val="00B357E9"/>
    <w:rsid w:val="00B4164D"/>
    <w:rsid w:val="00B425C1"/>
    <w:rsid w:val="00B44592"/>
    <w:rsid w:val="00B528DF"/>
    <w:rsid w:val="00B606BA"/>
    <w:rsid w:val="00B6515B"/>
    <w:rsid w:val="00B66817"/>
    <w:rsid w:val="00B71E3B"/>
    <w:rsid w:val="00B721D5"/>
    <w:rsid w:val="00B81CB5"/>
    <w:rsid w:val="00B8351F"/>
    <w:rsid w:val="00B86C44"/>
    <w:rsid w:val="00B9727C"/>
    <w:rsid w:val="00BA1132"/>
    <w:rsid w:val="00BA610A"/>
    <w:rsid w:val="00BA7D44"/>
    <w:rsid w:val="00BD6EF3"/>
    <w:rsid w:val="00BE69C3"/>
    <w:rsid w:val="00C03738"/>
    <w:rsid w:val="00C1165E"/>
    <w:rsid w:val="00C22074"/>
    <w:rsid w:val="00C2377B"/>
    <w:rsid w:val="00C3693C"/>
    <w:rsid w:val="00C53F6F"/>
    <w:rsid w:val="00C5489D"/>
    <w:rsid w:val="00C71759"/>
    <w:rsid w:val="00C8199C"/>
    <w:rsid w:val="00C84112"/>
    <w:rsid w:val="00C841EB"/>
    <w:rsid w:val="00C8665F"/>
    <w:rsid w:val="00C917B5"/>
    <w:rsid w:val="00C91A60"/>
    <w:rsid w:val="00C92167"/>
    <w:rsid w:val="00C94DFA"/>
    <w:rsid w:val="00CA298C"/>
    <w:rsid w:val="00CB2BF9"/>
    <w:rsid w:val="00CB4300"/>
    <w:rsid w:val="00CB454E"/>
    <w:rsid w:val="00CC030E"/>
    <w:rsid w:val="00CC57D0"/>
    <w:rsid w:val="00CC68C4"/>
    <w:rsid w:val="00CC79A4"/>
    <w:rsid w:val="00CD0FDE"/>
    <w:rsid w:val="00CE0E68"/>
    <w:rsid w:val="00CE49D8"/>
    <w:rsid w:val="00CE5BA4"/>
    <w:rsid w:val="00D25120"/>
    <w:rsid w:val="00D419CB"/>
    <w:rsid w:val="00D44350"/>
    <w:rsid w:val="00D44E3F"/>
    <w:rsid w:val="00D525F5"/>
    <w:rsid w:val="00D535D0"/>
    <w:rsid w:val="00D62C78"/>
    <w:rsid w:val="00D81703"/>
    <w:rsid w:val="00D82929"/>
    <w:rsid w:val="00D84214"/>
    <w:rsid w:val="00D923AE"/>
    <w:rsid w:val="00D943E5"/>
    <w:rsid w:val="00DA1AE0"/>
    <w:rsid w:val="00DC29DD"/>
    <w:rsid w:val="00DC7C0E"/>
    <w:rsid w:val="00DD4024"/>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8593D98-5149-4A81-A72F-890D2500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1464F2"/>
    <w:rPr>
      <w:rFonts w:cs="Times New Roman"/>
      <w:position w:val="6"/>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qFormat/>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Footnotetexte">
    <w:name w:val="Footnote texte"/>
    <w:basedOn w:val="Normal"/>
    <w:qFormat/>
    <w:rsid w:val="005A7A4C"/>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R15-WRC15-C-0130!A3!MSW-A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678BDDFA-5258-4E6B-ACB3-75FBBF4EC15D}">
  <ds:schemaRefs>
    <ds:schemaRef ds:uri="http://purl.org/dc/terms/"/>
    <ds:schemaRef ds:uri="http://purl.org/dc/dcmitype/"/>
    <ds:schemaRef ds:uri="32a1a8c5-2265-4ebc-b7a0-2071e2c5c9bb"/>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996b2e75-67fd-4955-a3b0-5ab9934cb50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D9C642D2-DB9F-4667-BB61-C11E297B9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836</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R15-WRC15-C-0130!A3!MSW-A</vt:lpstr>
    </vt:vector>
  </TitlesOfParts>
  <Manager>General Secretariat - Pool</Manager>
  <Company>International Telecommunication Union (ITU)</Company>
  <LinksUpToDate>false</LinksUpToDate>
  <CharactersWithSpaces>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R15-WRC15-C-0130!A3!MSW-A</dc:title>
  <dc:creator>Documents Proposals Manager (DPM)</dc:creator>
  <cp:keywords>DPM_v5.2015.10.15_prod</cp:keywords>
  <cp:lastModifiedBy>Saad, Samuel</cp:lastModifiedBy>
  <cp:revision>5</cp:revision>
  <cp:lastPrinted>2011-11-07T13:53:00Z</cp:lastPrinted>
  <dcterms:created xsi:type="dcterms:W3CDTF">2015-10-31T16:34:00Z</dcterms:created>
  <dcterms:modified xsi:type="dcterms:W3CDTF">2015-10-31T18:34:00Z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