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63"/>
        <w:gridCol w:w="248"/>
        <w:gridCol w:w="3120"/>
      </w:tblGrid>
      <w:tr w:rsidR="0090121B" w:rsidRPr="00082D9D" w:rsidTr="0050008E">
        <w:trPr>
          <w:cantSplit/>
        </w:trPr>
        <w:tc>
          <w:tcPr>
            <w:tcW w:w="6911" w:type="dxa"/>
            <w:gridSpan w:val="2"/>
          </w:tcPr>
          <w:p w:rsidR="0090121B" w:rsidRPr="00082D9D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082D9D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(CMR-15)</w:t>
            </w:r>
            <w:r w:rsidRPr="00082D9D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082D9D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Ginebra, 2-27 de noviembre de 2015</w:t>
            </w:r>
          </w:p>
        </w:tc>
        <w:tc>
          <w:tcPr>
            <w:tcW w:w="3120" w:type="dxa"/>
          </w:tcPr>
          <w:p w:rsidR="0090121B" w:rsidRPr="00082D9D" w:rsidRDefault="00CE7431" w:rsidP="00CE7431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082D9D">
              <w:rPr>
                <w:noProof/>
                <w:lang w:val="en-GB" w:eastAsia="zh-CN"/>
              </w:rPr>
              <w:drawing>
                <wp:inline distT="0" distB="0" distL="0" distR="0" wp14:anchorId="478394D8" wp14:editId="1DF1FB69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82D9D" w:rsidTr="0050008E">
        <w:trPr>
          <w:cantSplit/>
        </w:trPr>
        <w:tc>
          <w:tcPr>
            <w:tcW w:w="6911" w:type="dxa"/>
            <w:gridSpan w:val="2"/>
            <w:tcBorders>
              <w:bottom w:val="single" w:sz="12" w:space="0" w:color="auto"/>
            </w:tcBorders>
          </w:tcPr>
          <w:p w:rsidR="0090121B" w:rsidRPr="00082D9D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1" w:name="dhead"/>
            <w:r w:rsidRPr="00082D9D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90121B" w:rsidRPr="00082D9D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082D9D" w:rsidTr="00796E26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:rsidR="0090121B" w:rsidRPr="00082D9D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368" w:type="dxa"/>
            <w:gridSpan w:val="2"/>
            <w:tcBorders>
              <w:top w:val="single" w:sz="12" w:space="0" w:color="auto"/>
            </w:tcBorders>
          </w:tcPr>
          <w:p w:rsidR="0090121B" w:rsidRPr="00082D9D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082D9D" w:rsidTr="00796E26">
        <w:trPr>
          <w:cantSplit/>
        </w:trPr>
        <w:tc>
          <w:tcPr>
            <w:tcW w:w="6663" w:type="dxa"/>
            <w:shd w:val="clear" w:color="auto" w:fill="auto"/>
          </w:tcPr>
          <w:p w:rsidR="0090121B" w:rsidRPr="00082D9D" w:rsidRDefault="00796E26" w:rsidP="00796E26">
            <w:pPr>
              <w:pStyle w:val="Committee"/>
              <w:framePr w:hSpace="0" w:wrap="auto" w:hAnchor="text" w:yAlign="inline"/>
            </w:pPr>
            <w:r>
              <w:t>COMISIÓN 6</w:t>
            </w:r>
          </w:p>
        </w:tc>
        <w:tc>
          <w:tcPr>
            <w:tcW w:w="3368" w:type="dxa"/>
            <w:gridSpan w:val="2"/>
            <w:shd w:val="clear" w:color="auto" w:fill="auto"/>
          </w:tcPr>
          <w:p w:rsidR="0090121B" w:rsidRPr="00082D9D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r w:rsidRPr="00082D9D">
              <w:rPr>
                <w:rFonts w:ascii="Verdana" w:eastAsia="SimSun" w:hAnsi="Verdana" w:cs="Traditional Arabic"/>
                <w:b/>
                <w:sz w:val="20"/>
              </w:rPr>
              <w:t>Addéndum 4 al</w:t>
            </w:r>
            <w:r w:rsidRPr="00082D9D">
              <w:rPr>
                <w:rFonts w:ascii="Verdana" w:eastAsia="SimSun" w:hAnsi="Verdana" w:cs="Traditional Arabic"/>
                <w:b/>
                <w:sz w:val="20"/>
              </w:rPr>
              <w:br/>
              <w:t>Documento 130(Add.25)</w:t>
            </w:r>
            <w:r w:rsidR="0090121B" w:rsidRPr="00082D9D">
              <w:rPr>
                <w:rFonts w:ascii="Verdana" w:hAnsi="Verdana"/>
                <w:b/>
                <w:sz w:val="20"/>
              </w:rPr>
              <w:t>-</w:t>
            </w:r>
            <w:r w:rsidRPr="00082D9D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082D9D" w:rsidTr="00796E26">
        <w:trPr>
          <w:cantSplit/>
        </w:trPr>
        <w:tc>
          <w:tcPr>
            <w:tcW w:w="6663" w:type="dxa"/>
            <w:shd w:val="clear" w:color="auto" w:fill="auto"/>
          </w:tcPr>
          <w:p w:rsidR="000A5B9A" w:rsidRPr="00082D9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:rsidR="000A5B9A" w:rsidRPr="00082D9D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082D9D">
              <w:rPr>
                <w:rFonts w:ascii="Verdana" w:hAnsi="Verdana"/>
                <w:b/>
                <w:sz w:val="20"/>
              </w:rPr>
              <w:t>5 de noviembre de 2015</w:t>
            </w:r>
          </w:p>
        </w:tc>
      </w:tr>
      <w:tr w:rsidR="000A5B9A" w:rsidRPr="00082D9D" w:rsidTr="00796E26">
        <w:trPr>
          <w:cantSplit/>
        </w:trPr>
        <w:tc>
          <w:tcPr>
            <w:tcW w:w="6663" w:type="dxa"/>
          </w:tcPr>
          <w:p w:rsidR="000A5B9A" w:rsidRPr="00082D9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368" w:type="dxa"/>
            <w:gridSpan w:val="2"/>
          </w:tcPr>
          <w:p w:rsidR="000A5B9A" w:rsidRPr="00082D9D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082D9D"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0A5B9A" w:rsidRPr="00082D9D" w:rsidTr="006744FC">
        <w:trPr>
          <w:cantSplit/>
        </w:trPr>
        <w:tc>
          <w:tcPr>
            <w:tcW w:w="10031" w:type="dxa"/>
            <w:gridSpan w:val="3"/>
          </w:tcPr>
          <w:p w:rsidR="000A5B9A" w:rsidRPr="00082D9D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082D9D" w:rsidTr="0050008E">
        <w:trPr>
          <w:cantSplit/>
        </w:trPr>
        <w:tc>
          <w:tcPr>
            <w:tcW w:w="10031" w:type="dxa"/>
            <w:gridSpan w:val="3"/>
          </w:tcPr>
          <w:p w:rsidR="000A5B9A" w:rsidRPr="00082D9D" w:rsidRDefault="000A5B9A" w:rsidP="008F654F">
            <w:pPr>
              <w:pStyle w:val="Source"/>
            </w:pPr>
            <w:bookmarkStart w:id="2" w:name="dsource" w:colFirst="0" w:colLast="0"/>
            <w:r w:rsidRPr="00082D9D">
              <w:t>Angola (República de)/Botswana (República de</w:t>
            </w:r>
            <w:r w:rsidR="008F654F">
              <w:t>)/</w:t>
            </w:r>
            <w:proofErr w:type="spellStart"/>
            <w:r w:rsidRPr="00082D9D">
              <w:t>Lesotho</w:t>
            </w:r>
            <w:proofErr w:type="spellEnd"/>
            <w:r w:rsidRPr="00082D9D">
              <w:t xml:space="preserve"> (Reino de)/Mauricio (República de)/Madagasc</w:t>
            </w:r>
            <w:bookmarkStart w:id="3" w:name="_GoBack"/>
            <w:bookmarkEnd w:id="3"/>
            <w:r w:rsidRPr="00082D9D">
              <w:t>ar (República de)/Mozambique (República de)/Malawi/Namibia (República de)/</w:t>
            </w:r>
            <w:r w:rsidR="008F654F" w:rsidRPr="00082D9D">
              <w:t>República Democrática del Congo</w:t>
            </w:r>
            <w:r w:rsidR="008F654F">
              <w:t>/</w:t>
            </w:r>
            <w:r w:rsidRPr="00082D9D">
              <w:t>Seychelles (República de)/Sudafricana (República)/Swazilandia (Reino de)/Tanzanía (República Unida de)/Zambia (República de)/Zimbabwe (República de)</w:t>
            </w:r>
          </w:p>
        </w:tc>
      </w:tr>
      <w:tr w:rsidR="000A5B9A" w:rsidRPr="00082D9D" w:rsidTr="0050008E">
        <w:trPr>
          <w:cantSplit/>
        </w:trPr>
        <w:tc>
          <w:tcPr>
            <w:tcW w:w="10031" w:type="dxa"/>
            <w:gridSpan w:val="3"/>
          </w:tcPr>
          <w:p w:rsidR="000A5B9A" w:rsidRPr="00082D9D" w:rsidRDefault="00082D9D" w:rsidP="000A5B9A">
            <w:pPr>
              <w:pStyle w:val="Title1"/>
            </w:pPr>
            <w:bookmarkStart w:id="4" w:name="dtitle1" w:colFirst="0" w:colLast="0"/>
            <w:bookmarkEnd w:id="2"/>
            <w:r>
              <w:t>pROPUESTAS COMUNES PARA LOS TRABAJOS DE LA CONFERENCIA</w:t>
            </w:r>
          </w:p>
        </w:tc>
      </w:tr>
      <w:tr w:rsidR="000A5B9A" w:rsidRPr="00082D9D" w:rsidTr="0050008E">
        <w:trPr>
          <w:cantSplit/>
        </w:trPr>
        <w:tc>
          <w:tcPr>
            <w:tcW w:w="10031" w:type="dxa"/>
            <w:gridSpan w:val="3"/>
          </w:tcPr>
          <w:p w:rsidR="000A5B9A" w:rsidRPr="00082D9D" w:rsidRDefault="000A5B9A" w:rsidP="000A5B9A">
            <w:pPr>
              <w:pStyle w:val="Title2"/>
            </w:pPr>
            <w:bookmarkStart w:id="5" w:name="dtitle2" w:colFirst="0" w:colLast="0"/>
            <w:bookmarkEnd w:id="4"/>
          </w:p>
        </w:tc>
      </w:tr>
      <w:tr w:rsidR="000A5B9A" w:rsidRPr="00082D9D" w:rsidTr="0050008E">
        <w:trPr>
          <w:cantSplit/>
        </w:trPr>
        <w:tc>
          <w:tcPr>
            <w:tcW w:w="10031" w:type="dxa"/>
            <w:gridSpan w:val="3"/>
          </w:tcPr>
          <w:p w:rsidR="000A5B9A" w:rsidRPr="00082D9D" w:rsidRDefault="000A5B9A" w:rsidP="000A5B9A">
            <w:pPr>
              <w:pStyle w:val="Agendaitem"/>
            </w:pPr>
            <w:bookmarkStart w:id="6" w:name="dtitle3" w:colFirst="0" w:colLast="0"/>
            <w:bookmarkEnd w:id="5"/>
            <w:r w:rsidRPr="00082D9D">
              <w:t>Punto 10 del orden del día</w:t>
            </w:r>
          </w:p>
        </w:tc>
      </w:tr>
    </w:tbl>
    <w:bookmarkEnd w:id="6"/>
    <w:p w:rsidR="00E1398F" w:rsidRPr="00082D9D" w:rsidRDefault="005D552F" w:rsidP="001D51F2">
      <w:r w:rsidRPr="00082D9D">
        <w:t>10</w:t>
      </w:r>
      <w:r w:rsidRPr="00082D9D">
        <w:tab/>
        <w:t>recomendar al Consejo los puntos que han de incluirse en el orden del día de la próxima CMR, y formular opiniones sobre el orden del día preliminar de la conferencia subsiguiente y sobre los posibles órdenes del día de futuras conferencias, de conformidad con el Artículo 7 del Convenio,</w:t>
      </w:r>
    </w:p>
    <w:p w:rsidR="00363A65" w:rsidRPr="00082D9D" w:rsidRDefault="00F8500A" w:rsidP="00F8500A">
      <w:pPr>
        <w:pStyle w:val="Headingb"/>
      </w:pPr>
      <w:r w:rsidRPr="00082D9D">
        <w:t>Propuestas</w:t>
      </w:r>
    </w:p>
    <w:p w:rsidR="008750A8" w:rsidRPr="00082D9D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082D9D">
        <w:br w:type="page"/>
      </w:r>
    </w:p>
    <w:p w:rsidR="00063952" w:rsidRPr="00082D9D" w:rsidRDefault="005D552F">
      <w:pPr>
        <w:pStyle w:val="Proposal"/>
      </w:pPr>
      <w:r w:rsidRPr="00082D9D">
        <w:lastRenderedPageBreak/>
        <w:t>ADD</w:t>
      </w:r>
      <w:r>
        <w:tab/>
      </w:r>
      <w:r w:rsidRPr="00082D9D">
        <w:t>AGL/BOT/COD/LSO/MAU/MDG/MOZ/MWI/NMB/SEY/AFS/SWZ/TZA/</w:t>
      </w:r>
      <w:r>
        <w:br/>
      </w:r>
      <w:r>
        <w:tab/>
      </w:r>
      <w:r w:rsidRPr="00082D9D">
        <w:t>ZMB/ZWE/130A25A4/1</w:t>
      </w:r>
    </w:p>
    <w:p w:rsidR="00063952" w:rsidRPr="00082D9D" w:rsidRDefault="005D552F" w:rsidP="00082D9D">
      <w:r w:rsidRPr="00082D9D">
        <w:tab/>
      </w:r>
      <w:r w:rsidR="00082D9D">
        <w:t>«</w:t>
      </w:r>
      <w:r w:rsidR="00F8500A" w:rsidRPr="00082D9D">
        <w:rPr>
          <w:szCs w:val="24"/>
        </w:rPr>
        <w:t xml:space="preserve">estudiar modificaciones de los procedimientos reglamentarios para la notificación de redes de satélites a fin de dar cabida a las misiones de nanosatélites y picosatélites con arreglo a la </w:t>
      </w:r>
      <w:r w:rsidR="00F8500A" w:rsidRPr="00082D9D">
        <w:t>Resolución [130A25A4-A10-NANO-PICO-SATELLITE]</w:t>
      </w:r>
      <w:r w:rsidR="00F8500A" w:rsidRPr="00082D9D">
        <w:rPr>
          <w:b/>
          <w:bCs/>
        </w:rPr>
        <w:t xml:space="preserve"> (CMR</w:t>
      </w:r>
      <w:r w:rsidR="00F8500A" w:rsidRPr="00082D9D">
        <w:rPr>
          <w:b/>
          <w:bCs/>
        </w:rPr>
        <w:noBreakHyphen/>
        <w:t>15)</w:t>
      </w:r>
      <w:r w:rsidR="00F8500A" w:rsidRPr="00082D9D">
        <w:t>, teniendo en cuenta las bandas de frecuencias utilizadas por otros servicios espaciales, de modo que ninguna modificación del Reglamento de Radiocomunicaciones entrañe posibles interferencias perjudiciales a otros servicios y que la integración de los sistemas de nanosatélites y picosatélites no afecte inadvertidamente a los procedimientos reglamentarios de otros sistemas de satélites;</w:t>
      </w:r>
      <w:r w:rsidR="00082D9D">
        <w:t>»</w:t>
      </w:r>
    </w:p>
    <w:p w:rsidR="00063952" w:rsidRPr="00082D9D" w:rsidRDefault="00063952">
      <w:pPr>
        <w:pStyle w:val="Reasons"/>
      </w:pPr>
    </w:p>
    <w:p w:rsidR="00063952" w:rsidRPr="00082D9D" w:rsidRDefault="005D552F">
      <w:pPr>
        <w:pStyle w:val="Proposal"/>
      </w:pPr>
      <w:r w:rsidRPr="00082D9D">
        <w:t>ADD</w:t>
      </w:r>
      <w:r w:rsidRPr="00082D9D">
        <w:tab/>
        <w:t>AGL/BOT/COD/LSO/MAU/MDG/MOZ/MWI/NMB/SEY/AFS/SWZ/TZA/</w:t>
      </w:r>
      <w:r>
        <w:br/>
      </w:r>
      <w:r>
        <w:tab/>
      </w:r>
      <w:r w:rsidRPr="00082D9D">
        <w:t>ZMB/ZWE/130A25A4/2</w:t>
      </w:r>
    </w:p>
    <w:p w:rsidR="00F8500A" w:rsidRPr="00082D9D" w:rsidRDefault="00796E26" w:rsidP="00F8500A">
      <w:pPr>
        <w:pStyle w:val="ResNo"/>
      </w:pPr>
      <w:r>
        <w:t>proyecto de nueva resolución</w:t>
      </w:r>
      <w:r>
        <w:br/>
      </w:r>
      <w:r w:rsidR="00F8500A" w:rsidRPr="00082D9D">
        <w:t>[130A25A4-A10-</w:t>
      </w:r>
      <w:r>
        <w:t>Nano-Pico-</w:t>
      </w:r>
      <w:r w:rsidR="00F8500A" w:rsidRPr="00082D9D">
        <w:t>satellite] (cmr-15)</w:t>
      </w:r>
    </w:p>
    <w:p w:rsidR="00F8500A" w:rsidRPr="00082D9D" w:rsidRDefault="00F8500A" w:rsidP="00F8500A">
      <w:pPr>
        <w:pStyle w:val="Restitle"/>
      </w:pPr>
      <w:bookmarkStart w:id="7" w:name="_Toc320536602"/>
      <w:bookmarkStart w:id="8" w:name="_Toc328141487"/>
      <w:r w:rsidRPr="00082D9D">
        <w:t>Aspectos reglamentarios de los nanosatélites y los picosatélites</w:t>
      </w:r>
      <w:bookmarkEnd w:id="7"/>
      <w:bookmarkEnd w:id="8"/>
    </w:p>
    <w:p w:rsidR="00F8500A" w:rsidRPr="00082D9D" w:rsidRDefault="00F8500A" w:rsidP="00F8500A">
      <w:pPr>
        <w:pStyle w:val="Normalaftertitle"/>
      </w:pPr>
      <w:r w:rsidRPr="00082D9D">
        <w:t>La Conferencia Mundial de Radiocomunicaciones (Ginebra, 2015),</w:t>
      </w:r>
    </w:p>
    <w:p w:rsidR="00F8500A" w:rsidRPr="00082D9D" w:rsidRDefault="00F8500A" w:rsidP="00F8500A">
      <w:pPr>
        <w:pStyle w:val="Call"/>
      </w:pPr>
      <w:r w:rsidRPr="00082D9D">
        <w:t>considerando</w:t>
      </w:r>
    </w:p>
    <w:p w:rsidR="00F8500A" w:rsidRPr="00082D9D" w:rsidRDefault="00F8500A" w:rsidP="00F8500A">
      <w:r w:rsidRPr="00082D9D">
        <w:rPr>
          <w:i/>
        </w:rPr>
        <w:t>a)</w:t>
      </w:r>
      <w:r w:rsidRPr="00082D9D">
        <w:tab/>
        <w:t>que los nanosatélites y los picosatélites, normalmente aquéllos cuya masa oscila entre 0,1 y 10 kg y miden menos de 0,5 m en cualquier dimensión lineal, tienen características físicas diferentes de las de los satélites más grandes;</w:t>
      </w:r>
    </w:p>
    <w:p w:rsidR="00F8500A" w:rsidRPr="00082D9D" w:rsidRDefault="00F8500A" w:rsidP="00F8500A">
      <w:r w:rsidRPr="00082D9D">
        <w:rPr>
          <w:i/>
          <w:iCs/>
        </w:rPr>
        <w:t>b)</w:t>
      </w:r>
      <w:r w:rsidRPr="00082D9D">
        <w:tab/>
        <w:t>que los nanosatélites y los picosatélites son satélites cuya fabricación suele durar poco tiempo (1-2 años) y tener un bajo costo, pues a menudo se utilizan componentes disponibles en el mercado;</w:t>
      </w:r>
    </w:p>
    <w:p w:rsidR="00F8500A" w:rsidRPr="00082D9D" w:rsidRDefault="00F8500A" w:rsidP="00F8500A">
      <w:r w:rsidRPr="00082D9D">
        <w:rPr>
          <w:i/>
        </w:rPr>
        <w:t>c)</w:t>
      </w:r>
      <w:r w:rsidRPr="00082D9D">
        <w:tab/>
        <w:t>que la vida operativa de estos satélites oscila entre varias semanas hasta unos pocos (&lt; 5) años, en función de su misión;</w:t>
      </w:r>
    </w:p>
    <w:p w:rsidR="00F8500A" w:rsidRPr="00082D9D" w:rsidRDefault="00F8500A" w:rsidP="00F8500A">
      <w:r w:rsidRPr="00082D9D">
        <w:rPr>
          <w:i/>
          <w:iCs/>
        </w:rPr>
        <w:t>d)</w:t>
      </w:r>
      <w:r w:rsidRPr="00082D9D">
        <w:tab/>
        <w:t>que los nanosatélites y los picosatélites se utilizan para muy diversas misiones y aplicaciones, incluida la teledetección, la investigación climática espacial, la investigación de las capas superiores de la atmósfera, la astronomía, las comunicaciones, la demostración tecnológica y la docencia, así como para aplicaciones comerciales, por lo que pueden funcionar en distintos servicios de radiocomunicaciones;</w:t>
      </w:r>
    </w:p>
    <w:p w:rsidR="00F8500A" w:rsidRPr="00082D9D" w:rsidRDefault="00F8500A" w:rsidP="00F8500A">
      <w:r w:rsidRPr="00082D9D">
        <w:rPr>
          <w:i/>
          <w:iCs/>
        </w:rPr>
        <w:t>e)</w:t>
      </w:r>
      <w:r w:rsidRPr="00082D9D">
        <w:tab/>
      </w:r>
      <w:r w:rsidRPr="00082D9D">
        <w:rPr>
          <w:bCs/>
        </w:rPr>
        <w:t>que estos satélites se lanzan normalmente como cargas secundarias</w:t>
      </w:r>
      <w:r w:rsidRPr="00082D9D">
        <w:t>;</w:t>
      </w:r>
    </w:p>
    <w:p w:rsidR="00F8500A" w:rsidRPr="00082D9D" w:rsidRDefault="00F8500A" w:rsidP="00F8500A">
      <w:r w:rsidRPr="00082D9D">
        <w:rPr>
          <w:i/>
          <w:iCs/>
        </w:rPr>
        <w:t>f)</w:t>
      </w:r>
      <w:r w:rsidRPr="00082D9D">
        <w:tab/>
      </w:r>
      <w:r w:rsidRPr="00082D9D">
        <w:rPr>
          <w:bCs/>
        </w:rPr>
        <w:t>que algunas de las misiones de este tipo de satélites precisan el lanzamiento y funcionamiento simultáneo de varios de estos satélites</w:t>
      </w:r>
      <w:r w:rsidRPr="00082D9D">
        <w:t>;</w:t>
      </w:r>
    </w:p>
    <w:p w:rsidR="00F8500A" w:rsidRPr="00082D9D" w:rsidRDefault="00F8500A" w:rsidP="00F8500A">
      <w:r w:rsidRPr="00082D9D">
        <w:rPr>
          <w:i/>
          <w:iCs/>
        </w:rPr>
        <w:t>g)</w:t>
      </w:r>
      <w:r w:rsidRPr="00082D9D">
        <w:tab/>
        <w:t>que en la actualidad muchos nanosatélites y picosatélites utilizan el espectro atribuido al servicio de aficionados por satélite y el servicio de meteorología por satélite en la gama de frecuencias 30-3 000 MHz, aunque su misión puede no corresponder a esos servicios;</w:t>
      </w:r>
    </w:p>
    <w:p w:rsidR="00F8500A" w:rsidRPr="00082D9D" w:rsidRDefault="00F8500A" w:rsidP="00F8500A">
      <w:r w:rsidRPr="00082D9D">
        <w:rPr>
          <w:i/>
          <w:iCs/>
        </w:rPr>
        <w:t>h)</w:t>
      </w:r>
      <w:r w:rsidRPr="00082D9D">
        <w:tab/>
        <w:t>que los nanosatélites y los picosatélites pueden tener una capacidad limitada del control de su órbita y que, por tanto, tienen características orbitales particulares;</w:t>
      </w:r>
    </w:p>
    <w:p w:rsidR="00F8500A" w:rsidRPr="00082D9D" w:rsidRDefault="00F8500A" w:rsidP="00F8500A">
      <w:r w:rsidRPr="00082D9D">
        <w:rPr>
          <w:i/>
          <w:iCs/>
        </w:rPr>
        <w:t>i)</w:t>
      </w:r>
      <w:r w:rsidRPr="00082D9D">
        <w:tab/>
        <w:t>que hasta el momento el punto 7 permanente del orden del día de las CMR no ha llevado a la consideración de procedimientos reglamentarios para nanosatélites y picosatélites,</w:t>
      </w:r>
    </w:p>
    <w:p w:rsidR="00F8500A" w:rsidRPr="00082D9D" w:rsidRDefault="00F8500A" w:rsidP="00F8500A">
      <w:pPr>
        <w:pStyle w:val="Call"/>
      </w:pPr>
      <w:r w:rsidRPr="00082D9D">
        <w:lastRenderedPageBreak/>
        <w:t>considerando además</w:t>
      </w:r>
    </w:p>
    <w:p w:rsidR="00F8500A" w:rsidRPr="00082D9D" w:rsidRDefault="00F8500A" w:rsidP="00F8500A">
      <w:r w:rsidRPr="00082D9D">
        <w:rPr>
          <w:i/>
        </w:rPr>
        <w:t>a)</w:t>
      </w:r>
      <w:r w:rsidRPr="00082D9D">
        <w:tab/>
        <w:t>que para que el desarrollo y el funcionamiento de los nanosatélites y los picosatélites sea satisfactorio y puntual se podrán necesitar procedimientos reglamentarios que tengan en cuenta el corto ciclo de fabricación, la escasa vida útil y las misiones típicas de este tipo de satélites;</w:t>
      </w:r>
    </w:p>
    <w:p w:rsidR="00F8500A" w:rsidRPr="00082D9D" w:rsidRDefault="00F8500A" w:rsidP="00F8500A">
      <w:r w:rsidRPr="00082D9D">
        <w:rPr>
          <w:i/>
        </w:rPr>
        <w:t>b)</w:t>
      </w:r>
      <w:r w:rsidRPr="00082D9D">
        <w:tab/>
        <w:t>que podrá ser necesario adaptar las actuales disposiciones del Reglamento de Radiocomunicaciones para la coordinación y notificación de satélites en virtud de los Artículos </w:t>
      </w:r>
      <w:r w:rsidRPr="00082D9D">
        <w:rPr>
          <w:b/>
          <w:bCs/>
        </w:rPr>
        <w:t>9</w:t>
      </w:r>
      <w:r w:rsidRPr="00082D9D">
        <w:t xml:space="preserve"> y </w:t>
      </w:r>
      <w:r w:rsidRPr="00082D9D">
        <w:rPr>
          <w:b/>
          <w:bCs/>
        </w:rPr>
        <w:t xml:space="preserve">11 </w:t>
      </w:r>
      <w:r w:rsidRPr="00082D9D">
        <w:t xml:space="preserve">para tener en cuenta la naturaleza de estos satélites, </w:t>
      </w:r>
    </w:p>
    <w:p w:rsidR="00F8500A" w:rsidRPr="00082D9D" w:rsidRDefault="00F8500A" w:rsidP="00F8500A">
      <w:pPr>
        <w:pStyle w:val="Call"/>
      </w:pPr>
      <w:r w:rsidRPr="00082D9D">
        <w:t>reconociendo</w:t>
      </w:r>
    </w:p>
    <w:p w:rsidR="00F8500A" w:rsidRPr="00082D9D" w:rsidRDefault="00F8500A" w:rsidP="00F8500A">
      <w:r w:rsidRPr="00082D9D">
        <w:t>la Resolución UIT-R 68, adoptada por la Asamblea de Radiocomunicaciones de 2015, cuyo objetivo consiste en m</w:t>
      </w:r>
      <w:r w:rsidRPr="00082D9D">
        <w:rPr>
          <w:rFonts w:asciiTheme="majorBidi" w:hAnsiTheme="majorBidi" w:cstheme="majorBidi"/>
        </w:rPr>
        <w:t xml:space="preserve">ejorar la comprensión y la divulgación de conocimientos </w:t>
      </w:r>
      <w:r w:rsidRPr="00082D9D">
        <w:t>sobre los procedimientos reglamentarios aplicables a los satélites pequeños,</w:t>
      </w:r>
    </w:p>
    <w:p w:rsidR="00F8500A" w:rsidRPr="00082D9D" w:rsidRDefault="00F8500A" w:rsidP="00F8500A">
      <w:pPr>
        <w:pStyle w:val="Call"/>
      </w:pPr>
      <w:r w:rsidRPr="00082D9D">
        <w:t>resuelve invitar a la CMR</w:t>
      </w:r>
      <w:r w:rsidRPr="00082D9D">
        <w:noBreakHyphen/>
        <w:t>19</w:t>
      </w:r>
    </w:p>
    <w:p w:rsidR="00F8500A" w:rsidRPr="00082D9D" w:rsidRDefault="00F8500A" w:rsidP="00F8500A">
      <w:r w:rsidRPr="00082D9D">
        <w:rPr>
          <w:lang w:eastAsia="en-GB"/>
        </w:rPr>
        <w:t>a considerar si es preciso modificar los procedimientos reglamentarios en vigor para la notificación de redes de satélites, con objeto de facilitar el despliegue y la explotación de los nanosatélites y los picosatélites, y a tomar las medidas oportunas,</w:t>
      </w:r>
    </w:p>
    <w:p w:rsidR="00F8500A" w:rsidRPr="00082D9D" w:rsidRDefault="00F8500A" w:rsidP="00F8500A">
      <w:pPr>
        <w:pStyle w:val="Call"/>
      </w:pPr>
      <w:r w:rsidRPr="00082D9D">
        <w:t>invita al UIT</w:t>
      </w:r>
      <w:r w:rsidRPr="00082D9D">
        <w:noBreakHyphen/>
        <w:t>R</w:t>
      </w:r>
    </w:p>
    <w:p w:rsidR="00F8500A" w:rsidRPr="00082D9D" w:rsidRDefault="00F8500A" w:rsidP="00F8500A">
      <w:pPr>
        <w:pStyle w:val="NormalWeb"/>
        <w:spacing w:before="120" w:beforeAutospacing="0" w:after="0" w:afterAutospacing="0"/>
        <w:rPr>
          <w:lang w:val="es-ES_tradnl"/>
        </w:rPr>
      </w:pPr>
      <w:r w:rsidRPr="00082D9D">
        <w:rPr>
          <w:lang w:val="es-ES_tradnl"/>
        </w:rPr>
        <w:t xml:space="preserve">a examinar los procedimientos para la notificación de redes espaciales y considerar su posible modificación para permitir el despliegue y la explotación de los nanosatélites y los picosatélites, habida cuenta de su breve plazo de desarrollo, la corta duración de sus misiones y sus características orbitales particulares, </w:t>
      </w:r>
    </w:p>
    <w:p w:rsidR="00F8500A" w:rsidRPr="00082D9D" w:rsidRDefault="00F8500A" w:rsidP="00F8500A">
      <w:pPr>
        <w:pStyle w:val="Call"/>
      </w:pPr>
      <w:r w:rsidRPr="00082D9D">
        <w:t>invita a las administraciones y Miembros de Sector</w:t>
      </w:r>
    </w:p>
    <w:p w:rsidR="00F8500A" w:rsidRPr="00082D9D" w:rsidRDefault="00F8500A" w:rsidP="00F8500A">
      <w:pPr>
        <w:pStyle w:val="NormalWeb"/>
        <w:spacing w:before="120" w:beforeAutospacing="0" w:after="0" w:afterAutospacing="0"/>
        <w:rPr>
          <w:lang w:val="es-ES_tradnl"/>
        </w:rPr>
      </w:pPr>
      <w:r w:rsidRPr="00082D9D">
        <w:rPr>
          <w:lang w:val="es-ES_tradnl"/>
        </w:rPr>
        <w:t>a participar activamente en los estudios presentando contribuciones al UIT</w:t>
      </w:r>
      <w:r w:rsidRPr="00082D9D">
        <w:rPr>
          <w:lang w:val="es-ES_tradnl"/>
        </w:rPr>
        <w:noBreakHyphen/>
        <w:t>R</w:t>
      </w:r>
      <w:r w:rsidRPr="00082D9D">
        <w:rPr>
          <w:lang w:val="es-ES_tradnl" w:eastAsia="en-GB"/>
        </w:rPr>
        <w:t>.</w:t>
      </w:r>
    </w:p>
    <w:p w:rsidR="00F8500A" w:rsidRPr="00082D9D" w:rsidRDefault="00F8500A" w:rsidP="00F8500A">
      <w:pPr>
        <w:pStyle w:val="Reasons"/>
      </w:pPr>
    </w:p>
    <w:p w:rsidR="00F8500A" w:rsidRPr="00082D9D" w:rsidRDefault="00F8500A" w:rsidP="00F8500A">
      <w:pPr>
        <w:jc w:val="center"/>
      </w:pPr>
      <w:r w:rsidRPr="00082D9D">
        <w:t>______________</w:t>
      </w:r>
    </w:p>
    <w:p w:rsidR="00F8500A" w:rsidRPr="00082D9D" w:rsidRDefault="00F8500A" w:rsidP="00F8500A">
      <w:pPr>
        <w:pStyle w:val="Reasons"/>
      </w:pPr>
    </w:p>
    <w:sectPr w:rsidR="00F8500A" w:rsidRPr="00082D9D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D04999" w:rsidRDefault="0077084A">
    <w:pPr>
      <w:ind w:right="360"/>
    </w:pPr>
    <w:r>
      <w:fldChar w:fldCharType="begin"/>
    </w:r>
    <w:r w:rsidRPr="00D04999">
      <w:instrText xml:space="preserve"> FILENAME \p  \* MERGEFORMAT </w:instrText>
    </w:r>
    <w:r>
      <w:fldChar w:fldCharType="separate"/>
    </w:r>
    <w:r w:rsidR="008F654F">
      <w:rPr>
        <w:noProof/>
      </w:rPr>
      <w:t>P:\ESP\ITU-R\CONF-R\CMR15\100\130ADD25ADD04S.docx</w:t>
    </w:r>
    <w:r>
      <w:fldChar w:fldCharType="end"/>
    </w:r>
    <w:r w:rsidRPr="00D04999">
      <w:tab/>
    </w:r>
    <w:r>
      <w:fldChar w:fldCharType="begin"/>
    </w:r>
    <w:r>
      <w:instrText xml:space="preserve"> SAVEDATE \@ DD.MM.YY </w:instrText>
    </w:r>
    <w:r>
      <w:fldChar w:fldCharType="separate"/>
    </w:r>
    <w:r w:rsidR="008F654F">
      <w:rPr>
        <w:noProof/>
      </w:rPr>
      <w:t>05.11.15</w:t>
    </w:r>
    <w:r>
      <w:fldChar w:fldCharType="end"/>
    </w:r>
    <w:r w:rsidRPr="00D04999">
      <w:tab/>
    </w:r>
    <w:r>
      <w:fldChar w:fldCharType="begin"/>
    </w:r>
    <w:r>
      <w:instrText xml:space="preserve"> PRINTDATE \@ DD.MM.YY </w:instrText>
    </w:r>
    <w:r>
      <w:fldChar w:fldCharType="separate"/>
    </w:r>
    <w:r w:rsidR="008F654F">
      <w:rPr>
        <w:noProof/>
      </w:rPr>
      <w:t>05.11.15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D9D" w:rsidRDefault="008F654F" w:rsidP="00082D9D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>
      <w:t>P:\ESP\ITU-R\CONF-R\CMR15\100\130ADD25ADD04S.docx</w:t>
    </w:r>
    <w:r>
      <w:fldChar w:fldCharType="end"/>
    </w:r>
    <w:r w:rsidR="00082D9D">
      <w:t xml:space="preserve"> (389692)</w:t>
    </w:r>
    <w:r w:rsidR="00082D9D">
      <w:tab/>
    </w:r>
    <w:r w:rsidR="00082D9D">
      <w:fldChar w:fldCharType="begin"/>
    </w:r>
    <w:r w:rsidR="00082D9D">
      <w:instrText xml:space="preserve"> SAVEDATE \@ DD.MM.YY </w:instrText>
    </w:r>
    <w:r w:rsidR="00082D9D">
      <w:fldChar w:fldCharType="separate"/>
    </w:r>
    <w:r>
      <w:t>05.11.15</w:t>
    </w:r>
    <w:r w:rsidR="00082D9D">
      <w:fldChar w:fldCharType="end"/>
    </w:r>
    <w:r w:rsidR="00082D9D">
      <w:tab/>
    </w:r>
    <w:r w:rsidR="00082D9D">
      <w:fldChar w:fldCharType="begin"/>
    </w:r>
    <w:r w:rsidR="00082D9D">
      <w:instrText xml:space="preserve"> PRINTDATE \@ DD.MM.YY </w:instrText>
    </w:r>
    <w:r w:rsidR="00082D9D">
      <w:fldChar w:fldCharType="separate"/>
    </w:r>
    <w:r>
      <w:t>05.11.15</w:t>
    </w:r>
    <w:r w:rsidR="00082D9D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D9D" w:rsidRDefault="00D04999">
    <w:pPr>
      <w:pStyle w:val="Footer"/>
    </w:pPr>
    <w:fldSimple w:instr=" FILENAME \p  \* MERGEFORMAT ">
      <w:r w:rsidR="008F654F">
        <w:t>P:\ESP\ITU-R\CONF-R\CMR15\100\130ADD25ADD04S.docx</w:t>
      </w:r>
    </w:fldSimple>
    <w:r w:rsidR="00082D9D">
      <w:t xml:space="preserve"> (389692)</w:t>
    </w:r>
    <w:r w:rsidR="00082D9D">
      <w:tab/>
    </w:r>
    <w:r w:rsidR="00082D9D">
      <w:fldChar w:fldCharType="begin"/>
    </w:r>
    <w:r w:rsidR="00082D9D">
      <w:instrText xml:space="preserve"> SAVEDATE \@ DD.MM.YY </w:instrText>
    </w:r>
    <w:r w:rsidR="00082D9D">
      <w:fldChar w:fldCharType="separate"/>
    </w:r>
    <w:r w:rsidR="008F654F">
      <w:t>05.11.15</w:t>
    </w:r>
    <w:r w:rsidR="00082D9D">
      <w:fldChar w:fldCharType="end"/>
    </w:r>
    <w:r w:rsidR="00082D9D">
      <w:tab/>
    </w:r>
    <w:r w:rsidR="00082D9D">
      <w:fldChar w:fldCharType="begin"/>
    </w:r>
    <w:r w:rsidR="00082D9D">
      <w:instrText xml:space="preserve"> PRINTDATE \@ DD.MM.YY </w:instrText>
    </w:r>
    <w:r w:rsidR="00082D9D">
      <w:fldChar w:fldCharType="separate"/>
    </w:r>
    <w:r w:rsidR="008F654F">
      <w:t>05.11.15</w:t>
    </w:r>
    <w:r w:rsidR="00082D9D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F654F">
      <w:rPr>
        <w:rStyle w:val="PageNumber"/>
        <w:noProof/>
      </w:rPr>
      <w:t>3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130(Add.25)(Add.4)-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intFractionalCharacterWidth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63952"/>
    <w:rsid w:val="00082D9D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A083F"/>
    <w:rsid w:val="001C41FA"/>
    <w:rsid w:val="001E2B52"/>
    <w:rsid w:val="001E3F27"/>
    <w:rsid w:val="00236D2A"/>
    <w:rsid w:val="00255F12"/>
    <w:rsid w:val="00262C09"/>
    <w:rsid w:val="002A791F"/>
    <w:rsid w:val="002C1B26"/>
    <w:rsid w:val="002C5D6C"/>
    <w:rsid w:val="002E701F"/>
    <w:rsid w:val="003248A9"/>
    <w:rsid w:val="00324FFA"/>
    <w:rsid w:val="0032680B"/>
    <w:rsid w:val="00363A65"/>
    <w:rsid w:val="003B1E8C"/>
    <w:rsid w:val="003C2508"/>
    <w:rsid w:val="003D0AA3"/>
    <w:rsid w:val="00440B3A"/>
    <w:rsid w:val="0045384C"/>
    <w:rsid w:val="00454553"/>
    <w:rsid w:val="004B124A"/>
    <w:rsid w:val="005133B5"/>
    <w:rsid w:val="005230DB"/>
    <w:rsid w:val="00532097"/>
    <w:rsid w:val="0058350F"/>
    <w:rsid w:val="00583C7E"/>
    <w:rsid w:val="005D46FB"/>
    <w:rsid w:val="005D552F"/>
    <w:rsid w:val="005F2605"/>
    <w:rsid w:val="005F3B0E"/>
    <w:rsid w:val="005F559C"/>
    <w:rsid w:val="00662BA0"/>
    <w:rsid w:val="00692AAE"/>
    <w:rsid w:val="006D6E67"/>
    <w:rsid w:val="006E1A13"/>
    <w:rsid w:val="00701C20"/>
    <w:rsid w:val="00702F3D"/>
    <w:rsid w:val="0070518E"/>
    <w:rsid w:val="007354E9"/>
    <w:rsid w:val="00765578"/>
    <w:rsid w:val="0077084A"/>
    <w:rsid w:val="007952C7"/>
    <w:rsid w:val="00796E26"/>
    <w:rsid w:val="007C0B95"/>
    <w:rsid w:val="007C2317"/>
    <w:rsid w:val="007D330A"/>
    <w:rsid w:val="00866AE6"/>
    <w:rsid w:val="008750A8"/>
    <w:rsid w:val="008E5AF2"/>
    <w:rsid w:val="008F654F"/>
    <w:rsid w:val="0090121B"/>
    <w:rsid w:val="009144C9"/>
    <w:rsid w:val="0094091F"/>
    <w:rsid w:val="00973754"/>
    <w:rsid w:val="009C0BED"/>
    <w:rsid w:val="009E11EC"/>
    <w:rsid w:val="00A118DB"/>
    <w:rsid w:val="00A4450C"/>
    <w:rsid w:val="00AA5E6C"/>
    <w:rsid w:val="00AE5677"/>
    <w:rsid w:val="00AE658F"/>
    <w:rsid w:val="00AF2F78"/>
    <w:rsid w:val="00B239FA"/>
    <w:rsid w:val="00B52D55"/>
    <w:rsid w:val="00B8288C"/>
    <w:rsid w:val="00BE2E80"/>
    <w:rsid w:val="00BE5EDD"/>
    <w:rsid w:val="00BE6A1F"/>
    <w:rsid w:val="00C126C4"/>
    <w:rsid w:val="00C63EB5"/>
    <w:rsid w:val="00CC01E0"/>
    <w:rsid w:val="00CD5FEE"/>
    <w:rsid w:val="00CE60D2"/>
    <w:rsid w:val="00CE7431"/>
    <w:rsid w:val="00D0288A"/>
    <w:rsid w:val="00D04999"/>
    <w:rsid w:val="00D72A5D"/>
    <w:rsid w:val="00DC629B"/>
    <w:rsid w:val="00E05BFF"/>
    <w:rsid w:val="00E262F1"/>
    <w:rsid w:val="00E3176A"/>
    <w:rsid w:val="00E54754"/>
    <w:rsid w:val="00E56BD3"/>
    <w:rsid w:val="00E71D14"/>
    <w:rsid w:val="00F66597"/>
    <w:rsid w:val="00F675D0"/>
    <w:rsid w:val="00F8150C"/>
    <w:rsid w:val="00F8500A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E4C0E6EF-3CAF-4EFA-9C72-2E414FF2A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link w:val="NormalaftertitleChar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  <w:link w:val="ResNoChar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link w:val="RestitleChar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VolumeTitle0">
    <w:name w:val="VolumeTitle"/>
    <w:basedOn w:val="Normal"/>
    <w:next w:val="Normal"/>
    <w:rsid w:val="008F629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 w:line="276" w:lineRule="auto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  <w:style w:type="character" w:customStyle="1" w:styleId="ResNoChar">
    <w:name w:val="Res_No Char"/>
    <w:basedOn w:val="DefaultParagraphFont"/>
    <w:link w:val="ResNo"/>
    <w:locked/>
    <w:rsid w:val="00F8500A"/>
    <w:rPr>
      <w:rFonts w:ascii="Times New Roman" w:hAnsi="Times New Roman"/>
      <w:caps/>
      <w:sz w:val="28"/>
      <w:lang w:val="es-ES_tradnl" w:eastAsia="en-US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F8500A"/>
    <w:rPr>
      <w:rFonts w:ascii="Times New Roman" w:hAnsi="Times New Roman"/>
      <w:sz w:val="24"/>
      <w:lang w:val="es-ES_tradnl" w:eastAsia="en-US"/>
    </w:rPr>
  </w:style>
  <w:style w:type="character" w:customStyle="1" w:styleId="RestitleChar">
    <w:name w:val="Res_title Char"/>
    <w:basedOn w:val="DefaultParagraphFont"/>
    <w:link w:val="Restitle"/>
    <w:rsid w:val="00F8500A"/>
    <w:rPr>
      <w:rFonts w:ascii="Times New Roman Bold" w:hAnsi="Times New Roman Bold"/>
      <w:b/>
      <w:sz w:val="28"/>
      <w:lang w:val="es-ES_tradnl" w:eastAsia="en-US"/>
    </w:rPr>
  </w:style>
  <w:style w:type="character" w:customStyle="1" w:styleId="CallChar">
    <w:name w:val="Call Char"/>
    <w:basedOn w:val="DefaultParagraphFont"/>
    <w:link w:val="Call"/>
    <w:locked/>
    <w:rsid w:val="00F8500A"/>
    <w:rPr>
      <w:rFonts w:ascii="Times New Roman" w:hAnsi="Times New Roman"/>
      <w:i/>
      <w:sz w:val="24"/>
      <w:lang w:val="es-ES_tradnl" w:eastAsia="en-US"/>
    </w:rPr>
  </w:style>
  <w:style w:type="paragraph" w:styleId="NormalWeb">
    <w:name w:val="Normal (Web)"/>
    <w:basedOn w:val="Normal"/>
    <w:uiPriority w:val="99"/>
    <w:unhideWhenUsed/>
    <w:rsid w:val="00F8500A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eastAsiaTheme="minorEastAsia"/>
      <w:szCs w:val="24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R15-WRC15-C-0130!A25-A4!MSW-S</DPM_x0020_File_x0020_name>
    <DPM_x0020_Author xmlns="32a1a8c5-2265-4ebc-b7a0-2071e2c5c9bb" xsi:nil="false">Documents Proposals Manager (DPM)</DPM_x0020_Author>
    <DPM_x0020_Version xmlns="32a1a8c5-2265-4ebc-b7a0-2071e2c5c9bb" xsi:nil="false">DPM_v5.2015.10.290_prod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BB1C3CB-AF40-41AD-BA52-89A4B04A9990}">
  <ds:schemaRefs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32a1a8c5-2265-4ebc-b7a0-2071e2c5c9bb"/>
    <ds:schemaRef ds:uri="http://schemas.microsoft.com/office/2006/metadata/properties"/>
    <ds:schemaRef ds:uri="http://schemas.openxmlformats.org/package/2006/metadata/core-properties"/>
    <ds:schemaRef ds:uri="996b2e75-67fd-4955-a3b0-5ab9934cb50b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27E652C-8156-47B8-888C-DF490C149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745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R15-WRC15-C-0130!A25-A4!MSW-S</vt:lpstr>
    </vt:vector>
  </TitlesOfParts>
  <Manager>Secretaría General - Pool</Manager>
  <Company>Unión Internacional de Telecomunicaciones (UIT)</Company>
  <LinksUpToDate>false</LinksUpToDate>
  <CharactersWithSpaces>5347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R15-WRC15-C-0130!A25-A4!MSW-S</dc:title>
  <dc:subject>Conferencia Mundial de Radiocomunicaciones - 2015</dc:subject>
  <dc:creator>Documents Proposals Manager (DPM)</dc:creator>
  <cp:keywords>DPM_v5.2015.10.290_prod</cp:keywords>
  <dc:description/>
  <cp:lastModifiedBy>Spanish</cp:lastModifiedBy>
  <cp:revision>8</cp:revision>
  <cp:lastPrinted>2015-11-05T13:49:00Z</cp:lastPrinted>
  <dcterms:created xsi:type="dcterms:W3CDTF">2015-11-05T11:59:00Z</dcterms:created>
  <dcterms:modified xsi:type="dcterms:W3CDTF">2015-11-05T13:58:00Z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