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02785D" w:rsidTr="002324B0">
        <w:trPr>
          <w:cantSplit/>
        </w:trPr>
        <w:tc>
          <w:tcPr>
            <w:tcW w:w="6911" w:type="dxa"/>
          </w:tcPr>
          <w:p w:rsidR="0090121B" w:rsidRPr="00E0379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95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8DC24C4" wp14:editId="507B34D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324B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2324B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2324B0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:rsidR="0090121B" w:rsidRPr="00E0379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0379C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E0379C">
              <w:rPr>
                <w:rFonts w:ascii="Verdana" w:eastAsia="SimSun" w:hAnsi="Verdana" w:cs="Traditional Arabic"/>
                <w:b/>
                <w:sz w:val="20"/>
              </w:rPr>
              <w:br/>
              <w:t>Documento 130(Add.25)</w:t>
            </w:r>
            <w:r w:rsidR="0090121B" w:rsidRPr="00E0379C">
              <w:rPr>
                <w:rFonts w:ascii="Verdana" w:hAnsi="Verdana"/>
                <w:b/>
                <w:sz w:val="20"/>
              </w:rPr>
              <w:t>-</w:t>
            </w:r>
            <w:r w:rsidRPr="00E0379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2324B0">
        <w:trPr>
          <w:cantSplit/>
        </w:trPr>
        <w:tc>
          <w:tcPr>
            <w:tcW w:w="6911" w:type="dxa"/>
            <w:shd w:val="clear" w:color="auto" w:fill="auto"/>
          </w:tcPr>
          <w:p w:rsidR="000A5B9A" w:rsidRPr="00E037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2324B0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2324B0">
        <w:trPr>
          <w:cantSplit/>
        </w:trPr>
        <w:tc>
          <w:tcPr>
            <w:tcW w:w="10206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2324B0">
        <w:trPr>
          <w:cantSplit/>
        </w:trPr>
        <w:tc>
          <w:tcPr>
            <w:tcW w:w="10206" w:type="dxa"/>
            <w:gridSpan w:val="2"/>
          </w:tcPr>
          <w:p w:rsidR="000A5B9A" w:rsidRPr="00E0379C" w:rsidRDefault="000A5B9A" w:rsidP="000A5B9A">
            <w:pPr>
              <w:pStyle w:val="Source"/>
            </w:pPr>
            <w:bookmarkStart w:id="2" w:name="dsource" w:colFirst="0" w:colLast="0"/>
            <w:r w:rsidRPr="00E0379C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8D42ED" w:rsidTr="002324B0">
        <w:trPr>
          <w:cantSplit/>
        </w:trPr>
        <w:tc>
          <w:tcPr>
            <w:tcW w:w="10206" w:type="dxa"/>
            <w:gridSpan w:val="2"/>
          </w:tcPr>
          <w:p w:rsidR="000A5B9A" w:rsidRPr="008D42ED" w:rsidRDefault="008D42ED" w:rsidP="000A5B9A">
            <w:pPr>
              <w:pStyle w:val="Title1"/>
            </w:pPr>
            <w:bookmarkStart w:id="3" w:name="dtitle1" w:colFirst="0" w:colLast="0"/>
            <w:bookmarkEnd w:id="2"/>
            <w:r w:rsidRPr="00BB0819">
              <w:t>PropUESTAS PARA LOS TRABAJOS DE LA CONFERENCIA</w:t>
            </w:r>
          </w:p>
        </w:tc>
      </w:tr>
      <w:tr w:rsidR="000A5B9A" w:rsidRPr="008D42ED" w:rsidTr="002324B0">
        <w:trPr>
          <w:cantSplit/>
        </w:trPr>
        <w:tc>
          <w:tcPr>
            <w:tcW w:w="10206" w:type="dxa"/>
            <w:gridSpan w:val="2"/>
          </w:tcPr>
          <w:p w:rsidR="000A5B9A" w:rsidRPr="008D42E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2324B0">
        <w:trPr>
          <w:cantSplit/>
        </w:trPr>
        <w:tc>
          <w:tcPr>
            <w:tcW w:w="10206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:rsidR="00E1398F" w:rsidRPr="00211854" w:rsidRDefault="003A25D3" w:rsidP="007633EC">
      <w:pPr>
        <w:spacing w:after="120"/>
      </w:pPr>
      <w:r w:rsidRPr="00211854">
        <w:t>10</w:t>
      </w:r>
      <w:r w:rsidRPr="00211854">
        <w:tab/>
        <w:t xml:space="preserve">recomendar al Consejo </w:t>
      </w:r>
      <w:r w:rsidRPr="00211854">
        <w:t xml:space="preserve">los puntos que han de incluirse en el orden del día de la próxima CMR, y formular opiniones sobre el orden del día preliminar de la conferencia subsiguiente y sobre los posibles órdenes del día de futuras conferencias, de conformidad con el Artículo 7 del </w:t>
      </w:r>
      <w:r w:rsidRPr="00211854">
        <w:t>Convenio,</w:t>
      </w:r>
    </w:p>
    <w:tbl>
      <w:tblPr>
        <w:tblW w:w="98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17"/>
      </w:tblGrid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  <w:bCs/>
              </w:rPr>
            </w:pPr>
            <w:r w:rsidRPr="008E5EFE">
              <w:rPr>
                <w:rFonts w:asciiTheme="majorBidi" w:hAnsiTheme="majorBidi" w:cstheme="majorBidi"/>
                <w:b/>
                <w:bCs/>
              </w:rPr>
              <w:t>Asunto:</w:t>
            </w:r>
            <w:r w:rsidRPr="008E5EFE">
              <w:rPr>
                <w:rFonts w:asciiTheme="majorBidi" w:hAnsiTheme="majorBidi" w:cstheme="majorBidi"/>
              </w:rPr>
              <w:t xml:space="preserve"> Elaboración </w:t>
            </w:r>
            <w:r w:rsidRPr="008E5EFE">
              <w:rPr>
                <w:rStyle w:val="hps"/>
              </w:rPr>
              <w:t>de un plan</w:t>
            </w:r>
            <w:r w:rsidRPr="008E5EFE">
              <w:t xml:space="preserve"> </w:t>
            </w:r>
            <w:r w:rsidRPr="008E5EFE">
              <w:rPr>
                <w:rStyle w:val="hps"/>
              </w:rPr>
              <w:t xml:space="preserve">para los </w:t>
            </w:r>
            <w:r w:rsidRPr="008E5EFE">
              <w:t xml:space="preserve">servicios de radiodifusión por satélite y fijo por satélite </w:t>
            </w:r>
            <w:r w:rsidRPr="008E5EFE">
              <w:rPr>
                <w:rStyle w:val="hps"/>
              </w:rPr>
              <w:t>en las bandas</w:t>
            </w:r>
            <w:r w:rsidRPr="008E5EFE">
              <w:t xml:space="preserve"> </w:t>
            </w:r>
            <w:r w:rsidRPr="008E5EFE">
              <w:rPr>
                <w:rStyle w:val="hps"/>
              </w:rPr>
              <w:t>de frecuencias comprendidas entre</w:t>
            </w:r>
            <w:r w:rsidRPr="008E5EFE">
              <w:t xml:space="preserve"> </w:t>
            </w:r>
            <w:r w:rsidRPr="008E5EFE">
              <w:rPr>
                <w:rStyle w:val="hps"/>
              </w:rPr>
              <w:t>17</w:t>
            </w:r>
            <w:r w:rsidRPr="008E5EFE">
              <w:t xml:space="preserve"> </w:t>
            </w:r>
            <w:r w:rsidRPr="008E5EFE">
              <w:rPr>
                <w:rStyle w:val="hps"/>
              </w:rPr>
              <w:t>GHz y 31</w:t>
            </w:r>
            <w:r w:rsidRPr="008E5EFE">
              <w:t xml:space="preserve"> </w:t>
            </w:r>
            <w:r w:rsidRPr="008E5EFE">
              <w:rPr>
                <w:rStyle w:val="hps"/>
              </w:rPr>
              <w:t>GHz</w:t>
            </w:r>
            <w:r w:rsidRPr="008E5EFE">
              <w:t xml:space="preserve"> </w:t>
            </w:r>
            <w:r w:rsidRPr="008E5EFE">
              <w:rPr>
                <w:rStyle w:val="hps"/>
              </w:rPr>
              <w:t>(</w:t>
            </w:r>
            <w:r w:rsidRPr="008E5EFE">
              <w:t>banda Ka).</w:t>
            </w:r>
          </w:p>
          <w:p w:rsidR="00E0379C" w:rsidRPr="008E5EFE" w:rsidRDefault="00E0379C" w:rsidP="001B6BBF">
            <w:r w:rsidRPr="008E5EFE">
              <w:rPr>
                <w:rFonts w:asciiTheme="majorBidi" w:hAnsiTheme="majorBidi" w:cstheme="majorBidi"/>
                <w:b/>
                <w:bCs/>
              </w:rPr>
              <w:t>Origen:</w:t>
            </w:r>
            <w:r w:rsidRPr="008E5EFE">
              <w:rPr>
                <w:rFonts w:asciiTheme="majorBidi" w:hAnsiTheme="majorBidi" w:cstheme="majorBidi"/>
              </w:rPr>
              <w:t xml:space="preserve"> </w:t>
            </w:r>
            <w:r w:rsidRPr="008E5EFE">
              <w:rPr>
                <w:rStyle w:val="hps"/>
              </w:rPr>
              <w:t>Sudafricana</w:t>
            </w:r>
            <w:r w:rsidR="001B6BBF" w:rsidRPr="008E5EFE">
              <w:rPr>
                <w:rFonts w:asciiTheme="majorBidi" w:hAnsiTheme="majorBidi" w:cstheme="majorBidi"/>
              </w:rPr>
              <w:t xml:space="preserve"> </w:t>
            </w:r>
            <w:r w:rsidR="001B6BBF">
              <w:rPr>
                <w:rFonts w:asciiTheme="majorBidi" w:hAnsiTheme="majorBidi" w:cstheme="majorBidi"/>
              </w:rPr>
              <w:t>(</w:t>
            </w:r>
            <w:r w:rsidR="001B6BBF" w:rsidRPr="008E5EFE">
              <w:rPr>
                <w:rFonts w:asciiTheme="majorBidi" w:hAnsiTheme="majorBidi" w:cstheme="majorBidi"/>
              </w:rPr>
              <w:t>República</w:t>
            </w:r>
            <w:r w:rsidR="001B6BBF">
              <w:rPr>
                <w:rFonts w:asciiTheme="majorBidi" w:hAnsiTheme="majorBidi" w:cstheme="majorBidi"/>
              </w:rPr>
              <w:t>)</w:t>
            </w:r>
            <w:r w:rsidRPr="008E5EFE">
              <w:t xml:space="preserve">, Angola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Botswana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</w:t>
            </w:r>
            <w:r w:rsidRPr="008E5EFE">
              <w:rPr>
                <w:rStyle w:val="hps"/>
              </w:rPr>
              <w:t>República</w:t>
            </w:r>
            <w:r w:rsidRPr="008E5EFE">
              <w:t xml:space="preserve"> </w:t>
            </w:r>
            <w:r w:rsidRPr="008E5EFE">
              <w:rPr>
                <w:rStyle w:val="hps"/>
              </w:rPr>
              <w:t>Democrática del</w:t>
            </w:r>
            <w:r w:rsidRPr="008E5EFE">
              <w:t xml:space="preserve"> </w:t>
            </w:r>
            <w:r w:rsidRPr="008E5EFE">
              <w:rPr>
                <w:rStyle w:val="hps"/>
              </w:rPr>
              <w:t>Congo</w:t>
            </w:r>
            <w:r w:rsidRPr="008E5EFE">
              <w:t xml:space="preserve">, Lesotho </w:t>
            </w:r>
            <w:r w:rsidRPr="008E5EFE">
              <w:rPr>
                <w:rStyle w:val="hps"/>
              </w:rPr>
              <w:t>(</w:t>
            </w:r>
            <w:r w:rsidRPr="008E5EFE">
              <w:t xml:space="preserve">Reino de), Mauricio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Madagascar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Mozambique </w:t>
            </w:r>
            <w:r w:rsidRPr="008E5EFE">
              <w:rPr>
                <w:rStyle w:val="hps"/>
              </w:rPr>
              <w:t>(</w:t>
            </w:r>
            <w:r w:rsidRPr="008E5EFE">
              <w:t>República de), Malawi</w:t>
            </w:r>
            <w:r w:rsidRPr="008E5EFE">
              <w:rPr>
                <w:rStyle w:val="hps"/>
              </w:rPr>
              <w:t>, Namibia</w:t>
            </w:r>
            <w:r w:rsidRPr="008E5EFE">
              <w:t xml:space="preserve">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Seychelles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Swazilandia </w:t>
            </w:r>
            <w:r w:rsidRPr="008E5EFE">
              <w:rPr>
                <w:rStyle w:val="hps"/>
              </w:rPr>
              <w:t>(</w:t>
            </w:r>
            <w:r w:rsidRPr="008E5EFE">
              <w:t xml:space="preserve">Reino de), Tanzanía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</w:t>
            </w:r>
            <w:r w:rsidRPr="008E5EFE">
              <w:rPr>
                <w:rStyle w:val="hps"/>
              </w:rPr>
              <w:t>Unida de</w:t>
            </w:r>
            <w:r w:rsidRPr="008E5EFE">
              <w:t xml:space="preserve">), Zambia </w:t>
            </w:r>
            <w:r w:rsidRPr="008E5EFE">
              <w:rPr>
                <w:rStyle w:val="hps"/>
              </w:rPr>
              <w:t>(</w:t>
            </w:r>
            <w:r w:rsidRPr="008E5EFE">
              <w:t xml:space="preserve">República de), Zimbabwe </w:t>
            </w:r>
            <w:r w:rsidRPr="008E5EFE">
              <w:rPr>
                <w:rStyle w:val="hps"/>
              </w:rPr>
              <w:t>(</w:t>
            </w:r>
            <w:r w:rsidRPr="008E5EFE">
              <w:t>República de).</w:t>
            </w:r>
          </w:p>
          <w:p w:rsidR="00E0379C" w:rsidRPr="008E5EFE" w:rsidRDefault="00E0379C" w:rsidP="001713F0">
            <w:pPr>
              <w:rPr>
                <w:rFonts w:asciiTheme="majorBidi" w:hAnsiTheme="majorBidi" w:cstheme="majorBidi"/>
                <w:bCs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Propuesta</w:t>
            </w:r>
            <w:r w:rsidRPr="008E5EFE">
              <w:rPr>
                <w:rFonts w:asciiTheme="majorBidi" w:hAnsiTheme="majorBidi" w:cstheme="majorBidi"/>
                <w:b/>
                <w:bCs/>
              </w:rPr>
              <w:t>:</w:t>
            </w:r>
            <w:r w:rsidRPr="008E5EFE">
              <w:rPr>
                <w:rFonts w:asciiTheme="majorBidi" w:hAnsiTheme="majorBidi" w:cstheme="majorBidi"/>
              </w:rPr>
              <w:t xml:space="preserve"> Examinar </w:t>
            </w:r>
            <w:r w:rsidRPr="008E5EFE">
              <w:rPr>
                <w:rStyle w:val="hps"/>
              </w:rPr>
              <w:t>los resultados de</w:t>
            </w:r>
            <w:r w:rsidRPr="008E5EFE">
              <w:t xml:space="preserve"> </w:t>
            </w:r>
            <w:r w:rsidRPr="008E5EFE">
              <w:rPr>
                <w:rStyle w:val="hps"/>
              </w:rPr>
              <w:t>los estudios del UIT</w:t>
            </w:r>
            <w:r w:rsidRPr="008E5EFE">
              <w:t xml:space="preserve">-R, de conformidad con </w:t>
            </w:r>
            <w:r w:rsidRPr="008E5EFE">
              <w:rPr>
                <w:rStyle w:val="hps"/>
              </w:rPr>
              <w:t>la Resolución</w:t>
            </w:r>
            <w:r w:rsidRPr="008E5EFE">
              <w:t xml:space="preserve"> </w:t>
            </w:r>
            <w:r w:rsidRPr="008E5EFE">
              <w:rPr>
                <w:rStyle w:val="hps"/>
              </w:rPr>
              <w:t>xxx</w:t>
            </w:r>
            <w:r w:rsidRPr="008E5EFE">
              <w:t xml:space="preserve"> </w:t>
            </w:r>
            <w:r w:rsidRPr="008E5EFE">
              <w:rPr>
                <w:rStyle w:val="hps"/>
              </w:rPr>
              <w:t>(CMR-</w:t>
            </w:r>
            <w:r w:rsidRPr="008E5EFE">
              <w:t>15), a</w:t>
            </w:r>
            <w:r w:rsidRPr="008E5EFE">
              <w:rPr>
                <w:rStyle w:val="hps"/>
              </w:rPr>
              <w:t xml:space="preserve"> fin de</w:t>
            </w:r>
            <w:r w:rsidRPr="008E5EFE">
              <w:t xml:space="preserve"> elabor</w:t>
            </w:r>
            <w:r w:rsidRPr="008E5EFE">
              <w:rPr>
                <w:rStyle w:val="hps"/>
              </w:rPr>
              <w:t>ar un</w:t>
            </w:r>
            <w:r w:rsidRPr="008E5EFE">
              <w:t xml:space="preserve"> </w:t>
            </w:r>
            <w:r w:rsidRPr="008E5EFE">
              <w:rPr>
                <w:rStyle w:val="hps"/>
              </w:rPr>
              <w:t>plan de frecuencias para</w:t>
            </w:r>
            <w:r w:rsidRPr="008E5EFE">
              <w:t xml:space="preserve"> </w:t>
            </w:r>
            <w:r w:rsidRPr="008E5EFE">
              <w:rPr>
                <w:rStyle w:val="hps"/>
              </w:rPr>
              <w:t>el SRS</w:t>
            </w:r>
            <w:r w:rsidRPr="008E5EFE">
              <w:t xml:space="preserve"> </w:t>
            </w:r>
            <w:r w:rsidRPr="008E5EFE">
              <w:rPr>
                <w:rStyle w:val="hps"/>
              </w:rPr>
              <w:t>y el SFS</w:t>
            </w:r>
            <w:r w:rsidRPr="008E5EFE">
              <w:t xml:space="preserve"> </w:t>
            </w:r>
            <w:r w:rsidRPr="008E5EFE">
              <w:rPr>
                <w:rStyle w:val="hps"/>
              </w:rPr>
              <w:t>en las bandas</w:t>
            </w:r>
            <w:r w:rsidRPr="008E5EFE">
              <w:t xml:space="preserve"> </w:t>
            </w:r>
            <w:r w:rsidRPr="008E5EFE">
              <w:rPr>
                <w:rStyle w:val="hps"/>
              </w:rPr>
              <w:t>de frecuencias comprendidas entre</w:t>
            </w:r>
            <w:r w:rsidRPr="008E5EFE">
              <w:t xml:space="preserve"> </w:t>
            </w:r>
            <w:r w:rsidRPr="008E5EFE">
              <w:rPr>
                <w:rStyle w:val="hps"/>
              </w:rPr>
              <w:t>17 GHz y</w:t>
            </w:r>
            <w:r w:rsidRPr="008E5EFE">
              <w:t xml:space="preserve"> </w:t>
            </w:r>
            <w:r w:rsidRPr="008E5EFE">
              <w:rPr>
                <w:rStyle w:val="hps"/>
              </w:rPr>
              <w:t>31</w:t>
            </w:r>
            <w:r w:rsidRPr="008E5EFE">
              <w:t xml:space="preserve"> </w:t>
            </w:r>
            <w:r w:rsidRPr="008E5EFE">
              <w:rPr>
                <w:rStyle w:val="hps"/>
              </w:rPr>
              <w:t>GHz (</w:t>
            </w:r>
            <w:r w:rsidRPr="008E5EFE">
              <w:rPr>
                <w:rStyle w:val="atn"/>
              </w:rPr>
              <w:t>banda Ka</w:t>
            </w:r>
            <w:r w:rsidRPr="008E5EFE">
              <w:t>).</w:t>
            </w:r>
          </w:p>
          <w:p w:rsidR="00E0379C" w:rsidRPr="008E5EFE" w:rsidRDefault="00E0379C" w:rsidP="001713F0">
            <w:pPr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E5EF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Antecedentes/motivos:</w:t>
            </w:r>
            <w:r w:rsidRPr="008E5EFE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La finalidad de e</w:t>
            </w:r>
            <w:r w:rsidRPr="008E5EFE">
              <w:rPr>
                <w:rFonts w:asciiTheme="majorBidi" w:hAnsiTheme="majorBidi" w:cstheme="majorBidi"/>
                <w:color w:val="000000"/>
                <w:szCs w:val="24"/>
              </w:rPr>
              <w:t xml:space="preserve">ste punto del orden del día 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es</w:t>
            </w:r>
            <w:r w:rsidRPr="008E5EFE">
              <w:t xml:space="preserve"> velar por que los </w:t>
            </w:r>
            <w:r w:rsidRPr="008E5EFE">
              <w:rPr>
                <w:rStyle w:val="hps"/>
              </w:rPr>
              <w:t>países en desarrollo tengan un acceso equitativo</w:t>
            </w:r>
            <w:r w:rsidRPr="008E5EFE">
              <w:t xml:space="preserve"> </w:t>
            </w:r>
            <w:r w:rsidRPr="008E5EFE">
              <w:rPr>
                <w:rStyle w:val="hps"/>
              </w:rPr>
              <w:t>al espectro de frecuencias</w:t>
            </w:r>
            <w:r w:rsidRPr="008E5EFE">
              <w:t xml:space="preserve"> </w:t>
            </w:r>
            <w:r w:rsidRPr="008E5EFE">
              <w:rPr>
                <w:rStyle w:val="hps"/>
              </w:rPr>
              <w:t>radioeléctricas</w:t>
            </w:r>
            <w:r w:rsidRPr="008E5EFE">
              <w:t xml:space="preserve"> </w:t>
            </w:r>
            <w:r w:rsidRPr="008E5EFE">
              <w:rPr>
                <w:rStyle w:val="hps"/>
              </w:rPr>
              <w:t>y al recurso</w:t>
            </w:r>
            <w:r w:rsidRPr="008E5EFE">
              <w:t xml:space="preserve"> </w:t>
            </w:r>
            <w:r w:rsidRPr="008E5EFE">
              <w:rPr>
                <w:rStyle w:val="hps"/>
              </w:rPr>
              <w:t>orbital</w:t>
            </w:r>
            <w:r w:rsidRPr="008E5EFE">
              <w:t xml:space="preserve"> </w:t>
            </w:r>
            <w:r w:rsidRPr="008E5EFE">
              <w:rPr>
                <w:rStyle w:val="hps"/>
              </w:rPr>
              <w:t>en las bandas</w:t>
            </w:r>
            <w:r w:rsidRPr="008E5EFE">
              <w:t xml:space="preserve"> </w:t>
            </w:r>
            <w:r w:rsidRPr="008E5EFE">
              <w:rPr>
                <w:rStyle w:val="hps"/>
              </w:rPr>
              <w:t>de frecuencias comprendidas entre</w:t>
            </w:r>
            <w:r w:rsidRPr="008E5EFE">
              <w:t xml:space="preserve"> </w:t>
            </w:r>
            <w:r w:rsidRPr="008E5EFE">
              <w:rPr>
                <w:rStyle w:val="hps"/>
              </w:rPr>
              <w:t>17 GHz y</w:t>
            </w:r>
            <w:r w:rsidRPr="008E5EFE">
              <w:t xml:space="preserve"> </w:t>
            </w:r>
            <w:r w:rsidRPr="008E5EFE">
              <w:rPr>
                <w:rStyle w:val="hps"/>
              </w:rPr>
              <w:t>31</w:t>
            </w:r>
            <w:r w:rsidRPr="008E5EFE">
              <w:t xml:space="preserve"> </w:t>
            </w:r>
            <w:r w:rsidRPr="008E5EFE">
              <w:rPr>
                <w:rStyle w:val="hps"/>
              </w:rPr>
              <w:t>GHz, las cuales están atribuidas</w:t>
            </w:r>
            <w:r w:rsidRPr="008E5EFE">
              <w:t xml:space="preserve"> </w:t>
            </w:r>
            <w:r w:rsidRPr="008E5EFE">
              <w:rPr>
                <w:rStyle w:val="hps"/>
              </w:rPr>
              <w:t xml:space="preserve">a los </w:t>
            </w:r>
            <w:r w:rsidRPr="008E5EFE">
              <w:t>servicios de radiodifusión por satélite y fijo por satélite.</w:t>
            </w:r>
          </w:p>
          <w:p w:rsidR="00E0379C" w:rsidRPr="008E5EFE" w:rsidRDefault="00E0379C" w:rsidP="001713F0">
            <w:r w:rsidRPr="008E5EFE">
              <w:rPr>
                <w:rStyle w:val="hps"/>
              </w:rPr>
              <w:lastRenderedPageBreak/>
              <w:t>Actualmente</w:t>
            </w:r>
            <w:r w:rsidRPr="008E5EFE">
              <w:t xml:space="preserve">, </w:t>
            </w:r>
            <w:r w:rsidRPr="008E5EFE">
              <w:rPr>
                <w:rStyle w:val="hps"/>
              </w:rPr>
              <w:t>los Apéndices 30</w:t>
            </w:r>
            <w:r w:rsidRPr="008E5EFE">
              <w:t xml:space="preserve">, 30A </w:t>
            </w:r>
            <w:r w:rsidRPr="008E5EFE">
              <w:rPr>
                <w:rStyle w:val="hps"/>
              </w:rPr>
              <w:t>y</w:t>
            </w:r>
            <w:r w:rsidRPr="008E5EFE">
              <w:t xml:space="preserve"> </w:t>
            </w:r>
            <w:r w:rsidRPr="008E5EFE">
              <w:rPr>
                <w:rStyle w:val="hps"/>
              </w:rPr>
              <w:t>30B</w:t>
            </w:r>
            <w:r w:rsidRPr="008E5EFE">
              <w:t xml:space="preserve"> </w:t>
            </w:r>
            <w:r w:rsidRPr="008E5EFE">
              <w:rPr>
                <w:rStyle w:val="hps"/>
              </w:rPr>
              <w:t>del Reglamento de Radiocomunicaciones</w:t>
            </w:r>
            <w:r w:rsidRPr="008E5EFE">
              <w:t xml:space="preserve"> </w:t>
            </w:r>
            <w:r w:rsidRPr="008E5EFE">
              <w:rPr>
                <w:rStyle w:val="hps"/>
              </w:rPr>
              <w:t>contemplan planes de adjudicaciones para el SRS</w:t>
            </w:r>
            <w:r w:rsidRPr="008E5EFE">
              <w:t xml:space="preserve"> </w:t>
            </w:r>
            <w:r w:rsidRPr="008E5EFE">
              <w:rPr>
                <w:rStyle w:val="hps"/>
              </w:rPr>
              <w:t>y</w:t>
            </w:r>
            <w:r w:rsidRPr="008E5EFE">
              <w:t xml:space="preserve"> </w:t>
            </w:r>
            <w:r w:rsidRPr="008E5EFE">
              <w:rPr>
                <w:rStyle w:val="hps"/>
              </w:rPr>
              <w:t>el SFS</w:t>
            </w:r>
            <w:r w:rsidRPr="008E5EFE">
              <w:t xml:space="preserve"> </w:t>
            </w:r>
            <w:r w:rsidRPr="008E5EFE">
              <w:rPr>
                <w:rStyle w:val="hps"/>
              </w:rPr>
              <w:t>en las bandas</w:t>
            </w:r>
            <w:r w:rsidRPr="008E5EFE">
              <w:t xml:space="preserve"> </w:t>
            </w:r>
            <w:r w:rsidRPr="008E5EFE">
              <w:rPr>
                <w:rStyle w:val="hps"/>
              </w:rPr>
              <w:t>C y Ku</w:t>
            </w:r>
            <w:r w:rsidRPr="008E5EFE">
              <w:t>.</w:t>
            </w:r>
          </w:p>
          <w:p w:rsidR="00E0379C" w:rsidRDefault="00E0379C" w:rsidP="001713F0">
            <w:r w:rsidRPr="008E5EFE">
              <w:rPr>
                <w:rStyle w:val="hps"/>
              </w:rPr>
              <w:t>El desarrollo tecnológico</w:t>
            </w:r>
            <w:r w:rsidRPr="008E5EFE">
              <w:t xml:space="preserve"> </w:t>
            </w:r>
            <w:r w:rsidRPr="008E5EFE">
              <w:rPr>
                <w:rStyle w:val="hps"/>
              </w:rPr>
              <w:t>ha permitido</w:t>
            </w:r>
            <w:r w:rsidRPr="008E5EFE">
              <w:t xml:space="preserve"> la utilización </w:t>
            </w:r>
            <w:r w:rsidRPr="008E5EFE">
              <w:rPr>
                <w:rStyle w:val="hps"/>
              </w:rPr>
              <w:t>de</w:t>
            </w:r>
            <w:r w:rsidRPr="008E5EFE">
              <w:t xml:space="preserve"> </w:t>
            </w:r>
            <w:r w:rsidRPr="008E5EFE">
              <w:rPr>
                <w:rStyle w:val="hps"/>
              </w:rPr>
              <w:t>la</w:t>
            </w:r>
            <w:r w:rsidRPr="008E5EFE">
              <w:t xml:space="preserve"> </w:t>
            </w:r>
            <w:r w:rsidRPr="008E5EFE">
              <w:rPr>
                <w:rStyle w:val="hps"/>
              </w:rPr>
              <w:t>banda Ka</w:t>
            </w:r>
            <w:r w:rsidRPr="008E5EFE">
              <w:t xml:space="preserve"> </w:t>
            </w:r>
            <w:r w:rsidRPr="008E5EFE">
              <w:rPr>
                <w:rStyle w:val="hps"/>
              </w:rPr>
              <w:t>para aplicaciones</w:t>
            </w:r>
            <w:r w:rsidRPr="008E5EFE">
              <w:t xml:space="preserve"> </w:t>
            </w:r>
            <w:r w:rsidRPr="008E5EFE">
              <w:rPr>
                <w:rStyle w:val="hps"/>
              </w:rPr>
              <w:t>de banda ancha</w:t>
            </w:r>
            <w:r w:rsidRPr="008E5EFE">
              <w:t xml:space="preserve"> </w:t>
            </w:r>
            <w:r w:rsidRPr="008E5EFE">
              <w:rPr>
                <w:rStyle w:val="hps"/>
              </w:rPr>
              <w:t>por satélite</w:t>
            </w:r>
            <w:r w:rsidRPr="008E5EFE">
              <w:t xml:space="preserve"> </w:t>
            </w:r>
            <w:r w:rsidRPr="008E5EFE">
              <w:rPr>
                <w:rStyle w:val="hps"/>
              </w:rPr>
              <w:t>(así como</w:t>
            </w:r>
            <w:r w:rsidRPr="008E5EFE">
              <w:t xml:space="preserve"> para</w:t>
            </w:r>
            <w:r w:rsidRPr="008E5EFE">
              <w:rPr>
                <w:rStyle w:val="hps"/>
              </w:rPr>
              <w:t xml:space="preserve"> servicios</w:t>
            </w:r>
            <w:r w:rsidRPr="008E5EFE">
              <w:t xml:space="preserve"> </w:t>
            </w:r>
            <w:r w:rsidRPr="008E5EFE">
              <w:rPr>
                <w:rStyle w:val="hps"/>
              </w:rPr>
              <w:t>de DTH</w:t>
            </w:r>
            <w:r w:rsidRPr="008E5EFE">
              <w:t xml:space="preserve">), lo cual </w:t>
            </w:r>
            <w:r w:rsidRPr="008E5EFE">
              <w:rPr>
                <w:rStyle w:val="hps"/>
              </w:rPr>
              <w:t>facilita</w:t>
            </w:r>
            <w:r w:rsidRPr="008E5EFE">
              <w:t xml:space="preserve"> la implantación de terminales </w:t>
            </w:r>
            <w:r w:rsidRPr="008E5EFE">
              <w:rPr>
                <w:rStyle w:val="hps"/>
              </w:rPr>
              <w:t>de</w:t>
            </w:r>
            <w:r w:rsidRPr="008E5EFE">
              <w:t xml:space="preserve"> </w:t>
            </w:r>
            <w:r w:rsidRPr="008E5EFE">
              <w:rPr>
                <w:rStyle w:val="hps"/>
              </w:rPr>
              <w:t>bajo coste y</w:t>
            </w:r>
            <w:r w:rsidRPr="008E5EFE">
              <w:t xml:space="preserve"> </w:t>
            </w:r>
            <w:r w:rsidRPr="008E5EFE">
              <w:rPr>
                <w:rStyle w:val="hps"/>
              </w:rPr>
              <w:t>tamaño reducido</w:t>
            </w:r>
            <w:r w:rsidRPr="008E5EFE">
              <w:t xml:space="preserve">. </w:t>
            </w:r>
            <w:r w:rsidRPr="008E5EFE">
              <w:rPr>
                <w:rStyle w:val="hps"/>
              </w:rPr>
              <w:t>Este hecho reviste una importancia particular</w:t>
            </w:r>
            <w:r w:rsidRPr="008E5EFE">
              <w:t xml:space="preserve"> p</w:t>
            </w:r>
            <w:r w:rsidRPr="008E5EFE">
              <w:rPr>
                <w:rStyle w:val="hps"/>
              </w:rPr>
              <w:t>ara los países</w:t>
            </w:r>
            <w:r w:rsidRPr="008E5EFE">
              <w:t xml:space="preserve"> </w:t>
            </w:r>
            <w:r w:rsidRPr="008E5EFE">
              <w:rPr>
                <w:rStyle w:val="hps"/>
              </w:rPr>
              <w:t>en desarrollo.</w:t>
            </w:r>
            <w:r w:rsidRPr="008E5EFE">
              <w:t xml:space="preserve"> </w:t>
            </w:r>
            <w:r w:rsidRPr="008E5EFE">
              <w:rPr>
                <w:rStyle w:val="hps"/>
              </w:rPr>
              <w:t>A</w:t>
            </w:r>
            <w:r>
              <w:rPr>
                <w:rStyle w:val="hps"/>
              </w:rPr>
              <w:t xml:space="preserve"> día de hoy</w:t>
            </w:r>
            <w:r w:rsidRPr="008E5EFE">
              <w:t xml:space="preserve">, </w:t>
            </w:r>
            <w:r w:rsidRPr="008E5EFE">
              <w:rPr>
                <w:rStyle w:val="hps"/>
              </w:rPr>
              <w:t>muchos países en desarrollo carecen de los medios necesarios para</w:t>
            </w:r>
            <w:r w:rsidRPr="008E5EFE">
              <w:t xml:space="preserve"> </w:t>
            </w:r>
            <w:r w:rsidRPr="008E5EFE">
              <w:rPr>
                <w:rStyle w:val="hps"/>
              </w:rPr>
              <w:t>lanzar sus</w:t>
            </w:r>
            <w:r w:rsidRPr="008E5EFE">
              <w:t xml:space="preserve"> </w:t>
            </w:r>
            <w:r w:rsidRPr="008E5EFE">
              <w:rPr>
                <w:rStyle w:val="hps"/>
              </w:rPr>
              <w:t>propios satélites</w:t>
            </w:r>
            <w:r w:rsidRPr="008E5EFE">
              <w:t xml:space="preserve"> </w:t>
            </w:r>
            <w:r w:rsidRPr="008E5EFE">
              <w:rPr>
                <w:rStyle w:val="hps"/>
              </w:rPr>
              <w:t>con miras a proporcionar</w:t>
            </w:r>
            <w:r w:rsidRPr="008E5EFE">
              <w:t xml:space="preserve"> </w:t>
            </w:r>
            <w:r w:rsidRPr="008E5EFE">
              <w:rPr>
                <w:rStyle w:val="hps"/>
              </w:rPr>
              <w:t>dichos servicios</w:t>
            </w:r>
            <w:r w:rsidRPr="008E5EFE">
              <w:t>, no obstante, podrían adquirirlos en</w:t>
            </w:r>
            <w:r w:rsidRPr="008E5EFE">
              <w:rPr>
                <w:rStyle w:val="hps"/>
              </w:rPr>
              <w:t xml:space="preserve"> un futuro próximo</w:t>
            </w:r>
            <w:r w:rsidRPr="008E5EFE">
              <w:t xml:space="preserve">. </w:t>
            </w:r>
            <w:r w:rsidRPr="008E5EFE">
              <w:rPr>
                <w:rStyle w:val="hps"/>
              </w:rPr>
              <w:t>Por consiguiente</w:t>
            </w:r>
            <w:r w:rsidRPr="008E5EFE">
              <w:t xml:space="preserve">, habida cuenta de </w:t>
            </w:r>
            <w:r w:rsidRPr="008E5EFE">
              <w:rPr>
                <w:rStyle w:val="hps"/>
              </w:rPr>
              <w:t>lo dispuesto en el</w:t>
            </w:r>
            <w:r w:rsidRPr="008E5EFE">
              <w:t xml:space="preserve"> </w:t>
            </w:r>
            <w:r w:rsidRPr="008E5EFE">
              <w:rPr>
                <w:rStyle w:val="hps"/>
              </w:rPr>
              <w:t>artículo 44 de la</w:t>
            </w:r>
            <w:r w:rsidRPr="008E5EFE">
              <w:t xml:space="preserve"> </w:t>
            </w:r>
            <w:r w:rsidRPr="008E5EFE">
              <w:rPr>
                <w:rStyle w:val="hps"/>
              </w:rPr>
              <w:t>Constitución de la</w:t>
            </w:r>
            <w:r w:rsidRPr="008E5EFE">
              <w:t xml:space="preserve"> </w:t>
            </w:r>
            <w:r w:rsidRPr="008E5EFE">
              <w:rPr>
                <w:rStyle w:val="hps"/>
              </w:rPr>
              <w:t>UIT</w:t>
            </w:r>
            <w:r w:rsidRPr="008E5EFE">
              <w:t xml:space="preserve"> </w:t>
            </w:r>
            <w:r w:rsidRPr="008E5EFE">
              <w:rPr>
                <w:rStyle w:val="hps"/>
              </w:rPr>
              <w:t>y</w:t>
            </w:r>
            <w:r w:rsidRPr="008E5EFE">
              <w:t xml:space="preserve"> </w:t>
            </w:r>
            <w:r w:rsidRPr="008E5EFE">
              <w:rPr>
                <w:rStyle w:val="hps"/>
              </w:rPr>
              <w:t>en la Resolución 86</w:t>
            </w:r>
            <w:r w:rsidRPr="008E5EFE">
              <w:t xml:space="preserve"> </w:t>
            </w:r>
            <w:r w:rsidRPr="008E5EFE">
              <w:rPr>
                <w:rStyle w:val="hps"/>
              </w:rPr>
              <w:t>(</w:t>
            </w:r>
            <w:r w:rsidRPr="008E5EFE">
              <w:t xml:space="preserve">Rev. </w:t>
            </w:r>
            <w:r w:rsidRPr="008E5EFE">
              <w:rPr>
                <w:rStyle w:val="hps"/>
              </w:rPr>
              <w:t>Marrakech, 2002</w:t>
            </w:r>
            <w:r w:rsidRPr="008E5EFE">
              <w:t xml:space="preserve">), </w:t>
            </w:r>
            <w:r w:rsidRPr="008E5EFE">
              <w:rPr>
                <w:rStyle w:val="hps"/>
              </w:rPr>
              <w:t>consideramos oportuno</w:t>
            </w:r>
            <w:r w:rsidRPr="008E5EFE">
              <w:t xml:space="preserve"> </w:t>
            </w:r>
            <w:r w:rsidRPr="008E5EFE">
              <w:rPr>
                <w:rStyle w:val="hps"/>
              </w:rPr>
              <w:t>incluir este punto</w:t>
            </w:r>
            <w:r w:rsidRPr="008E5EFE">
              <w:t xml:space="preserve"> en </w:t>
            </w:r>
            <w:r w:rsidRPr="008E5EFE">
              <w:rPr>
                <w:rStyle w:val="hps"/>
              </w:rPr>
              <w:t>el orden del día</w:t>
            </w:r>
            <w:r w:rsidRPr="008E5EFE">
              <w:t xml:space="preserve"> </w:t>
            </w:r>
            <w:r w:rsidRPr="008E5EFE">
              <w:rPr>
                <w:rStyle w:val="hps"/>
              </w:rPr>
              <w:t>de</w:t>
            </w:r>
            <w:r w:rsidRPr="008E5EFE">
              <w:t xml:space="preserve"> </w:t>
            </w:r>
            <w:r w:rsidRPr="008E5EFE">
              <w:rPr>
                <w:rStyle w:val="hps"/>
              </w:rPr>
              <w:t>la próxima Conferencia</w:t>
            </w:r>
            <w:r w:rsidRPr="008E5EFE">
              <w:t xml:space="preserve"> </w:t>
            </w:r>
            <w:r w:rsidRPr="008E5EFE">
              <w:rPr>
                <w:rStyle w:val="hps"/>
              </w:rPr>
              <w:t>Mundial de Radiocomunicaciones (</w:t>
            </w:r>
            <w:r w:rsidRPr="008E5EFE">
              <w:rPr>
                <w:rStyle w:val="atn"/>
              </w:rPr>
              <w:t>CMR-</w:t>
            </w:r>
            <w:r w:rsidRPr="008E5EFE">
              <w:t>19</w:t>
            </w:r>
            <w:r w:rsidRPr="008E5EFE">
              <w:rPr>
                <w:rStyle w:val="hps"/>
              </w:rPr>
              <w:t>)</w:t>
            </w:r>
            <w:r w:rsidRPr="008E5EFE">
              <w:t>.</w:t>
            </w:r>
          </w:p>
          <w:p w:rsidR="00270C71" w:rsidRPr="008E5EFE" w:rsidRDefault="00270C71" w:rsidP="001713F0">
            <w:pPr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lastRenderedPageBreak/>
              <w:t>Servicios de radiocomunicaciones en cuestión</w:t>
            </w:r>
            <w:r w:rsidRPr="008E5EFE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8E5EFE">
              <w:t>Servicios de radiodifusión por satélite y fijo por satélite.</w:t>
            </w:r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Indicación de posibles dificultades</w:t>
            </w:r>
            <w:r w:rsidRPr="008E5EFE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Estudios previos o en curso sobre el tema</w:t>
            </w:r>
            <w:r w:rsidRPr="008E5EFE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8E5EFE">
              <w:rPr>
                <w:rFonts w:asciiTheme="majorBidi" w:hAnsiTheme="majorBidi" w:cstheme="majorBidi"/>
                <w:bCs/>
              </w:rPr>
              <w:t>Ninguno</w:t>
            </w:r>
          </w:p>
        </w:tc>
      </w:tr>
      <w:tr w:rsidR="00E0379C" w:rsidRPr="008E5EFE" w:rsidTr="00286EEF">
        <w:trPr>
          <w:trHeight w:val="160"/>
        </w:trPr>
        <w:tc>
          <w:tcPr>
            <w:tcW w:w="5495" w:type="dxa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Estudios que han de efectuarse a cargo de</w:t>
            </w:r>
            <w:r w:rsidRPr="008E5EFE">
              <w:rPr>
                <w:rFonts w:asciiTheme="majorBidi" w:hAnsiTheme="majorBidi" w:cstheme="majorBidi"/>
                <w:b/>
                <w:bCs/>
              </w:rPr>
              <w:t>:</w:t>
            </w:r>
            <w:r w:rsidRPr="008E5EFE">
              <w:rPr>
                <w:rFonts w:asciiTheme="majorBidi" w:hAnsiTheme="majorBidi" w:cstheme="majorBidi"/>
              </w:rPr>
              <w:t xml:space="preserve"> </w:t>
            </w:r>
            <w:r w:rsidR="007C2D45">
              <w:rPr>
                <w:rFonts w:asciiTheme="majorBidi" w:hAnsiTheme="majorBidi" w:cstheme="majorBidi"/>
              </w:rPr>
              <w:t>Comisión </w:t>
            </w:r>
            <w:r w:rsidRPr="008E5EFE">
              <w:rPr>
                <w:rFonts w:asciiTheme="majorBidi" w:hAnsiTheme="majorBidi" w:cstheme="majorBidi"/>
              </w:rPr>
              <w:t xml:space="preserve">de Estudio </w:t>
            </w:r>
            <w:r w:rsidRPr="008E5EFE">
              <w:rPr>
                <w:rFonts w:asciiTheme="majorBidi" w:hAnsiTheme="majorBidi" w:cstheme="majorBidi"/>
                <w:bCs/>
              </w:rPr>
              <w:t>4 del UIT-R</w:t>
            </w:r>
          </w:p>
        </w:tc>
        <w:tc>
          <w:tcPr>
            <w:tcW w:w="4317" w:type="dxa"/>
          </w:tcPr>
          <w:p w:rsidR="00E0379C" w:rsidRPr="008E5EFE" w:rsidRDefault="00E0379C" w:rsidP="003A25D3">
            <w:pPr>
              <w:rPr>
                <w:rFonts w:asciiTheme="majorBidi" w:hAnsiTheme="majorBidi" w:cstheme="majorBidi"/>
              </w:rPr>
            </w:pPr>
            <w:r w:rsidRPr="008E5EF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con participación de: </w:t>
            </w:r>
            <w:r w:rsidR="003A25D3">
              <w:rPr>
                <w:rFonts w:asciiTheme="majorBidi" w:hAnsiTheme="majorBidi" w:cstheme="majorBidi"/>
                <w:b/>
                <w:bCs/>
                <w:i/>
                <w:iCs/>
              </w:rPr>
              <w:br/>
            </w:r>
            <w:r w:rsidRPr="008E5EFE">
              <w:rPr>
                <w:rFonts w:asciiTheme="majorBidi" w:hAnsiTheme="majorBidi" w:cstheme="majorBidi"/>
                <w:bCs/>
                <w:iCs/>
              </w:rPr>
              <w:t>Estados Miembros</w:t>
            </w:r>
            <w:bookmarkStart w:id="6" w:name="_GoBack"/>
            <w:bookmarkEnd w:id="6"/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Comisiones de Estudio del UIT-R interesadas</w:t>
            </w:r>
            <w:r w:rsidRPr="008E5EFE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8E5EFE">
              <w:rPr>
                <w:rFonts w:asciiTheme="majorBidi" w:hAnsiTheme="majorBidi" w:cstheme="majorBidi"/>
              </w:rPr>
              <w:t xml:space="preserve">Comisión de Estudio </w:t>
            </w:r>
            <w:r w:rsidRPr="008E5EFE"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270C71" w:rsidRDefault="00E0379C" w:rsidP="001713F0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Consecuencias en los recursos de la UIT, incluidas las implicaciones financieras (véase el</w:t>
            </w:r>
          </w:p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CV126)</w:t>
            </w:r>
            <w:r w:rsidRPr="00270C71">
              <w:rPr>
                <w:rFonts w:asciiTheme="majorBidi" w:hAnsiTheme="majorBidi" w:cstheme="majorBidi"/>
                <w:b/>
                <w:bCs/>
              </w:rPr>
              <w:t>:</w:t>
            </w:r>
            <w:r w:rsidRPr="008E5EFE">
              <w:t xml:space="preserve"> [Por determinar]</w:t>
            </w:r>
          </w:p>
        </w:tc>
      </w:tr>
      <w:tr w:rsidR="00E0379C" w:rsidRPr="008E5EFE" w:rsidTr="00286EEF">
        <w:trPr>
          <w:trHeight w:val="361"/>
        </w:trPr>
        <w:tc>
          <w:tcPr>
            <w:tcW w:w="5495" w:type="dxa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Propuesta regional común:</w:t>
            </w:r>
            <w:r w:rsidRPr="008E5EFE">
              <w:rPr>
                <w:rFonts w:asciiTheme="majorBidi" w:hAnsiTheme="majorBidi" w:cstheme="majorBidi"/>
              </w:rPr>
              <w:t xml:space="preserve"> Sí/No </w:t>
            </w:r>
          </w:p>
        </w:tc>
        <w:tc>
          <w:tcPr>
            <w:tcW w:w="4317" w:type="dxa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270C71">
              <w:rPr>
                <w:rFonts w:asciiTheme="majorBidi" w:hAnsiTheme="majorBidi" w:cstheme="majorBidi"/>
                <w:b/>
                <w:bCs/>
                <w:i/>
                <w:iCs/>
              </w:rPr>
              <w:t>Propuesta presentada por más de un país</w:t>
            </w:r>
            <w:r w:rsidRPr="008E5EFE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8E5EFE">
              <w:rPr>
                <w:rFonts w:asciiTheme="majorBidi" w:hAnsiTheme="majorBidi" w:cstheme="majorBidi"/>
              </w:rPr>
              <w:t>Sí</w:t>
            </w:r>
          </w:p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8E5EF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Número de países: </w:t>
            </w:r>
            <w:r w:rsidRPr="008E5EFE">
              <w:rPr>
                <w:rFonts w:asciiTheme="majorBidi" w:hAnsiTheme="majorBidi" w:cstheme="majorBidi"/>
                <w:bCs/>
                <w:iCs/>
              </w:rPr>
              <w:t>[15]</w:t>
            </w:r>
          </w:p>
        </w:tc>
      </w:tr>
      <w:tr w:rsidR="00E0379C" w:rsidRPr="008E5EFE" w:rsidTr="00286EEF">
        <w:trPr>
          <w:trHeight w:val="160"/>
        </w:trPr>
        <w:tc>
          <w:tcPr>
            <w:tcW w:w="9812" w:type="dxa"/>
            <w:gridSpan w:val="2"/>
          </w:tcPr>
          <w:p w:rsidR="00E0379C" w:rsidRPr="008E5EFE" w:rsidRDefault="00E0379C" w:rsidP="001713F0">
            <w:pPr>
              <w:rPr>
                <w:rFonts w:asciiTheme="majorBidi" w:hAnsiTheme="majorBidi" w:cstheme="majorBidi"/>
              </w:rPr>
            </w:pPr>
            <w:r w:rsidRPr="008E5EFE">
              <w:rPr>
                <w:rFonts w:asciiTheme="majorBidi" w:hAnsiTheme="majorBidi" w:cstheme="majorBidi"/>
                <w:b/>
                <w:bCs/>
                <w:i/>
                <w:iCs/>
              </w:rPr>
              <w:t>Observaciones</w:t>
            </w:r>
          </w:p>
        </w:tc>
      </w:tr>
    </w:tbl>
    <w:p w:rsidR="00A12C8A" w:rsidRDefault="00A12C8A" w:rsidP="0032202E">
      <w:pPr>
        <w:pStyle w:val="Reasons"/>
      </w:pPr>
    </w:p>
    <w:p w:rsidR="00A12C8A" w:rsidRDefault="00A12C8A">
      <w:pPr>
        <w:jc w:val="center"/>
      </w:pPr>
      <w:r>
        <w:t>______________</w:t>
      </w:r>
    </w:p>
    <w:p w:rsidR="00363A65" w:rsidRDefault="00363A65" w:rsidP="00A12C8A">
      <w:pPr>
        <w:pStyle w:val="Reasons"/>
      </w:pPr>
    </w:p>
    <w:sectPr w:rsidR="00363A6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324B0" w:rsidRDefault="0077084A">
    <w:pPr>
      <w:ind w:right="360"/>
    </w:pPr>
    <w:r>
      <w:fldChar w:fldCharType="begin"/>
    </w:r>
    <w:r w:rsidRPr="002324B0">
      <w:instrText xml:space="preserve"> FILENAME \p  \* MERGEFORMAT </w:instrText>
    </w:r>
    <w:r>
      <w:fldChar w:fldCharType="separate"/>
    </w:r>
    <w:r w:rsidR="002324B0">
      <w:rPr>
        <w:noProof/>
      </w:rPr>
      <w:t>P:\ESP\ITU-R\CONF-R\CMR15\100\130ADD25ADD01S.docx</w:t>
    </w:r>
    <w:r>
      <w:fldChar w:fldCharType="end"/>
    </w:r>
    <w:r w:rsidRPr="002324B0">
      <w:tab/>
    </w:r>
    <w:r>
      <w:fldChar w:fldCharType="begin"/>
    </w:r>
    <w:r>
      <w:instrText xml:space="preserve"> SAVEDATE \@ DD.MM.YY </w:instrText>
    </w:r>
    <w:r>
      <w:fldChar w:fldCharType="separate"/>
    </w:r>
    <w:r w:rsidR="002324B0">
      <w:rPr>
        <w:noProof/>
      </w:rPr>
      <w:t>01.11.15</w:t>
    </w:r>
    <w:r>
      <w:fldChar w:fldCharType="end"/>
    </w:r>
    <w:r w:rsidRPr="002324B0">
      <w:tab/>
    </w:r>
    <w:r>
      <w:fldChar w:fldCharType="begin"/>
    </w:r>
    <w:r>
      <w:instrText xml:space="preserve"> PRINTDATE \@ DD.MM.YY </w:instrText>
    </w:r>
    <w:r>
      <w:fldChar w:fldCharType="separate"/>
    </w:r>
    <w:r w:rsidR="002324B0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9E" w:rsidRDefault="00356B9E" w:rsidP="00356B9E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2324B0">
      <w:t>P:\ESP\ITU-R\CONF-R\CMR15\100\130ADD25ADD01S.docx</w:t>
    </w:r>
    <w:r>
      <w:fldChar w:fldCharType="end"/>
    </w:r>
    <w:r>
      <w:t xml:space="preserve"> (389054)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324B0"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324B0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9E" w:rsidRDefault="00356B9E">
    <w:pPr>
      <w:pStyle w:val="Footer"/>
    </w:pPr>
    <w:fldSimple w:instr=" FILENAME \p  \* MERGEFORMAT ">
      <w:r w:rsidR="002324B0">
        <w:t>P:\ESP\ITU-R\CONF-R\CMR15\100\130ADD25ADD01S.docx</w:t>
      </w:r>
    </w:fldSimple>
    <w:r>
      <w:t xml:space="preserve"> (389054)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324B0"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324B0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25D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130(Add.25)(Add.1)-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13F0"/>
    <w:rsid w:val="00191A97"/>
    <w:rsid w:val="001A083F"/>
    <w:rsid w:val="001B6BBF"/>
    <w:rsid w:val="001C41FA"/>
    <w:rsid w:val="001E2B52"/>
    <w:rsid w:val="001E3F27"/>
    <w:rsid w:val="002324B0"/>
    <w:rsid w:val="00236D2A"/>
    <w:rsid w:val="0024591B"/>
    <w:rsid w:val="00255F12"/>
    <w:rsid w:val="00262C09"/>
    <w:rsid w:val="00270C71"/>
    <w:rsid w:val="002A2F34"/>
    <w:rsid w:val="002A791F"/>
    <w:rsid w:val="002C1B26"/>
    <w:rsid w:val="002C5D6C"/>
    <w:rsid w:val="002E701F"/>
    <w:rsid w:val="003248A9"/>
    <w:rsid w:val="00324FFA"/>
    <w:rsid w:val="0032680B"/>
    <w:rsid w:val="00356B9E"/>
    <w:rsid w:val="00363A65"/>
    <w:rsid w:val="003A25D3"/>
    <w:rsid w:val="003B1E8C"/>
    <w:rsid w:val="003C2508"/>
    <w:rsid w:val="003D0AA3"/>
    <w:rsid w:val="00440B3A"/>
    <w:rsid w:val="0045384C"/>
    <w:rsid w:val="00454553"/>
    <w:rsid w:val="004B124A"/>
    <w:rsid w:val="0050227E"/>
    <w:rsid w:val="005133B5"/>
    <w:rsid w:val="00532097"/>
    <w:rsid w:val="0058350F"/>
    <w:rsid w:val="00583C7E"/>
    <w:rsid w:val="005D46FB"/>
    <w:rsid w:val="005F2605"/>
    <w:rsid w:val="005F3B0E"/>
    <w:rsid w:val="005F559C"/>
    <w:rsid w:val="0064265F"/>
    <w:rsid w:val="00662BA0"/>
    <w:rsid w:val="00692AAE"/>
    <w:rsid w:val="006D6E67"/>
    <w:rsid w:val="006E1A13"/>
    <w:rsid w:val="00701C20"/>
    <w:rsid w:val="00702F3D"/>
    <w:rsid w:val="0070518E"/>
    <w:rsid w:val="007354E9"/>
    <w:rsid w:val="007633EC"/>
    <w:rsid w:val="00765578"/>
    <w:rsid w:val="0077084A"/>
    <w:rsid w:val="007952C7"/>
    <w:rsid w:val="007C0B95"/>
    <w:rsid w:val="007C2317"/>
    <w:rsid w:val="007C2D45"/>
    <w:rsid w:val="007D330A"/>
    <w:rsid w:val="00866AE6"/>
    <w:rsid w:val="008750A8"/>
    <w:rsid w:val="008D42ED"/>
    <w:rsid w:val="008E5AF2"/>
    <w:rsid w:val="0090121B"/>
    <w:rsid w:val="009144C9"/>
    <w:rsid w:val="0094091F"/>
    <w:rsid w:val="00973754"/>
    <w:rsid w:val="009C0BED"/>
    <w:rsid w:val="009E11EC"/>
    <w:rsid w:val="00A118DB"/>
    <w:rsid w:val="00A12C8A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012A5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379C"/>
    <w:rsid w:val="00E05BFF"/>
    <w:rsid w:val="00E262F1"/>
    <w:rsid w:val="00E3176A"/>
    <w:rsid w:val="00E54754"/>
    <w:rsid w:val="00E56BD3"/>
    <w:rsid w:val="00E71D14"/>
    <w:rsid w:val="00ED5B8D"/>
    <w:rsid w:val="00F6346A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F45356F-9017-432B-84F7-23BFA47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efault">
    <w:name w:val="Default"/>
    <w:rsid w:val="00E0379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ZA" w:eastAsia="en-US"/>
    </w:rPr>
  </w:style>
  <w:style w:type="character" w:customStyle="1" w:styleId="hps">
    <w:name w:val="hps"/>
    <w:basedOn w:val="DefaultParagraphFont"/>
    <w:rsid w:val="00E0379C"/>
  </w:style>
  <w:style w:type="character" w:customStyle="1" w:styleId="atn">
    <w:name w:val="atn"/>
    <w:basedOn w:val="DefaultParagraphFont"/>
    <w:rsid w:val="00E0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R15-WRC15-C-0130!A25-A1!MSW-S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C6FF6-644D-4DB2-AD37-27992F6373AB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E9F54-A478-4D84-91A7-22B95682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R15-WRC15-C-0130!A25-A1!MSW-S</vt:lpstr>
    </vt:vector>
  </TitlesOfParts>
  <Manager>Secretaría General - Pool</Manager>
  <Company>Unión Internacional de Telecomunicaciones (UIT)</Company>
  <LinksUpToDate>false</LinksUpToDate>
  <CharactersWithSpaces>3686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R15-WRC15-C-0130!A25-A1!MSW-S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20</cp:revision>
  <cp:lastPrinted>2015-11-01T10:43:00Z</cp:lastPrinted>
  <dcterms:created xsi:type="dcterms:W3CDTF">2015-11-01T10:38:00Z</dcterms:created>
  <dcterms:modified xsi:type="dcterms:W3CDTF">2015-11-01T10:52:00Z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