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6F4B70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6F4B70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6F4B70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130(Add.25)</w:t>
            </w:r>
            <w:r w:rsidR="00BB1D82" w:rsidRPr="006F4B70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6F4B70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6F4B70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19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F4B70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6F4B70">
              <w:rPr>
                <w:lang w:val="fr-CH"/>
              </w:rPr>
              <w:t>Angola (République d')/Botswana (République du)/Lesotho (R</w:t>
            </w:r>
            <w:bookmarkStart w:id="3" w:name="_GoBack"/>
            <w:bookmarkEnd w:id="3"/>
            <w:r w:rsidRPr="006F4B70">
              <w:rPr>
                <w:lang w:val="fr-CH"/>
              </w:rPr>
              <w:t>oyaume du)/Madagascar (République de)/Malawi/Maurice (République de)/Mozambique (République du)/Namibie (République de)/République démocratique du Congo/Seychelles (République des)/</w:t>
            </w:r>
            <w:proofErr w:type="spellStart"/>
            <w:r w:rsidRPr="006F4B70">
              <w:rPr>
                <w:lang w:val="fr-CH"/>
              </w:rPr>
              <w:t>Sudafricaine</w:t>
            </w:r>
            <w:proofErr w:type="spellEnd"/>
            <w:r w:rsidRPr="006F4B70">
              <w:rPr>
                <w:lang w:val="fr-CH"/>
              </w:rPr>
              <w:t xml:space="preserve"> (République)/Swaziland (Royaume du)/Tanzanie (République-Unie de)/Zambie (République de)/Zimbabwe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F4B70" w:rsidRDefault="00690C7B" w:rsidP="006F4B70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6F4B70">
              <w:rPr>
                <w:lang w:val="fr-CH"/>
              </w:rPr>
              <w:t>Propos</w:t>
            </w:r>
            <w:r w:rsidR="006F4B70" w:rsidRPr="006F4B70">
              <w:rPr>
                <w:lang w:val="fr-CH"/>
              </w:rPr>
              <w:t xml:space="preserve">ITIONS POUR LES TRAVAUX DE LA </w:t>
            </w:r>
            <w:r w:rsidRPr="006F4B70">
              <w:rPr>
                <w:lang w:val="fr-CH"/>
              </w:rPr>
              <w:t>conf</w:t>
            </w:r>
            <w:r w:rsidR="006F4B70" w:rsidRPr="006F4B70">
              <w:rPr>
                <w:lang w:val="fr-CH"/>
              </w:rPr>
              <w:t>É</w:t>
            </w:r>
            <w:r w:rsidRPr="006F4B70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6F4B70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10 de l'ordre du jour</w:t>
            </w:r>
          </w:p>
        </w:tc>
      </w:tr>
    </w:tbl>
    <w:bookmarkEnd w:id="6"/>
    <w:p w:rsidR="00530ECD" w:rsidRDefault="00DD2429" w:rsidP="005B74D7">
      <w:pPr>
        <w:rPr>
          <w:lang w:val="fr-CA"/>
        </w:rPr>
      </w:pPr>
      <w:r w:rsidRPr="000F2DBF">
        <w:rPr>
          <w:lang w:val="fr-CA"/>
        </w:rPr>
        <w:t>10</w:t>
      </w:r>
      <w:r w:rsidRPr="000F2DBF">
        <w:rPr>
          <w:lang w:val="fr-CA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Convention,</w:t>
      </w:r>
    </w:p>
    <w:p w:rsidR="005B74D7" w:rsidRPr="00530ECD" w:rsidRDefault="005B74D7" w:rsidP="005B74D7">
      <w:pPr>
        <w:rPr>
          <w:lang w:val="fr-C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5095"/>
      </w:tblGrid>
      <w:tr w:rsidR="00530ECD" w:rsidRPr="004A103A" w:rsidTr="00530ECD">
        <w:tc>
          <w:tcPr>
            <w:tcW w:w="9855" w:type="dxa"/>
            <w:gridSpan w:val="2"/>
          </w:tcPr>
          <w:p w:rsidR="00530ECD" w:rsidRPr="00530ECD" w:rsidRDefault="00530ECD" w:rsidP="00530ECD">
            <w:pPr>
              <w:rPr>
                <w:b/>
                <w:bCs/>
                <w:lang w:val="fr-CH"/>
              </w:rPr>
            </w:pPr>
            <w:r w:rsidRPr="00AD5A77">
              <w:rPr>
                <w:b/>
                <w:bCs/>
                <w:lang w:val="fr-CH"/>
              </w:rPr>
              <w:t xml:space="preserve">Objet: </w:t>
            </w:r>
            <w:proofErr w:type="spellStart"/>
            <w:r w:rsidRPr="00AD5A77">
              <w:rPr>
                <w:lang w:val="fr-CH"/>
              </w:rPr>
              <w:t>Elaboration</w:t>
            </w:r>
            <w:proofErr w:type="spellEnd"/>
            <w:r w:rsidRPr="00AD5A77">
              <w:rPr>
                <w:lang w:val="fr-CH"/>
              </w:rPr>
              <w:t xml:space="preserve"> d’un Plan pour le SRS et le SFS dans les bandes de fréquences comprises entre 17 et 31 GHz (bande Ka).</w:t>
            </w:r>
          </w:p>
        </w:tc>
      </w:tr>
      <w:tr w:rsidR="00530ECD" w:rsidRPr="004A103A" w:rsidTr="00530ECD">
        <w:tc>
          <w:tcPr>
            <w:tcW w:w="9855" w:type="dxa"/>
            <w:gridSpan w:val="2"/>
          </w:tcPr>
          <w:p w:rsidR="00530ECD" w:rsidRPr="00AD5A77" w:rsidRDefault="00530ECD" w:rsidP="00530ECD">
            <w:pPr>
              <w:rPr>
                <w:b/>
                <w:bCs/>
                <w:i/>
                <w:iCs/>
                <w:lang w:val="fr-CH"/>
              </w:rPr>
            </w:pPr>
            <w:r w:rsidRPr="00AD5A77">
              <w:rPr>
                <w:b/>
                <w:bCs/>
                <w:lang w:val="fr-CH"/>
              </w:rPr>
              <w:t xml:space="preserve">Origine: </w:t>
            </w:r>
            <w:proofErr w:type="spellStart"/>
            <w:r>
              <w:rPr>
                <w:lang w:val="fr-CH"/>
              </w:rPr>
              <w:t>Sudafricaine</w:t>
            </w:r>
            <w:proofErr w:type="spellEnd"/>
            <w:r>
              <w:rPr>
                <w:lang w:val="fr-CH"/>
              </w:rPr>
              <w:t xml:space="preserve"> (République), </w:t>
            </w:r>
            <w:r w:rsidRPr="006F4B70">
              <w:rPr>
                <w:lang w:val="fr-CH"/>
              </w:rPr>
              <w:t>Angola (République d')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Botswana (République du)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République démocratique du Congo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Lesotho (Royaume du)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Maurice (République de)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Madagascar (République de)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Mozambique (République du)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Malawi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Namibie (République de)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Seychelles (République des)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Swaziland (Royaume du)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Tanzanie (République-Unie de)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Zambie (République de)</w:t>
            </w:r>
            <w:r>
              <w:rPr>
                <w:lang w:val="fr-CH"/>
              </w:rPr>
              <w:t xml:space="preserve">, </w:t>
            </w:r>
            <w:r w:rsidRPr="006F4B70">
              <w:rPr>
                <w:lang w:val="fr-CH"/>
              </w:rPr>
              <w:t>Zimbabwe (République du)</w:t>
            </w:r>
            <w:r>
              <w:rPr>
                <w:lang w:val="fr-CH"/>
              </w:rPr>
              <w:t>.</w:t>
            </w:r>
          </w:p>
        </w:tc>
      </w:tr>
      <w:tr w:rsidR="00DD2429" w:rsidRPr="004A103A" w:rsidTr="00530ECD">
        <w:tc>
          <w:tcPr>
            <w:tcW w:w="9855" w:type="dxa"/>
            <w:gridSpan w:val="2"/>
          </w:tcPr>
          <w:p w:rsidR="00DD2429" w:rsidRPr="00530ECD" w:rsidRDefault="00DD2429" w:rsidP="00530ECD">
            <w:pPr>
              <w:rPr>
                <w:b/>
                <w:i/>
                <w:lang w:val="fr-CH"/>
              </w:rPr>
            </w:pPr>
            <w:r w:rsidRPr="00AD5A77">
              <w:rPr>
                <w:b/>
                <w:bCs/>
                <w:i/>
                <w:iCs/>
                <w:lang w:val="fr-CH"/>
              </w:rPr>
              <w:t>Proposition:</w:t>
            </w:r>
            <w:r w:rsidRPr="00AD5A77">
              <w:rPr>
                <w:rFonts w:asciiTheme="majorBidi" w:hAnsiTheme="majorBidi" w:cstheme="majorBidi"/>
                <w:lang w:val="fr-CH"/>
              </w:rPr>
              <w:t xml:space="preserve"> </w:t>
            </w:r>
            <w:r w:rsidR="00AD5A77" w:rsidRPr="00AD5A77">
              <w:rPr>
                <w:rFonts w:asciiTheme="majorBidi" w:hAnsiTheme="majorBidi" w:cstheme="majorBidi"/>
                <w:lang w:val="fr-CH"/>
              </w:rPr>
              <w:t xml:space="preserve">Examiner les résultats des études de l’UIT-R conformément à la Résolution xxx (CMR-15), afin d’élaborer un </w:t>
            </w:r>
            <w:r w:rsidR="00AD5A77">
              <w:rPr>
                <w:color w:val="000000"/>
              </w:rPr>
              <w:t>plan de fréquences pour le SRS et le SFS dans les bandes de fréquences comprises entre 17 et 31 GHz (bande Ka).</w:t>
            </w:r>
          </w:p>
        </w:tc>
      </w:tr>
      <w:tr w:rsidR="00DD2429" w:rsidRPr="004F58F7" w:rsidTr="00530ECD">
        <w:tc>
          <w:tcPr>
            <w:tcW w:w="9855" w:type="dxa"/>
            <w:gridSpan w:val="2"/>
          </w:tcPr>
          <w:p w:rsidR="003734C8" w:rsidRDefault="00DD2429" w:rsidP="009E7AD0">
            <w:pPr>
              <w:rPr>
                <w:color w:val="000000"/>
              </w:rPr>
            </w:pPr>
            <w:r w:rsidRPr="00AD5A77">
              <w:rPr>
                <w:b/>
                <w:bCs/>
                <w:i/>
                <w:iCs/>
                <w:lang w:val="fr-CH"/>
              </w:rPr>
              <w:t>Contexte/motif:</w:t>
            </w:r>
            <w:r w:rsidR="00241329">
              <w:rPr>
                <w:b/>
                <w:bCs/>
                <w:i/>
                <w:iCs/>
                <w:lang w:val="fr-CH"/>
              </w:rPr>
              <w:t xml:space="preserve"> </w:t>
            </w:r>
            <w:r w:rsidR="00AD5A77" w:rsidRPr="00AD5A77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 xml:space="preserve">L’objectif de ce point de l’ordre du jour </w:t>
            </w:r>
            <w:r w:rsidR="00D50D18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>proposé</w:t>
            </w:r>
            <w:r w:rsidR="00AD5A77" w:rsidRPr="00AD5A77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 xml:space="preserve"> est de </w:t>
            </w:r>
            <w:r w:rsidR="00AD5A77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 xml:space="preserve">faire en sorte de garantir aux pays en développement un accès </w:t>
            </w:r>
            <w:r w:rsidR="00D50D18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>équitable au spectre des fréquences radioélectriques et aux ressources orbitales dans les</w:t>
            </w:r>
            <w:r w:rsidR="00D50D18">
              <w:rPr>
                <w:color w:val="000000"/>
              </w:rPr>
              <w:t xml:space="preserve"> bandes de fréquences comprises entr</w:t>
            </w:r>
            <w:r w:rsidR="009E7AD0">
              <w:rPr>
                <w:color w:val="000000"/>
              </w:rPr>
              <w:t>e 17 et 31 GHz et attribuées au</w:t>
            </w:r>
            <w:r w:rsidR="00D50D18">
              <w:rPr>
                <w:color w:val="000000"/>
              </w:rPr>
              <w:t xml:space="preserve"> service de radiodiffusion par satellite et</w:t>
            </w:r>
            <w:r w:rsidR="009E7AD0">
              <w:rPr>
                <w:color w:val="000000"/>
              </w:rPr>
              <w:t xml:space="preserve"> au service</w:t>
            </w:r>
            <w:r w:rsidR="00D50D18">
              <w:rPr>
                <w:color w:val="000000"/>
              </w:rPr>
              <w:t xml:space="preserve"> fixe par satellite.</w:t>
            </w:r>
            <w:r w:rsidR="006D7B48">
              <w:rPr>
                <w:color w:val="000000"/>
              </w:rPr>
              <w:t xml:space="preserve"> </w:t>
            </w:r>
          </w:p>
          <w:p w:rsidR="00AD5A77" w:rsidRPr="00AD5A77" w:rsidRDefault="006D7B48" w:rsidP="009E7AD0">
            <w:pPr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</w:pPr>
            <w:r>
              <w:rPr>
                <w:color w:val="000000"/>
              </w:rPr>
              <w:lastRenderedPageBreak/>
              <w:t>A l’heure actuelle, les Appendices 30, 30A et 30B du Règlement des radiocommunications contiennent des plans d’allotissement p</w:t>
            </w:r>
            <w:r w:rsidR="007D7BC6">
              <w:rPr>
                <w:color w:val="000000"/>
              </w:rPr>
              <w:t>our le</w:t>
            </w:r>
            <w:r>
              <w:rPr>
                <w:color w:val="000000"/>
              </w:rPr>
              <w:t xml:space="preserve"> SRS et le SFS dans les bandes C et Ku.</w:t>
            </w:r>
          </w:p>
          <w:p w:rsidR="00DD2429" w:rsidRDefault="00243D84" w:rsidP="009E7AD0">
            <w:pPr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</w:pPr>
            <w:r w:rsidRPr="00243D84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>Certaines avancées technologiques ont permis l’u</w:t>
            </w:r>
            <w:r w:rsidR="009E7AD0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>tilisation de la bande Ka pour l</w:t>
            </w:r>
            <w:r w:rsidRPr="00243D84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 xml:space="preserve">es </w:t>
            </w:r>
            <w:r>
              <w:rPr>
                <w:color w:val="000000"/>
              </w:rPr>
              <w:t>applications</w:t>
            </w:r>
            <w:r w:rsidR="009E7AD0">
              <w:rPr>
                <w:color w:val="000000"/>
              </w:rPr>
              <w:t xml:space="preserve"> satellitaires </w:t>
            </w:r>
            <w:r>
              <w:rPr>
                <w:color w:val="000000"/>
              </w:rPr>
              <w:t xml:space="preserve">large bande – ainsi que pour </w:t>
            </w:r>
            <w:r w:rsidR="009E7AD0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es services DTH. Ces derniers facilitent le déploiement de terminaux bon marché et </w:t>
            </w:r>
            <w:r w:rsidR="009E7AD0">
              <w:rPr>
                <w:color w:val="000000"/>
              </w:rPr>
              <w:t>de petite taille</w:t>
            </w:r>
            <w:r w:rsidR="000C47F5">
              <w:rPr>
                <w:color w:val="000000"/>
              </w:rPr>
              <w:t xml:space="preserve">, ce qui revêt une importance particulière </w:t>
            </w:r>
            <w:r w:rsidR="00992CED">
              <w:rPr>
                <w:color w:val="000000"/>
              </w:rPr>
              <w:t>pour</w:t>
            </w:r>
            <w:r w:rsidR="000C47F5">
              <w:rPr>
                <w:color w:val="000000"/>
              </w:rPr>
              <w:t xml:space="preserve"> les pays en développement. Toutefois, nombre de ces pays ne sont pas en mesure de lancer leurs propres satellites pour fournir de tels services</w:t>
            </w:r>
            <w:r w:rsidR="004F58F7">
              <w:rPr>
                <w:color w:val="000000"/>
              </w:rPr>
              <w:t xml:space="preserve"> actuellement</w:t>
            </w:r>
            <w:r w:rsidR="000C47F5">
              <w:rPr>
                <w:color w:val="000000"/>
              </w:rPr>
              <w:t>, mais pourront être à même de le faire dans un avenir proche. Par conséquent, au vu des dispositions de l’Article 44 de la Constitution de l’UIT et des dispositions de la Résolution 86 (</w:t>
            </w:r>
            <w:proofErr w:type="spellStart"/>
            <w:r w:rsidR="000C47F5">
              <w:rPr>
                <w:color w:val="000000"/>
              </w:rPr>
              <w:t>Rév</w:t>
            </w:r>
            <w:proofErr w:type="spellEnd"/>
            <w:r w:rsidR="000C47F5">
              <w:rPr>
                <w:color w:val="000000"/>
              </w:rPr>
              <w:t xml:space="preserve">. Marrakech 2002), il </w:t>
            </w:r>
            <w:r w:rsidR="004F58F7">
              <w:rPr>
                <w:color w:val="000000"/>
              </w:rPr>
              <w:t xml:space="preserve">parait </w:t>
            </w:r>
            <w:r w:rsidR="000C47F5">
              <w:rPr>
                <w:color w:val="000000"/>
              </w:rPr>
              <w:t xml:space="preserve">opportun </w:t>
            </w:r>
            <w:r w:rsidR="00EC29FB">
              <w:rPr>
                <w:color w:val="000000"/>
              </w:rPr>
              <w:t>d’inscrire ce</w:t>
            </w:r>
            <w:r w:rsidR="00EC29FB" w:rsidRPr="00AD5A77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 xml:space="preserve"> point de l’ordre du jour </w:t>
            </w:r>
            <w:r w:rsidR="00EC29FB"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  <w:t>proposé à l’ordre du jour de la prochaine Conférence mondiale des radiocommunications (CMR-19).</w:t>
            </w:r>
          </w:p>
          <w:p w:rsidR="004F58F7" w:rsidRPr="00EC29FB" w:rsidRDefault="004F58F7" w:rsidP="00530ECD">
            <w:pPr>
              <w:rPr>
                <w:rFonts w:asciiTheme="majorBidi" w:hAnsiTheme="majorBidi" w:cstheme="majorBidi"/>
                <w:bCs/>
                <w:color w:val="000000"/>
                <w:szCs w:val="24"/>
                <w:lang w:val="fr-CH"/>
              </w:rPr>
            </w:pPr>
          </w:p>
        </w:tc>
      </w:tr>
      <w:tr w:rsidR="00DD2429" w:rsidRPr="00714540" w:rsidTr="00530ECD">
        <w:tc>
          <w:tcPr>
            <w:tcW w:w="9855" w:type="dxa"/>
            <w:gridSpan w:val="2"/>
          </w:tcPr>
          <w:p w:rsidR="00DD2429" w:rsidRPr="00714540" w:rsidRDefault="00DD2429" w:rsidP="00530ECD">
            <w:pPr>
              <w:rPr>
                <w:b/>
                <w:i/>
              </w:rPr>
            </w:pPr>
            <w:r w:rsidRPr="0014454C">
              <w:rPr>
                <w:b/>
                <w:bCs/>
                <w:i/>
                <w:iCs/>
                <w:lang w:val="fr-CH"/>
              </w:rPr>
              <w:lastRenderedPageBreak/>
              <w:t>Services de radiocommunication concernés</w:t>
            </w:r>
            <w:r w:rsidRPr="00A31EA2">
              <w:t>:</w:t>
            </w:r>
            <w:r w:rsidR="00EC29FB">
              <w:t xml:space="preserve"> service fixe par satellite et </w:t>
            </w:r>
            <w:r w:rsidR="004F58F7">
              <w:t xml:space="preserve">service </w:t>
            </w:r>
            <w:r w:rsidR="00EC29FB">
              <w:t xml:space="preserve">de radiodiffusion par satellite </w:t>
            </w:r>
          </w:p>
        </w:tc>
      </w:tr>
      <w:tr w:rsidR="00DD2429" w:rsidRPr="00714540" w:rsidTr="00530ECD">
        <w:tc>
          <w:tcPr>
            <w:tcW w:w="9855" w:type="dxa"/>
            <w:gridSpan w:val="2"/>
          </w:tcPr>
          <w:p w:rsidR="00DD2429" w:rsidRPr="00714540" w:rsidRDefault="00DD2429" w:rsidP="00530ECD">
            <w:pPr>
              <w:rPr>
                <w:b/>
                <w:i/>
              </w:rPr>
            </w:pPr>
            <w:r w:rsidRPr="0014454C">
              <w:rPr>
                <w:b/>
                <w:bCs/>
                <w:i/>
                <w:iCs/>
                <w:lang w:val="fr-CH"/>
              </w:rPr>
              <w:t>Indication des difficultés éventuelles</w:t>
            </w:r>
            <w:r w:rsidRPr="0014454C">
              <w:rPr>
                <w:b/>
                <w:bCs/>
                <w:i/>
                <w:iCs/>
              </w:rPr>
              <w:t>:</w:t>
            </w:r>
          </w:p>
        </w:tc>
      </w:tr>
      <w:tr w:rsidR="00DD2429" w:rsidRPr="009E4745" w:rsidTr="00530ECD">
        <w:tc>
          <w:tcPr>
            <w:tcW w:w="9855" w:type="dxa"/>
            <w:gridSpan w:val="2"/>
          </w:tcPr>
          <w:p w:rsidR="00DD2429" w:rsidRPr="009E4745" w:rsidRDefault="00DD2429" w:rsidP="00530ECD">
            <w:pPr>
              <w:rPr>
                <w:b/>
                <w:i/>
                <w:lang w:val="fr-CH"/>
              </w:rPr>
            </w:pPr>
            <w:proofErr w:type="spellStart"/>
            <w:r w:rsidRPr="003A2ED4">
              <w:rPr>
                <w:b/>
                <w:bCs/>
                <w:i/>
                <w:iCs/>
                <w:lang w:val="fr-CH"/>
              </w:rPr>
              <w:t>Etudes</w:t>
            </w:r>
            <w:proofErr w:type="spellEnd"/>
            <w:r w:rsidRPr="003A2ED4">
              <w:rPr>
                <w:b/>
                <w:bCs/>
                <w:i/>
                <w:iCs/>
                <w:lang w:val="fr-CH"/>
              </w:rPr>
              <w:t xml:space="preserve"> précédentes ou en cours sur la question</w:t>
            </w:r>
            <w:r w:rsidRPr="003A2ED4">
              <w:rPr>
                <w:b/>
                <w:bCs/>
                <w:i/>
                <w:iCs/>
              </w:rPr>
              <w:t>:</w:t>
            </w:r>
            <w:r w:rsidRPr="000964A6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r w:rsidR="00EC29FB">
              <w:rPr>
                <w:rFonts w:asciiTheme="majorBidi" w:hAnsiTheme="majorBidi" w:cstheme="majorBidi"/>
                <w:bCs/>
                <w:iCs/>
              </w:rPr>
              <w:t>Aucune</w:t>
            </w:r>
          </w:p>
        </w:tc>
      </w:tr>
      <w:tr w:rsidR="00DD2429" w:rsidRPr="00714540" w:rsidTr="00530ECD">
        <w:tc>
          <w:tcPr>
            <w:tcW w:w="4644" w:type="dxa"/>
          </w:tcPr>
          <w:p w:rsidR="00DD2429" w:rsidRPr="005B74D7" w:rsidRDefault="00DD2429" w:rsidP="005B74D7">
            <w:proofErr w:type="spellStart"/>
            <w:r w:rsidRPr="0014454C">
              <w:rPr>
                <w:b/>
                <w:bCs/>
                <w:i/>
                <w:iCs/>
                <w:lang w:val="fr-CH"/>
              </w:rPr>
              <w:t>Etudes</w:t>
            </w:r>
            <w:proofErr w:type="spellEnd"/>
            <w:r w:rsidRPr="0014454C">
              <w:rPr>
                <w:b/>
                <w:bCs/>
                <w:i/>
                <w:iCs/>
                <w:lang w:val="fr-CH"/>
              </w:rPr>
              <w:t xml:space="preserve"> devant être réalisées par</w:t>
            </w:r>
            <w:r w:rsidRPr="0014454C">
              <w:rPr>
                <w:b/>
                <w:bCs/>
                <w:i/>
                <w:iCs/>
              </w:rPr>
              <w:t>:</w:t>
            </w:r>
            <w:r w:rsidRPr="000964A6">
              <w:rPr>
                <w:rFonts w:asciiTheme="majorBidi" w:hAnsiTheme="majorBidi" w:cstheme="majorBidi"/>
                <w:bCs/>
              </w:rPr>
              <w:t xml:space="preserve"> </w:t>
            </w:r>
            <w:r w:rsidR="00EC29FB">
              <w:rPr>
                <w:rFonts w:asciiTheme="majorBidi" w:hAnsiTheme="majorBidi" w:cstheme="majorBidi"/>
                <w:bCs/>
              </w:rPr>
              <w:t>Commission d’études 4 de l’UIT-R</w:t>
            </w:r>
          </w:p>
        </w:tc>
        <w:tc>
          <w:tcPr>
            <w:tcW w:w="5211" w:type="dxa"/>
          </w:tcPr>
          <w:p w:rsidR="00DD2429" w:rsidRPr="00714540" w:rsidRDefault="00DD2429" w:rsidP="00CD7F2E">
            <w:pPr>
              <w:rPr>
                <w:b/>
                <w:i/>
                <w:color w:val="000000"/>
              </w:rPr>
            </w:pPr>
            <w:r w:rsidRPr="00504217">
              <w:rPr>
                <w:b/>
                <w:bCs/>
                <w:i/>
                <w:iCs/>
              </w:rPr>
              <w:t>avec la participation de</w:t>
            </w:r>
            <w:r w:rsidRPr="00DD2429">
              <w:rPr>
                <w:b/>
                <w:bCs/>
                <w:i/>
                <w:iCs/>
                <w:lang w:val="fr-CH"/>
              </w:rPr>
              <w:t>:</w:t>
            </w:r>
            <w:r w:rsidRPr="000964A6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="00EC29FB">
              <w:rPr>
                <w:rFonts w:asciiTheme="majorBidi" w:hAnsiTheme="majorBidi" w:cstheme="majorBidi"/>
                <w:bCs/>
                <w:iCs/>
              </w:rPr>
              <w:t>Etats</w:t>
            </w:r>
            <w:proofErr w:type="spellEnd"/>
            <w:r w:rsidR="00EC29FB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r w:rsidR="00CD7F2E">
              <w:rPr>
                <w:rFonts w:asciiTheme="majorBidi" w:hAnsiTheme="majorBidi" w:cstheme="majorBidi"/>
                <w:bCs/>
                <w:iCs/>
              </w:rPr>
              <w:t>M</w:t>
            </w:r>
            <w:r w:rsidR="00EC29FB">
              <w:rPr>
                <w:rFonts w:asciiTheme="majorBidi" w:hAnsiTheme="majorBidi" w:cstheme="majorBidi"/>
                <w:bCs/>
                <w:iCs/>
              </w:rPr>
              <w:t>embres</w:t>
            </w:r>
          </w:p>
        </w:tc>
      </w:tr>
      <w:tr w:rsidR="00DD2429" w:rsidRPr="009E4745" w:rsidTr="00530ECD">
        <w:tc>
          <w:tcPr>
            <w:tcW w:w="9855" w:type="dxa"/>
            <w:gridSpan w:val="2"/>
          </w:tcPr>
          <w:p w:rsidR="00DD2429" w:rsidRPr="009E4745" w:rsidRDefault="00DD2429" w:rsidP="00530ECD">
            <w:pPr>
              <w:rPr>
                <w:b/>
                <w:i/>
                <w:lang w:val="fr-CH"/>
              </w:rPr>
            </w:pPr>
            <w:r w:rsidRPr="0014454C">
              <w:rPr>
                <w:b/>
                <w:bCs/>
                <w:i/>
                <w:iCs/>
                <w:lang w:val="fr-CH"/>
              </w:rPr>
              <w:t>Commissions d'études de l'UIT-R concernées</w:t>
            </w:r>
            <w:r w:rsidR="00BE7605" w:rsidRPr="00A31EA2">
              <w:rPr>
                <w:b/>
                <w:bCs/>
                <w:i/>
                <w:iCs/>
              </w:rPr>
              <w:t>:</w:t>
            </w:r>
            <w:r w:rsidR="00BE7605" w:rsidRPr="000964A6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r w:rsidR="00BE7605">
              <w:rPr>
                <w:rFonts w:asciiTheme="majorBidi" w:hAnsiTheme="majorBidi" w:cstheme="majorBidi"/>
                <w:bCs/>
              </w:rPr>
              <w:t>Commission</w:t>
            </w:r>
            <w:r w:rsidR="00EC29FB">
              <w:rPr>
                <w:rFonts w:asciiTheme="majorBidi" w:hAnsiTheme="majorBidi" w:cstheme="majorBidi"/>
                <w:bCs/>
              </w:rPr>
              <w:t xml:space="preserve"> d’études 4 </w:t>
            </w:r>
          </w:p>
        </w:tc>
      </w:tr>
      <w:tr w:rsidR="00DD2429" w:rsidRPr="009E4745" w:rsidTr="00530ECD">
        <w:tc>
          <w:tcPr>
            <w:tcW w:w="9855" w:type="dxa"/>
            <w:gridSpan w:val="2"/>
          </w:tcPr>
          <w:p w:rsidR="00DD2429" w:rsidRPr="009E4745" w:rsidRDefault="00DD2429" w:rsidP="00530ECD">
            <w:pPr>
              <w:rPr>
                <w:b/>
                <w:i/>
                <w:lang w:val="fr-CH"/>
              </w:rPr>
            </w:pPr>
            <w:r w:rsidRPr="0014454C">
              <w:rPr>
                <w:b/>
                <w:bCs/>
                <w:i/>
                <w:iCs/>
              </w:rPr>
              <w:t xml:space="preserve">Répercussions au niveau des ressources de l'UIT, y compris incidences </w:t>
            </w:r>
            <w:r w:rsidR="00BE7605" w:rsidRPr="0014454C">
              <w:rPr>
                <w:b/>
                <w:bCs/>
                <w:i/>
                <w:iCs/>
              </w:rPr>
              <w:t xml:space="preserve">financières </w:t>
            </w:r>
            <w:r w:rsidRPr="0014454C">
              <w:rPr>
                <w:b/>
                <w:bCs/>
                <w:i/>
                <w:iCs/>
              </w:rPr>
              <w:br/>
              <w:t>(voir le numéro 126 de la Convention)</w:t>
            </w:r>
            <w:r w:rsidR="00BE7605" w:rsidRPr="0014454C">
              <w:rPr>
                <w:b/>
                <w:bCs/>
                <w:i/>
                <w:iCs/>
              </w:rPr>
              <w:t>:</w:t>
            </w:r>
            <w:r w:rsidR="00BE7605" w:rsidRPr="007E4C6A">
              <w:rPr>
                <w:rFonts w:asciiTheme="majorBidi" w:hAnsiTheme="majorBidi" w:cstheme="majorBidi"/>
                <w:bCs/>
                <w:iCs/>
              </w:rPr>
              <w:t xml:space="preserve"> [</w:t>
            </w:r>
            <w:r w:rsidR="00EC29FB">
              <w:rPr>
                <w:color w:val="000000"/>
              </w:rPr>
              <w:t>à déterminer</w:t>
            </w:r>
            <w:r w:rsidRPr="007E4C6A">
              <w:rPr>
                <w:rFonts w:asciiTheme="majorBidi" w:hAnsiTheme="majorBidi" w:cstheme="majorBidi"/>
                <w:bCs/>
                <w:iCs/>
              </w:rPr>
              <w:t>]</w:t>
            </w:r>
          </w:p>
        </w:tc>
      </w:tr>
      <w:tr w:rsidR="00DD2429" w:rsidRPr="009E4745" w:rsidTr="00530ECD">
        <w:tc>
          <w:tcPr>
            <w:tcW w:w="4644" w:type="dxa"/>
          </w:tcPr>
          <w:p w:rsidR="00DD2429" w:rsidRPr="009E4745" w:rsidRDefault="00DD2429" w:rsidP="00530ECD">
            <w:pPr>
              <w:rPr>
                <w:b/>
                <w:iCs/>
                <w:lang w:val="fr-CH"/>
              </w:rPr>
            </w:pPr>
            <w:r w:rsidRPr="00695ABE">
              <w:rPr>
                <w:b/>
                <w:bCs/>
                <w:i/>
                <w:iCs/>
              </w:rPr>
              <w:t>Proposition régionale commune:</w:t>
            </w:r>
            <w:r w:rsidRPr="008C0EDF">
              <w:rPr>
                <w:b/>
                <w:bCs/>
              </w:rPr>
              <w:t xml:space="preserve"> </w:t>
            </w:r>
            <w:r w:rsidRPr="009217A6">
              <w:t>Oui/Non</w:t>
            </w:r>
          </w:p>
        </w:tc>
        <w:tc>
          <w:tcPr>
            <w:tcW w:w="5211" w:type="dxa"/>
          </w:tcPr>
          <w:p w:rsidR="00DD2429" w:rsidRPr="00A31EA2" w:rsidRDefault="00DD2429" w:rsidP="00530ECD">
            <w:r w:rsidRPr="00695ABE">
              <w:rPr>
                <w:b/>
                <w:bCs/>
                <w:i/>
                <w:iCs/>
              </w:rPr>
              <w:t>Proposition soumise par plusieurs pays:</w:t>
            </w:r>
            <w:r w:rsidRPr="008C0EDF">
              <w:rPr>
                <w:b/>
                <w:bCs/>
              </w:rPr>
              <w:t xml:space="preserve"> </w:t>
            </w:r>
            <w:r>
              <w:t>Oui</w:t>
            </w:r>
          </w:p>
          <w:p w:rsidR="00DD2429" w:rsidRPr="009E4745" w:rsidRDefault="00DD2429" w:rsidP="00530ECD">
            <w:pPr>
              <w:rPr>
                <w:b/>
                <w:i/>
                <w:lang w:val="en-US"/>
              </w:rPr>
            </w:pPr>
            <w:r w:rsidRPr="003A2ED4">
              <w:rPr>
                <w:b/>
                <w:bCs/>
                <w:i/>
                <w:iCs/>
                <w:lang w:val="fr-CH"/>
              </w:rPr>
              <w:t>Nombre de pays:</w:t>
            </w:r>
            <w:r w:rsidR="003734C8">
              <w:rPr>
                <w:b/>
                <w:bCs/>
                <w:i/>
                <w:iCs/>
                <w:lang w:val="fr-CH"/>
              </w:rPr>
              <w:t xml:space="preserve"> </w:t>
            </w:r>
            <w:r w:rsidRPr="007E4C6A">
              <w:rPr>
                <w:rFonts w:asciiTheme="majorBidi" w:hAnsiTheme="majorBidi" w:cstheme="majorBidi"/>
                <w:bCs/>
                <w:iCs/>
              </w:rPr>
              <w:t>[15]</w:t>
            </w:r>
          </w:p>
        </w:tc>
      </w:tr>
      <w:tr w:rsidR="00DD2429" w:rsidRPr="00714540" w:rsidTr="00530ECD">
        <w:tc>
          <w:tcPr>
            <w:tcW w:w="9855" w:type="dxa"/>
            <w:gridSpan w:val="2"/>
          </w:tcPr>
          <w:p w:rsidR="00DD2429" w:rsidRPr="00714540" w:rsidRDefault="00DD2429" w:rsidP="00530ECD">
            <w:pPr>
              <w:rPr>
                <w:b/>
                <w:i/>
              </w:rPr>
            </w:pPr>
            <w:r w:rsidRPr="003A2ED4">
              <w:rPr>
                <w:b/>
                <w:bCs/>
                <w:i/>
                <w:iCs/>
              </w:rPr>
              <w:t>Observations</w:t>
            </w:r>
          </w:p>
        </w:tc>
      </w:tr>
    </w:tbl>
    <w:p w:rsidR="00DD2429" w:rsidRDefault="00DD2429" w:rsidP="00530ECD">
      <w:pPr>
        <w:pStyle w:val="Reasons"/>
      </w:pPr>
    </w:p>
    <w:p w:rsidR="00DD2429" w:rsidRDefault="00DD2429" w:rsidP="00530ECD">
      <w:pPr>
        <w:jc w:val="center"/>
      </w:pPr>
      <w:r>
        <w:t>______________</w:t>
      </w:r>
    </w:p>
    <w:p w:rsidR="00C155A4" w:rsidRDefault="00C155A4" w:rsidP="00530ECD">
      <w:pPr>
        <w:pStyle w:val="Reasons"/>
      </w:pPr>
    </w:p>
    <w:sectPr w:rsidR="00C155A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6E1D">
      <w:rPr>
        <w:noProof/>
        <w:lang w:val="en-US"/>
      </w:rPr>
      <w:t>P:\FRA\ITU-R\CONF-R\CMR15\100\130ADD25ADD01F.docx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E1D">
      <w:rPr>
        <w:noProof/>
      </w:rPr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E1D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6E1D">
      <w:rPr>
        <w:lang w:val="en-US"/>
      </w:rPr>
      <w:t>P:\FRA\ITU-R\CONF-R\CMR15\100\130ADD25ADD01F.docx</w:t>
    </w:r>
    <w:r>
      <w:fldChar w:fldCharType="end"/>
    </w:r>
    <w:r w:rsidR="00DD2429" w:rsidRPr="007D7BC6">
      <w:rPr>
        <w:lang w:val="en-US"/>
      </w:rPr>
      <w:t xml:space="preserve"> (389054)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E1D"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E1D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6E1D">
      <w:rPr>
        <w:lang w:val="en-US"/>
      </w:rPr>
      <w:t>P:\FRA\ITU-R\CONF-R\CMR15\100\130ADD25ADD01F.docx</w:t>
    </w:r>
    <w:r>
      <w:fldChar w:fldCharType="end"/>
    </w:r>
    <w:r w:rsidR="00DD2429" w:rsidRPr="007D7BC6">
      <w:rPr>
        <w:lang w:val="en-US"/>
      </w:rPr>
      <w:t xml:space="preserve"> (389054)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E1D">
      <w:t>30.10.15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6E1D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E6E1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130(Add.25)(Add.1)-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2520"/>
    <w:rsid w:val="0003522F"/>
    <w:rsid w:val="00080E2C"/>
    <w:rsid w:val="000A4755"/>
    <w:rsid w:val="000B2E0C"/>
    <w:rsid w:val="000B3D0C"/>
    <w:rsid w:val="000C47F5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41329"/>
    <w:rsid w:val="00241CBA"/>
    <w:rsid w:val="00243D84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734C8"/>
    <w:rsid w:val="00393ACD"/>
    <w:rsid w:val="003A583E"/>
    <w:rsid w:val="003E112B"/>
    <w:rsid w:val="003E1D1C"/>
    <w:rsid w:val="003E7B05"/>
    <w:rsid w:val="004069E0"/>
    <w:rsid w:val="00466211"/>
    <w:rsid w:val="004834A9"/>
    <w:rsid w:val="004A103A"/>
    <w:rsid w:val="004D01FC"/>
    <w:rsid w:val="004E28C3"/>
    <w:rsid w:val="004F1F8E"/>
    <w:rsid w:val="004F58F7"/>
    <w:rsid w:val="00512A32"/>
    <w:rsid w:val="00530ECD"/>
    <w:rsid w:val="00586CF2"/>
    <w:rsid w:val="005B74D7"/>
    <w:rsid w:val="005C3768"/>
    <w:rsid w:val="005C6C3F"/>
    <w:rsid w:val="005E6E1D"/>
    <w:rsid w:val="00613635"/>
    <w:rsid w:val="0062093D"/>
    <w:rsid w:val="00637ECF"/>
    <w:rsid w:val="00647B59"/>
    <w:rsid w:val="00690C7B"/>
    <w:rsid w:val="006A4B45"/>
    <w:rsid w:val="006D4724"/>
    <w:rsid w:val="006D7B48"/>
    <w:rsid w:val="006F4B70"/>
    <w:rsid w:val="00701BAE"/>
    <w:rsid w:val="00721F04"/>
    <w:rsid w:val="00730E95"/>
    <w:rsid w:val="007426B9"/>
    <w:rsid w:val="00764342"/>
    <w:rsid w:val="00774362"/>
    <w:rsid w:val="00786598"/>
    <w:rsid w:val="007A04E8"/>
    <w:rsid w:val="007D7BC6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2CED"/>
    <w:rsid w:val="00994FDB"/>
    <w:rsid w:val="009A045F"/>
    <w:rsid w:val="009C7E7C"/>
    <w:rsid w:val="009E7AD0"/>
    <w:rsid w:val="00A00473"/>
    <w:rsid w:val="00A03C9B"/>
    <w:rsid w:val="00A37105"/>
    <w:rsid w:val="00A606C3"/>
    <w:rsid w:val="00A83B09"/>
    <w:rsid w:val="00A84541"/>
    <w:rsid w:val="00AD5A77"/>
    <w:rsid w:val="00AE36A0"/>
    <w:rsid w:val="00B00294"/>
    <w:rsid w:val="00B64FD0"/>
    <w:rsid w:val="00BA5BD0"/>
    <w:rsid w:val="00BB1D82"/>
    <w:rsid w:val="00BE7605"/>
    <w:rsid w:val="00BF26E7"/>
    <w:rsid w:val="00C155A4"/>
    <w:rsid w:val="00C53FCA"/>
    <w:rsid w:val="00C76BAF"/>
    <w:rsid w:val="00C814B9"/>
    <w:rsid w:val="00CD516F"/>
    <w:rsid w:val="00CD72D3"/>
    <w:rsid w:val="00CD7F2E"/>
    <w:rsid w:val="00D119A7"/>
    <w:rsid w:val="00D25FBA"/>
    <w:rsid w:val="00D32B28"/>
    <w:rsid w:val="00D42954"/>
    <w:rsid w:val="00D50D18"/>
    <w:rsid w:val="00D66EAC"/>
    <w:rsid w:val="00D730DF"/>
    <w:rsid w:val="00D772F0"/>
    <w:rsid w:val="00D77BDC"/>
    <w:rsid w:val="00DC402B"/>
    <w:rsid w:val="00DD2429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29FB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0BE4E1D-A793-4310-A4AF-E0F9E10F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D7B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7BC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R15-WRC15-C-0130!A25-A1!MSW-F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EFC8B7-5DBD-4424-B66F-9B6D02222ADC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3162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R15-WRC15-C-0130!A25-A1!MSW-F</vt:lpstr>
    </vt:vector>
  </TitlesOfParts>
  <Manager>Secrétariat général - Pool</Manager>
  <Company>Union internationale des télécommunications (UIT)</Company>
  <LinksUpToDate>false</LinksUpToDate>
  <CharactersWithSpaces>3663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R15-WRC15-C-0130!A25-A1!MSW-F</dc:title>
  <dc:subject>Conférence mondiale des radiocommunications - 2015</dc:subject>
  <dc:creator>Documents Proposals Manager (DPM)</dc:creator>
  <cp:keywords>DPM_v5.2015.10.280_prod</cp:keywords>
  <dc:description/>
  <cp:lastModifiedBy>Royer, Veronique</cp:lastModifiedBy>
  <cp:revision>9</cp:revision>
  <cp:lastPrinted>2015-10-30T15:44:00Z</cp:lastPrinted>
  <dcterms:created xsi:type="dcterms:W3CDTF">2015-10-30T07:52:00Z</dcterms:created>
  <dcterms:modified xsi:type="dcterms:W3CDTF">2015-10-30T15:44:00Z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