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2257E" w:rsidRDefault="003E1608" w:rsidP="0012257E">
            <w:pPr>
              <w:pStyle w:val="Adress"/>
              <w:framePr w:hSpace="0" w:wrap="auto" w:xAlign="left" w:yAlign="inline"/>
              <w:rPr>
                <w:rtl/>
              </w:rPr>
            </w:pPr>
            <w:r w:rsidRPr="0012257E">
              <w:rPr>
                <w:rtl/>
              </w:rPr>
              <w:t xml:space="preserve">الإضافة </w:t>
            </w:r>
            <w:r w:rsidRPr="0012257E">
              <w:t>1</w:t>
            </w:r>
            <w:r w:rsidRPr="0012257E">
              <w:br/>
            </w:r>
            <w:r w:rsidRPr="0012257E">
              <w:rPr>
                <w:rtl/>
              </w:rPr>
              <w:t xml:space="preserve">للوثيقة </w:t>
            </w:r>
            <w:r w:rsidRPr="0012257E">
              <w:t>130(Add.25)-</w:t>
            </w:r>
            <w:r w:rsidR="0012257E" w:rsidRPr="0012257E">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12257E" w:rsidRDefault="00764079" w:rsidP="00D44350">
            <w:pPr>
              <w:pStyle w:val="Adress"/>
              <w:framePr w:hSpace="0" w:wrap="auto" w:xAlign="left" w:yAlign="inline"/>
              <w:rPr>
                <w:rtl/>
              </w:rPr>
            </w:pPr>
            <w:r w:rsidRPr="0012257E">
              <w:rPr>
                <w:rFonts w:eastAsia="SimSun"/>
              </w:rPr>
              <w:t>19</w:t>
            </w:r>
            <w:r w:rsidRPr="0012257E">
              <w:rPr>
                <w:rFonts w:eastAsia="SimSun"/>
                <w:rtl/>
              </w:rPr>
              <w:t xml:space="preserve"> أكتوبر </w:t>
            </w:r>
            <w:r w:rsidRPr="0012257E">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12257E" w:rsidRDefault="00764079" w:rsidP="00D44350">
            <w:pPr>
              <w:pStyle w:val="Adress"/>
              <w:framePr w:hSpace="0" w:wrap="auto" w:xAlign="left" w:yAlign="inline"/>
              <w:rPr>
                <w:rFonts w:eastAsia="SimSun" w:hint="eastAsia"/>
              </w:rPr>
            </w:pPr>
            <w:r w:rsidRPr="0012257E">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1E43C2">
            <w:pPr>
              <w:pStyle w:val="Source"/>
              <w:rPr>
                <w:rtl/>
              </w:rPr>
            </w:pPr>
            <w:r w:rsidRPr="008204AC">
              <w:rPr>
                <w:rtl/>
              </w:rPr>
              <w:t>جمهورية</w:t>
            </w:r>
            <w:r w:rsidR="001E43C2">
              <w:rPr>
                <w:rFonts w:hint="cs"/>
                <w:rtl/>
              </w:rPr>
              <w:t> </w:t>
            </w:r>
            <w:r w:rsidRPr="008204AC">
              <w:rPr>
                <w:rtl/>
              </w:rPr>
              <w:t>أنغولا/جمهورية</w:t>
            </w:r>
            <w:r w:rsidR="001E43C2">
              <w:rPr>
                <w:rFonts w:hint="cs"/>
                <w:rtl/>
              </w:rPr>
              <w:t> </w:t>
            </w:r>
            <w:r w:rsidRPr="008204AC">
              <w:rPr>
                <w:rtl/>
              </w:rPr>
              <w:t>بوتسوانا/مملكة</w:t>
            </w:r>
            <w:r w:rsidR="00BA0595">
              <w:rPr>
                <w:rFonts w:hint="cs"/>
                <w:rtl/>
              </w:rPr>
              <w:t> </w:t>
            </w:r>
            <w:r w:rsidRPr="008204AC">
              <w:rPr>
                <w:rtl/>
              </w:rPr>
              <w:t>ليسوتو/جمهورية</w:t>
            </w:r>
            <w:r w:rsidR="00BA0595">
              <w:rPr>
                <w:rFonts w:hint="cs"/>
                <w:rtl/>
              </w:rPr>
              <w:t> </w:t>
            </w:r>
            <w:r w:rsidRPr="008204AC">
              <w:rPr>
                <w:rtl/>
              </w:rPr>
              <w:t>مدغشقر/ملاوي/جمهورية</w:t>
            </w:r>
            <w:r w:rsidR="001E43C2">
              <w:rPr>
                <w:rFonts w:hint="cs"/>
                <w:rtl/>
              </w:rPr>
              <w:t xml:space="preserve"> </w:t>
            </w:r>
            <w:r w:rsidRPr="008204AC">
              <w:rPr>
                <w:rtl/>
              </w:rPr>
              <w:t>موريشيوس/</w:t>
            </w:r>
            <w:r w:rsidR="00BA0595">
              <w:rPr>
                <w:rFonts w:hint="cs"/>
                <w:rtl/>
              </w:rPr>
              <w:t xml:space="preserve"> </w:t>
            </w:r>
            <w:r w:rsidRPr="008204AC">
              <w:rPr>
                <w:rtl/>
              </w:rPr>
              <w:t>جمهورية</w:t>
            </w:r>
            <w:r w:rsidR="00BA0595">
              <w:rPr>
                <w:rFonts w:hint="cs"/>
                <w:rtl/>
              </w:rPr>
              <w:t> </w:t>
            </w:r>
            <w:r w:rsidR="00BA0595">
              <w:rPr>
                <w:rtl/>
              </w:rPr>
              <w:t>موزام</w:t>
            </w:r>
            <w:r w:rsidR="00BA0595">
              <w:rPr>
                <w:rFonts w:hint="cs"/>
                <w:rtl/>
              </w:rPr>
              <w:t>ب</w:t>
            </w:r>
            <w:r w:rsidRPr="008204AC">
              <w:rPr>
                <w:rtl/>
              </w:rPr>
              <w:t>يق/جمهورية</w:t>
            </w:r>
            <w:r w:rsidR="00BA0595">
              <w:rPr>
                <w:rFonts w:hint="cs"/>
                <w:rtl/>
              </w:rPr>
              <w:t> </w:t>
            </w:r>
            <w:r w:rsidRPr="008204AC">
              <w:rPr>
                <w:rtl/>
              </w:rPr>
              <w:t>ناميبيا/جمهورية</w:t>
            </w:r>
            <w:r w:rsidR="00BA0595">
              <w:rPr>
                <w:rFonts w:hint="cs"/>
                <w:rtl/>
              </w:rPr>
              <w:t> </w:t>
            </w:r>
            <w:r w:rsidRPr="008204AC">
              <w:rPr>
                <w:rtl/>
              </w:rPr>
              <w:t>الكونغو</w:t>
            </w:r>
            <w:r w:rsidR="00BA0595">
              <w:rPr>
                <w:rFonts w:hint="cs"/>
                <w:rtl/>
              </w:rPr>
              <w:t> </w:t>
            </w:r>
            <w:r w:rsidRPr="008204AC">
              <w:rPr>
                <w:rtl/>
              </w:rPr>
              <w:t>الديمقراطية/</w:t>
            </w:r>
            <w:r w:rsidR="00BA0595">
              <w:rPr>
                <w:rFonts w:hint="cs"/>
                <w:rtl/>
              </w:rPr>
              <w:t xml:space="preserve"> </w:t>
            </w:r>
            <w:r w:rsidRPr="008204AC">
              <w:rPr>
                <w:rtl/>
              </w:rPr>
              <w:t>جمهورية</w:t>
            </w:r>
            <w:r w:rsidR="00BA0595">
              <w:rPr>
                <w:rFonts w:hint="cs"/>
                <w:rtl/>
              </w:rPr>
              <w:t> </w:t>
            </w:r>
            <w:r w:rsidRPr="008204AC">
              <w:rPr>
                <w:rtl/>
              </w:rPr>
              <w:t>سيشيل/جمهورية</w:t>
            </w:r>
            <w:r w:rsidR="00BA0595">
              <w:rPr>
                <w:rFonts w:hint="cs"/>
                <w:rtl/>
              </w:rPr>
              <w:t> </w:t>
            </w:r>
            <w:r w:rsidRPr="008204AC">
              <w:rPr>
                <w:rtl/>
              </w:rPr>
              <w:t>جنوب</w:t>
            </w:r>
            <w:r w:rsidR="00BA0595">
              <w:rPr>
                <w:rFonts w:hint="cs"/>
                <w:rtl/>
              </w:rPr>
              <w:t> </w:t>
            </w:r>
            <w:r w:rsidRPr="008204AC">
              <w:rPr>
                <w:rtl/>
              </w:rPr>
              <w:t>إفريقيا/مملكة سوازيلاند/</w:t>
            </w:r>
            <w:r w:rsidR="00BA0595">
              <w:rPr>
                <w:rFonts w:hint="cs"/>
                <w:rtl/>
              </w:rPr>
              <w:t xml:space="preserve"> </w:t>
            </w:r>
            <w:r w:rsidRPr="008204AC">
              <w:rPr>
                <w:rtl/>
              </w:rPr>
              <w:t>جمهورية</w:t>
            </w:r>
            <w:r w:rsidR="00BA0595">
              <w:rPr>
                <w:rFonts w:hint="cs"/>
                <w:rtl/>
              </w:rPr>
              <w:t> </w:t>
            </w:r>
            <w:r w:rsidRPr="008204AC">
              <w:rPr>
                <w:rtl/>
              </w:rPr>
              <w:t>تنـزانيا</w:t>
            </w:r>
            <w:r w:rsidR="00BA0595">
              <w:rPr>
                <w:rFonts w:hint="cs"/>
                <w:rtl/>
              </w:rPr>
              <w:t> </w:t>
            </w:r>
            <w:r w:rsidRPr="008204AC">
              <w:rPr>
                <w:rtl/>
              </w:rPr>
              <w:t>المتحدة/جمهورية</w:t>
            </w:r>
            <w:r w:rsidR="00BA0595">
              <w:rPr>
                <w:rFonts w:hint="cs"/>
                <w:rtl/>
              </w:rPr>
              <w:t> </w:t>
            </w:r>
            <w:r w:rsidRPr="008204AC">
              <w:rPr>
                <w:rtl/>
              </w:rPr>
              <w:t>زامبيا/جمهورية زيمبابوي</w:t>
            </w:r>
          </w:p>
        </w:tc>
      </w:tr>
      <w:tr w:rsidR="00764079" w:rsidTr="003E1608">
        <w:trPr>
          <w:cantSplit/>
        </w:trPr>
        <w:tc>
          <w:tcPr>
            <w:tcW w:w="9672" w:type="dxa"/>
            <w:gridSpan w:val="2"/>
          </w:tcPr>
          <w:p w:rsidR="00764079" w:rsidRPr="00BD6EF3" w:rsidRDefault="0012257E"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2257E">
            <w:pPr>
              <w:pStyle w:val="Agendaitem"/>
              <w:spacing w:before="240" w:line="192" w:lineRule="auto"/>
            </w:pPr>
            <w:r w:rsidRPr="008204AC">
              <w:rPr>
                <w:rtl/>
              </w:rPr>
              <w:t xml:space="preserve">البنـد </w:t>
            </w:r>
            <w:r w:rsidR="0012257E">
              <w:t>10</w:t>
            </w:r>
            <w:r w:rsidRPr="008204AC">
              <w:rPr>
                <w:rtl/>
              </w:rPr>
              <w:t xml:space="preserve"> من جدول الأعمال</w:t>
            </w:r>
          </w:p>
        </w:tc>
      </w:tr>
    </w:tbl>
    <w:p w:rsidR="00BE4A66" w:rsidRDefault="000F1903" w:rsidP="00AA6DD5">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AA6DD5">
        <w:rPr>
          <w:rFonts w:eastAsia="SimSun" w:hint="eastAsia"/>
          <w:rtl/>
        </w:rPr>
        <w:t> </w:t>
      </w:r>
      <w:r w:rsidRPr="00431196">
        <w:rPr>
          <w:rFonts w:eastAsia="SimSun"/>
        </w:rPr>
        <w:t>7</w:t>
      </w:r>
      <w:r w:rsidRPr="00431196">
        <w:rPr>
          <w:rFonts w:eastAsia="SimSun" w:hint="cs"/>
          <w:rtl/>
        </w:rPr>
        <w:t xml:space="preserve"> من الاتفاقية،</w:t>
      </w:r>
    </w:p>
    <w:tbl>
      <w:tblPr>
        <w:bidiVisual/>
        <w:tblW w:w="0" w:type="auto"/>
        <w:tblLook w:val="04A0" w:firstRow="1" w:lastRow="0" w:firstColumn="1" w:lastColumn="0" w:noHBand="0" w:noVBand="1"/>
      </w:tblPr>
      <w:tblGrid>
        <w:gridCol w:w="4819"/>
        <w:gridCol w:w="4820"/>
      </w:tblGrid>
      <w:tr w:rsidR="000F1903" w:rsidRPr="00E5473F" w:rsidTr="00137739">
        <w:tc>
          <w:tcPr>
            <w:tcW w:w="9639" w:type="dxa"/>
            <w:gridSpan w:val="2"/>
            <w:tcBorders>
              <w:left w:val="nil"/>
              <w:right w:val="nil"/>
            </w:tcBorders>
          </w:tcPr>
          <w:p w:rsidR="00AA6DD5" w:rsidRDefault="00AA6DD5" w:rsidP="00BA0595">
            <w:pPr>
              <w:spacing w:line="180" w:lineRule="auto"/>
              <w:rPr>
                <w:b/>
                <w:bCs/>
                <w:rtl/>
                <w:lang w:bidi="ar-EG"/>
              </w:rPr>
            </w:pPr>
            <w:r w:rsidRPr="00E5473F">
              <w:rPr>
                <w:rFonts w:hint="cs"/>
                <w:b/>
                <w:bCs/>
                <w:rtl/>
              </w:rPr>
              <w:t>الموضوع</w:t>
            </w:r>
            <w:r w:rsidRPr="00E5473F">
              <w:rPr>
                <w:rFonts w:hint="cs"/>
                <w:rtl/>
              </w:rPr>
              <w:t>:</w:t>
            </w:r>
            <w:r>
              <w:rPr>
                <w:rFonts w:hint="cs"/>
                <w:rtl/>
              </w:rPr>
              <w:t xml:space="preserve"> </w:t>
            </w:r>
            <w:r w:rsidRPr="00E5473F">
              <w:rPr>
                <w:rFonts w:hint="cs"/>
                <w:rtl/>
              </w:rPr>
              <w:t xml:space="preserve">وضع خطة للخدمتين </w:t>
            </w:r>
            <w:r>
              <w:rPr>
                <w:rFonts w:hint="cs"/>
                <w:rtl/>
              </w:rPr>
              <w:t xml:space="preserve">الإذاعية الساتلية والثابتة الساتلية في نطاقات التردد بين </w:t>
            </w:r>
            <w:r>
              <w:t>17</w:t>
            </w:r>
            <w:r>
              <w:rPr>
                <w:rFonts w:hint="cs"/>
                <w:rtl/>
              </w:rPr>
              <w:t xml:space="preserve"> و</w:t>
            </w:r>
            <w:r>
              <w:t>33</w:t>
            </w:r>
            <w:r>
              <w:rPr>
                <w:rFonts w:hint="eastAsia"/>
                <w:rtl/>
              </w:rPr>
              <w:t> </w:t>
            </w:r>
            <w:r>
              <w:t>GHz</w:t>
            </w:r>
            <w:r>
              <w:rPr>
                <w:rFonts w:hint="cs"/>
                <w:rtl/>
              </w:rPr>
              <w:t xml:space="preserve"> (النطاق</w:t>
            </w:r>
            <w:r>
              <w:rPr>
                <w:rFonts w:hint="eastAsia"/>
                <w:rtl/>
              </w:rPr>
              <w:t> </w:t>
            </w:r>
            <w:proofErr w:type="spellStart"/>
            <w:r>
              <w:t>Ka</w:t>
            </w:r>
            <w:proofErr w:type="spellEnd"/>
            <w:r>
              <w:rPr>
                <w:rFonts w:hint="cs"/>
                <w:rtl/>
                <w:lang w:bidi="ar-EG"/>
              </w:rPr>
              <w:t>)</w:t>
            </w:r>
          </w:p>
          <w:p w:rsidR="00AA6DD5" w:rsidRDefault="00AA6DD5" w:rsidP="00AA6DD5">
            <w:pPr>
              <w:spacing w:line="180" w:lineRule="auto"/>
              <w:rPr>
                <w:b/>
                <w:bCs/>
                <w:i/>
                <w:iCs/>
                <w:rtl/>
                <w:lang w:bidi="ar-EG"/>
              </w:rPr>
            </w:pPr>
            <w:r w:rsidRPr="00E5473F">
              <w:rPr>
                <w:rFonts w:hint="cs"/>
                <w:b/>
                <w:bCs/>
                <w:rtl/>
              </w:rPr>
              <w:t>المصدر</w:t>
            </w:r>
            <w:r w:rsidRPr="00BA0595">
              <w:rPr>
                <w:rFonts w:hint="cs"/>
                <w:rtl/>
              </w:rPr>
              <w:t>:</w:t>
            </w:r>
            <w:r>
              <w:rPr>
                <w:rFonts w:hint="cs"/>
                <w:rtl/>
              </w:rPr>
              <w:t xml:space="preserve"> </w:t>
            </w:r>
            <w:r>
              <w:rPr>
                <w:rFonts w:hint="cs"/>
                <w:rtl/>
              </w:rPr>
              <w:t>جمهورية جنوب إفريقيا، جمهورية أنغولا، جمهورية بوتسوانا، جمهورية الكونغو الديمقراطية، مملكة ليسوتو، جمهورية موريشيوس، جمهورية مدغشقر، جمهورية موزامبيق، ملاوي، جمهورية ناميبيا، جمهورية سيشيل، مملكة سوازي</w:t>
            </w:r>
            <w:r w:rsidR="009855C8">
              <w:rPr>
                <w:rFonts w:hint="cs"/>
                <w:rtl/>
              </w:rPr>
              <w:t>لاند، جمهورية تنزانيا المتحدة، جمهورية زامبيا، جمهورية زيمبابوي</w:t>
            </w:r>
          </w:p>
          <w:p w:rsidR="000F1903" w:rsidRPr="00AA6DD5" w:rsidRDefault="000F1903" w:rsidP="00AA6DD5">
            <w:pPr>
              <w:spacing w:line="180" w:lineRule="auto"/>
              <w:rPr>
                <w:lang w:bidi="ar-EG"/>
              </w:rPr>
            </w:pPr>
            <w:r w:rsidRPr="00BA0595">
              <w:rPr>
                <w:rFonts w:hint="cs"/>
                <w:b/>
                <w:bCs/>
                <w:i/>
                <w:iCs/>
                <w:rtl/>
              </w:rPr>
              <w:t>المقترح:</w:t>
            </w:r>
            <w:r w:rsidR="00E5473F">
              <w:rPr>
                <w:rFonts w:hint="cs"/>
                <w:b/>
                <w:bCs/>
                <w:rtl/>
              </w:rPr>
              <w:t xml:space="preserve"> </w:t>
            </w:r>
            <w:r w:rsidR="00E5473F" w:rsidRPr="00F27187">
              <w:rPr>
                <w:rFonts w:hint="cs"/>
                <w:rtl/>
              </w:rPr>
              <w:t>النظر في نتائج دراسات قطاع الاتصالات الراديوية وفقاً للقرار</w:t>
            </w:r>
            <w:r w:rsidR="00BA0595">
              <w:rPr>
                <w:rFonts w:hint="eastAsia"/>
                <w:rtl/>
              </w:rPr>
              <w:t> </w:t>
            </w:r>
            <w:r w:rsidR="00F27187">
              <w:t>xxx</w:t>
            </w:r>
            <w:r w:rsidR="00BA0595">
              <w:t> </w:t>
            </w:r>
            <w:r w:rsidR="00F27187">
              <w:t>(WRC-15)</w:t>
            </w:r>
            <w:r w:rsidR="00F27187">
              <w:rPr>
                <w:rFonts w:hint="cs"/>
                <w:rtl/>
              </w:rPr>
              <w:t xml:space="preserve"> من أجل وضع خطة ترددات للخدمتين الإذاعية الساتلية والثابتة الساتلية في نطاقات التردد بين </w:t>
            </w:r>
            <w:r w:rsidR="00F27187">
              <w:t>17</w:t>
            </w:r>
            <w:r w:rsidR="00BA0595">
              <w:rPr>
                <w:rFonts w:hint="eastAsia"/>
                <w:rtl/>
              </w:rPr>
              <w:t> </w:t>
            </w:r>
            <w:r w:rsidR="00F27187">
              <w:rPr>
                <w:rFonts w:hint="cs"/>
                <w:rtl/>
              </w:rPr>
              <w:t>و</w:t>
            </w:r>
            <w:r w:rsidR="00F27187">
              <w:t>33</w:t>
            </w:r>
            <w:r w:rsidR="00F27187">
              <w:rPr>
                <w:rFonts w:hint="cs"/>
                <w:rtl/>
              </w:rPr>
              <w:t xml:space="preserve"> </w:t>
            </w:r>
            <w:r w:rsidR="00F27187">
              <w:t>GHz</w:t>
            </w:r>
            <w:r w:rsidR="00BA0595">
              <w:rPr>
                <w:rFonts w:hint="eastAsia"/>
                <w:rtl/>
              </w:rPr>
              <w:t> </w:t>
            </w:r>
            <w:r w:rsidR="00F27187">
              <w:rPr>
                <w:rFonts w:hint="cs"/>
                <w:rtl/>
              </w:rPr>
              <w:t>(النطاق</w:t>
            </w:r>
            <w:r w:rsidR="00BA0595">
              <w:rPr>
                <w:rFonts w:hint="eastAsia"/>
                <w:rtl/>
              </w:rPr>
              <w:t> </w:t>
            </w:r>
            <w:proofErr w:type="spellStart"/>
            <w:r w:rsidR="00F27187">
              <w:t>Ka</w:t>
            </w:r>
            <w:proofErr w:type="spellEnd"/>
            <w:r w:rsidR="00F27187">
              <w:rPr>
                <w:rFonts w:hint="cs"/>
                <w:rtl/>
                <w:lang w:bidi="ar-EG"/>
              </w:rPr>
              <w:t>)</w:t>
            </w:r>
          </w:p>
        </w:tc>
      </w:tr>
      <w:tr w:rsidR="000F1903" w:rsidRPr="00F27187" w:rsidTr="00137739">
        <w:tc>
          <w:tcPr>
            <w:tcW w:w="9639" w:type="dxa"/>
            <w:gridSpan w:val="2"/>
            <w:tcBorders>
              <w:left w:val="nil"/>
              <w:bottom w:val="single" w:sz="4" w:space="0" w:color="auto"/>
              <w:right w:val="nil"/>
            </w:tcBorders>
          </w:tcPr>
          <w:p w:rsidR="000F1903" w:rsidRDefault="000F1903" w:rsidP="00BA0595">
            <w:pPr>
              <w:rPr>
                <w:rtl/>
              </w:rPr>
            </w:pPr>
            <w:r w:rsidRPr="00F27187">
              <w:rPr>
                <w:rFonts w:hint="cs"/>
                <w:b/>
                <w:bCs/>
                <w:rtl/>
              </w:rPr>
              <w:t>الخلفية/الأسباب الداعية إلى المقترح:</w:t>
            </w:r>
            <w:r w:rsidR="00F27187">
              <w:rPr>
                <w:rFonts w:hint="cs"/>
                <w:b/>
                <w:bCs/>
                <w:rtl/>
              </w:rPr>
              <w:t xml:space="preserve"> </w:t>
            </w:r>
            <w:r w:rsidR="00F27187" w:rsidRPr="00FA0E53">
              <w:rPr>
                <w:rFonts w:hint="cs"/>
                <w:rtl/>
              </w:rPr>
              <w:t xml:space="preserve">يتمثل الهدف من هذا البند المقترح </w:t>
            </w:r>
            <w:r w:rsidR="00FA0E53">
              <w:rPr>
                <w:rFonts w:hint="cs"/>
                <w:rtl/>
              </w:rPr>
              <w:t xml:space="preserve">في السعي إلى ضمان أن تتمتع البلدان النامية بالنفاذ المنصف إلى موارد طيف الترددات الراديوية </w:t>
            </w:r>
            <w:r w:rsidR="00FA0E53" w:rsidRPr="00512D35">
              <w:rPr>
                <w:rFonts w:hint="cs"/>
                <w:rtl/>
              </w:rPr>
              <w:t>والمدارات</w:t>
            </w:r>
            <w:r w:rsidR="00FA0E53">
              <w:rPr>
                <w:rFonts w:hint="cs"/>
                <w:rtl/>
              </w:rPr>
              <w:t xml:space="preserve"> في نطاقات التردد بين </w:t>
            </w:r>
            <w:r w:rsidR="00FA0E53">
              <w:t>17</w:t>
            </w:r>
            <w:r w:rsidR="00BA0595">
              <w:rPr>
                <w:rFonts w:hint="eastAsia"/>
                <w:rtl/>
              </w:rPr>
              <w:t> </w:t>
            </w:r>
            <w:r w:rsidR="00FA0E53">
              <w:rPr>
                <w:rFonts w:hint="cs"/>
                <w:rtl/>
              </w:rPr>
              <w:t>و</w:t>
            </w:r>
            <w:r w:rsidR="00FA0E53">
              <w:t>33</w:t>
            </w:r>
            <w:r w:rsidR="00BA0595">
              <w:rPr>
                <w:rFonts w:hint="eastAsia"/>
                <w:rtl/>
              </w:rPr>
              <w:t> </w:t>
            </w:r>
            <w:r w:rsidR="00FA0E53">
              <w:t>GHz</w:t>
            </w:r>
            <w:r w:rsidR="00FA0E53">
              <w:rPr>
                <w:rFonts w:hint="cs"/>
                <w:rtl/>
              </w:rPr>
              <w:t xml:space="preserve"> الموزعة للخدمتين الإذاعية الساتلية والثابتة الساتلية.</w:t>
            </w:r>
          </w:p>
          <w:p w:rsidR="00FA0E53" w:rsidRDefault="00FA0E53" w:rsidP="00BA0595">
            <w:pPr>
              <w:rPr>
                <w:rtl/>
              </w:rPr>
            </w:pPr>
            <w:r>
              <w:rPr>
                <w:rFonts w:hint="cs"/>
                <w:rtl/>
              </w:rPr>
              <w:lastRenderedPageBreak/>
              <w:t xml:space="preserve">وتتضمن التذييلات </w:t>
            </w:r>
            <w:r w:rsidR="00BA0595">
              <w:t>30</w:t>
            </w:r>
            <w:r>
              <w:rPr>
                <w:rFonts w:hint="cs"/>
                <w:rtl/>
              </w:rPr>
              <w:t xml:space="preserve"> و</w:t>
            </w:r>
            <w:r w:rsidR="00BA0595">
              <w:t>30A</w:t>
            </w:r>
            <w:r>
              <w:rPr>
                <w:rFonts w:hint="cs"/>
                <w:rtl/>
              </w:rPr>
              <w:t xml:space="preserve"> و</w:t>
            </w:r>
            <w:r w:rsidR="00BA0595">
              <w:t>30B</w:t>
            </w:r>
            <w:r>
              <w:rPr>
                <w:rFonts w:hint="cs"/>
                <w:rtl/>
              </w:rPr>
              <w:t xml:space="preserve"> للوائح الراديو حالياً خطط تعيين ترددات</w:t>
            </w:r>
            <w:r w:rsidR="00BA0595">
              <w:rPr>
                <w:rFonts w:hint="cs"/>
                <w:rtl/>
              </w:rPr>
              <w:t xml:space="preserve"> للخدمتين</w:t>
            </w:r>
            <w:r>
              <w:rPr>
                <w:rFonts w:hint="cs"/>
                <w:rtl/>
              </w:rPr>
              <w:t xml:space="preserve"> الإذاعية الساتلية والثابتة الساتلية في</w:t>
            </w:r>
            <w:r w:rsidR="00BA0595">
              <w:rPr>
                <w:rFonts w:hint="eastAsia"/>
                <w:rtl/>
              </w:rPr>
              <w:t> </w:t>
            </w:r>
            <w:r>
              <w:rPr>
                <w:rFonts w:hint="cs"/>
                <w:rtl/>
              </w:rPr>
              <w:t>النطاقين</w:t>
            </w:r>
            <w:r w:rsidR="00BA0595">
              <w:rPr>
                <w:rFonts w:hint="eastAsia"/>
                <w:rtl/>
              </w:rPr>
              <w:t> </w:t>
            </w:r>
            <w:r>
              <w:t>C</w:t>
            </w:r>
            <w:r w:rsidR="00BA0595">
              <w:rPr>
                <w:rFonts w:hint="eastAsia"/>
                <w:rtl/>
              </w:rPr>
              <w:t> </w:t>
            </w:r>
            <w:r>
              <w:rPr>
                <w:rFonts w:hint="cs"/>
                <w:rtl/>
              </w:rPr>
              <w:t>و</w:t>
            </w:r>
            <w:r>
              <w:t>Ku</w:t>
            </w:r>
            <w:r w:rsidR="00BA0595">
              <w:rPr>
                <w:rFonts w:hint="cs"/>
                <w:rtl/>
              </w:rPr>
              <w:t>.</w:t>
            </w:r>
          </w:p>
          <w:p w:rsidR="000F1903" w:rsidRPr="007051CE" w:rsidRDefault="00FA0E53" w:rsidP="00DC6063">
            <w:pPr>
              <w:rPr>
                <w:lang w:bidi="ar-EG"/>
              </w:rPr>
            </w:pPr>
            <w:r>
              <w:rPr>
                <w:rFonts w:hint="cs"/>
                <w:rtl/>
              </w:rPr>
              <w:t>وقد أتاحت التطورات التكنولوجية استعمال النطاق</w:t>
            </w:r>
            <w:r w:rsidR="00BA0595">
              <w:rPr>
                <w:rFonts w:hint="eastAsia"/>
                <w:rtl/>
              </w:rPr>
              <w:t> </w:t>
            </w:r>
            <w:proofErr w:type="spellStart"/>
            <w:r>
              <w:t>Ka</w:t>
            </w:r>
            <w:proofErr w:type="spellEnd"/>
            <w:r>
              <w:rPr>
                <w:rFonts w:hint="cs"/>
                <w:rtl/>
              </w:rPr>
              <w:t xml:space="preserve"> </w:t>
            </w:r>
            <w:r w:rsidR="00D31624">
              <w:rPr>
                <w:rFonts w:hint="cs"/>
                <w:rtl/>
              </w:rPr>
              <w:t>ل</w:t>
            </w:r>
            <w:r>
              <w:rPr>
                <w:rFonts w:hint="cs"/>
                <w:rtl/>
              </w:rPr>
              <w:t>لتطبيقات الساتلية عريضة النطاق (وكذلك الخدمات</w:t>
            </w:r>
            <w:r w:rsidR="007051CE">
              <w:rPr>
                <w:rFonts w:hint="eastAsia"/>
                <w:rtl/>
              </w:rPr>
              <w:t> </w:t>
            </w:r>
            <w:r>
              <w:t>DTH</w:t>
            </w:r>
            <w:r w:rsidR="007051CE">
              <w:rPr>
                <w:rFonts w:hint="cs"/>
                <w:rtl/>
              </w:rPr>
              <w:t xml:space="preserve">). </w:t>
            </w:r>
            <w:r w:rsidR="00F8753D">
              <w:rPr>
                <w:rFonts w:hint="cs"/>
                <w:rtl/>
              </w:rPr>
              <w:t>وتسمح هذه التطبيقات بتيسير نشر الأجهزة الطرفية منخفضة التكاليف ومنخفضة الحجم. وهذا يتسم بأهمية خاصة للبلدان النامية. ومع ذلك، ليس بمقدور الكثير من البلدان النامية حالياً إطلاق السواتل الخاصة بها من أجل توفير هذه الخدمات، ولكنها قد</w:t>
            </w:r>
            <w:r w:rsidR="00771DEC">
              <w:rPr>
                <w:rFonts w:hint="eastAsia"/>
                <w:rtl/>
              </w:rPr>
              <w:t> </w:t>
            </w:r>
            <w:r w:rsidR="00F8753D">
              <w:rPr>
                <w:rFonts w:hint="cs"/>
                <w:rtl/>
              </w:rPr>
              <w:t>تتمكن من ذلك في المستقبل القريب. وبالتالي، نظراً إلى أحكام المادة</w:t>
            </w:r>
            <w:r w:rsidR="007051CE">
              <w:rPr>
                <w:rFonts w:hint="eastAsia"/>
                <w:rtl/>
              </w:rPr>
              <w:t> </w:t>
            </w:r>
            <w:r w:rsidR="00F8753D">
              <w:t>44</w:t>
            </w:r>
            <w:r w:rsidR="00F8753D">
              <w:rPr>
                <w:rFonts w:hint="cs"/>
                <w:rtl/>
              </w:rPr>
              <w:t xml:space="preserve"> من دستور الاتحاد وأحكام القرار</w:t>
            </w:r>
            <w:r w:rsidR="007051CE">
              <w:rPr>
                <w:rFonts w:hint="eastAsia"/>
                <w:rtl/>
              </w:rPr>
              <w:t> </w:t>
            </w:r>
            <w:r w:rsidR="00F8753D">
              <w:t>86</w:t>
            </w:r>
            <w:r w:rsidR="00F8753D">
              <w:rPr>
                <w:rFonts w:hint="cs"/>
                <w:rtl/>
              </w:rPr>
              <w:t xml:space="preserve"> (المراجَع في</w:t>
            </w:r>
            <w:r w:rsidR="00DC6063">
              <w:rPr>
                <w:rFonts w:hint="eastAsia"/>
                <w:rtl/>
              </w:rPr>
              <w:t> </w:t>
            </w:r>
            <w:r w:rsidR="00F8753D">
              <w:rPr>
                <w:rFonts w:hint="cs"/>
                <w:rtl/>
              </w:rPr>
              <w:t>مراكش،</w:t>
            </w:r>
            <w:r w:rsidR="007051CE">
              <w:rPr>
                <w:rFonts w:hint="eastAsia"/>
                <w:rtl/>
              </w:rPr>
              <w:t> </w:t>
            </w:r>
            <w:r w:rsidR="00F8753D">
              <w:t>2002</w:t>
            </w:r>
            <w:r w:rsidR="00F8753D">
              <w:rPr>
                <w:rFonts w:hint="cs"/>
                <w:rtl/>
              </w:rPr>
              <w:t xml:space="preserve">)، يُعتبر من المناسب طرح هذا البند المقترح في جدول أعمال المؤتمر العالمي المقبل للاتصالات الراديوية </w:t>
            </w:r>
            <w:r w:rsidR="00F8753D">
              <w:t>(WRC</w:t>
            </w:r>
            <w:r w:rsidR="007051CE">
              <w:noBreakHyphen/>
            </w:r>
            <w:r w:rsidR="00F8753D">
              <w:t>19)</w:t>
            </w:r>
            <w:r w:rsidR="00F8753D">
              <w:rPr>
                <w:rFonts w:hint="cs"/>
                <w:rtl/>
              </w:rPr>
              <w:t>.</w:t>
            </w:r>
          </w:p>
        </w:tc>
      </w:tr>
      <w:tr w:rsidR="000F1903" w:rsidRPr="00252FFF" w:rsidTr="000F1903">
        <w:tc>
          <w:tcPr>
            <w:tcW w:w="9639" w:type="dxa"/>
            <w:gridSpan w:val="2"/>
            <w:tcBorders>
              <w:top w:val="single" w:sz="4" w:space="0" w:color="auto"/>
              <w:left w:val="nil"/>
              <w:bottom w:val="single" w:sz="4" w:space="0" w:color="auto"/>
              <w:right w:val="nil"/>
            </w:tcBorders>
          </w:tcPr>
          <w:p w:rsidR="000F1903" w:rsidRPr="007051CE" w:rsidRDefault="000F1903" w:rsidP="004F5B6B">
            <w:pPr>
              <w:rPr>
                <w:b/>
                <w:bCs/>
              </w:rPr>
            </w:pPr>
            <w:r w:rsidRPr="00252FFF">
              <w:rPr>
                <w:rFonts w:hint="cs"/>
                <w:b/>
                <w:bCs/>
                <w:i/>
                <w:iCs/>
                <w:rtl/>
              </w:rPr>
              <w:lastRenderedPageBreak/>
              <w:t>خدمات الاتصالات الراديوية المعنية:</w:t>
            </w:r>
            <w:r w:rsidR="00F8753D">
              <w:rPr>
                <w:rFonts w:hint="cs"/>
                <w:b/>
                <w:bCs/>
                <w:i/>
                <w:iCs/>
                <w:rtl/>
              </w:rPr>
              <w:t xml:space="preserve"> </w:t>
            </w:r>
            <w:r w:rsidR="00F8753D" w:rsidRPr="00F8753D">
              <w:rPr>
                <w:rFonts w:hint="cs"/>
                <w:rtl/>
              </w:rPr>
              <w:t xml:space="preserve">الخدمتان الثابتة </w:t>
            </w:r>
            <w:bookmarkStart w:id="1" w:name="_GoBack"/>
            <w:bookmarkEnd w:id="1"/>
            <w:r w:rsidR="00F8753D" w:rsidRPr="00F8753D">
              <w:rPr>
                <w:rFonts w:hint="cs"/>
                <w:rtl/>
              </w:rPr>
              <w:t>والإذاعية الساتلية</w:t>
            </w:r>
          </w:p>
        </w:tc>
      </w:tr>
      <w:tr w:rsidR="000F1903" w:rsidRPr="00252FFF" w:rsidTr="000F1903">
        <w:tc>
          <w:tcPr>
            <w:tcW w:w="9639" w:type="dxa"/>
            <w:gridSpan w:val="2"/>
            <w:tcBorders>
              <w:top w:val="single" w:sz="4" w:space="0" w:color="auto"/>
              <w:left w:val="nil"/>
              <w:bottom w:val="single" w:sz="4" w:space="0" w:color="auto"/>
              <w:right w:val="nil"/>
            </w:tcBorders>
          </w:tcPr>
          <w:p w:rsidR="000F1903" w:rsidRPr="007051CE" w:rsidRDefault="000F1903" w:rsidP="007051CE">
            <w:pPr>
              <w:rPr>
                <w:b/>
                <w:bCs/>
                <w:i/>
                <w:iCs/>
              </w:rPr>
            </w:pPr>
            <w:r w:rsidRPr="00252FFF">
              <w:rPr>
                <w:rFonts w:hint="cs"/>
                <w:b/>
                <w:bCs/>
                <w:i/>
                <w:iCs/>
                <w:rtl/>
              </w:rPr>
              <w:t>بيان الصعوبات المحتملة:</w:t>
            </w:r>
          </w:p>
        </w:tc>
      </w:tr>
      <w:tr w:rsidR="000F1903" w:rsidRPr="00252FFF" w:rsidTr="000F1903">
        <w:tc>
          <w:tcPr>
            <w:tcW w:w="9639" w:type="dxa"/>
            <w:gridSpan w:val="2"/>
            <w:tcBorders>
              <w:top w:val="single" w:sz="4" w:space="0" w:color="auto"/>
              <w:left w:val="nil"/>
              <w:bottom w:val="single" w:sz="4" w:space="0" w:color="auto"/>
              <w:right w:val="nil"/>
            </w:tcBorders>
          </w:tcPr>
          <w:p w:rsidR="000F1903" w:rsidRPr="007051CE" w:rsidRDefault="000F1903" w:rsidP="007051CE">
            <w:r w:rsidRPr="00252FFF">
              <w:rPr>
                <w:rFonts w:hint="cs"/>
                <w:b/>
                <w:bCs/>
                <w:i/>
                <w:iCs/>
                <w:rtl/>
              </w:rPr>
              <w:t>الدراسات السابقة أو الجارية حول الموضوع</w:t>
            </w:r>
            <w:r w:rsidRPr="00F8753D">
              <w:rPr>
                <w:rFonts w:hint="cs"/>
                <w:rtl/>
              </w:rPr>
              <w:t>:</w:t>
            </w:r>
            <w:r w:rsidR="00F8753D" w:rsidRPr="00F8753D">
              <w:rPr>
                <w:rFonts w:hint="cs"/>
                <w:rtl/>
              </w:rPr>
              <w:t xml:space="preserve"> لا يوجد</w:t>
            </w:r>
          </w:p>
        </w:tc>
      </w:tr>
      <w:tr w:rsidR="000F1903" w:rsidRPr="00252FFF" w:rsidTr="000F1903">
        <w:tc>
          <w:tcPr>
            <w:tcW w:w="4819" w:type="dxa"/>
            <w:tcBorders>
              <w:top w:val="single" w:sz="4" w:space="0" w:color="auto"/>
              <w:left w:val="nil"/>
              <w:bottom w:val="single" w:sz="4" w:space="0" w:color="auto"/>
              <w:right w:val="single" w:sz="4" w:space="0" w:color="auto"/>
            </w:tcBorders>
          </w:tcPr>
          <w:p w:rsidR="000F1903" w:rsidRPr="007051CE" w:rsidRDefault="000F1903" w:rsidP="007051CE">
            <w:pPr>
              <w:rPr>
                <w:color w:val="000000"/>
              </w:rPr>
            </w:pPr>
            <w:r w:rsidRPr="00252FFF">
              <w:rPr>
                <w:rFonts w:hint="cs"/>
                <w:b/>
                <w:bCs/>
                <w:i/>
                <w:iCs/>
                <w:rtl/>
              </w:rPr>
              <w:t>الجهة المطلوب منها أن تقوم بالدراسة</w:t>
            </w:r>
            <w:r w:rsidRPr="00F8753D">
              <w:rPr>
                <w:rFonts w:hint="cs"/>
                <w:rtl/>
              </w:rPr>
              <w:t>:</w:t>
            </w:r>
            <w:r w:rsidR="00F8753D">
              <w:rPr>
                <w:rFonts w:hint="cs"/>
                <w:rtl/>
              </w:rPr>
              <w:t xml:space="preserve"> </w:t>
            </w:r>
            <w:r w:rsidR="00F8753D" w:rsidRPr="00F8753D">
              <w:rPr>
                <w:rFonts w:hint="cs"/>
                <w:rtl/>
              </w:rPr>
              <w:t>لجنة الدراسات</w:t>
            </w:r>
            <w:r w:rsidR="007051CE">
              <w:rPr>
                <w:rFonts w:hint="eastAsia"/>
                <w:rtl/>
              </w:rPr>
              <w:t> </w:t>
            </w:r>
            <w:r w:rsidR="007051CE">
              <w:t>4</w:t>
            </w:r>
            <w:r w:rsidR="00F8753D" w:rsidRPr="00F8753D">
              <w:rPr>
                <w:rFonts w:hint="cs"/>
                <w:rtl/>
              </w:rPr>
              <w:t xml:space="preserve"> لقطاع الاتصالات الراديوية</w:t>
            </w:r>
          </w:p>
        </w:tc>
        <w:tc>
          <w:tcPr>
            <w:tcW w:w="4820" w:type="dxa"/>
            <w:tcBorders>
              <w:top w:val="single" w:sz="4" w:space="0" w:color="auto"/>
              <w:left w:val="single" w:sz="4" w:space="0" w:color="auto"/>
              <w:bottom w:val="single" w:sz="4" w:space="0" w:color="auto"/>
              <w:right w:val="nil"/>
            </w:tcBorders>
          </w:tcPr>
          <w:p w:rsidR="000F1903" w:rsidRPr="00252FFF" w:rsidRDefault="000F1903" w:rsidP="000F1903">
            <w:pPr>
              <w:rPr>
                <w:b/>
                <w:i/>
                <w:color w:val="000000"/>
              </w:rPr>
            </w:pPr>
            <w:r w:rsidRPr="00252FFF">
              <w:rPr>
                <w:rFonts w:hint="cs"/>
                <w:b/>
                <w:bCs/>
                <w:i/>
                <w:iCs/>
                <w:rtl/>
              </w:rPr>
              <w:t>بالاشتراك مع</w:t>
            </w:r>
            <w:r w:rsidRPr="00F8753D">
              <w:rPr>
                <w:rFonts w:hint="cs"/>
                <w:rtl/>
              </w:rPr>
              <w:t>:</w:t>
            </w:r>
            <w:r w:rsidR="00F8753D" w:rsidRPr="00F8753D">
              <w:rPr>
                <w:rFonts w:hint="cs"/>
                <w:rtl/>
              </w:rPr>
              <w:t xml:space="preserve"> الدول الأعضاء</w:t>
            </w:r>
          </w:p>
        </w:tc>
      </w:tr>
      <w:tr w:rsidR="000F1903" w:rsidRPr="00252FFF" w:rsidTr="000F1903">
        <w:tc>
          <w:tcPr>
            <w:tcW w:w="9639" w:type="dxa"/>
            <w:gridSpan w:val="2"/>
            <w:tcBorders>
              <w:top w:val="single" w:sz="4" w:space="0" w:color="auto"/>
              <w:left w:val="nil"/>
              <w:bottom w:val="single" w:sz="4" w:space="0" w:color="auto"/>
              <w:right w:val="nil"/>
            </w:tcBorders>
          </w:tcPr>
          <w:p w:rsidR="000F1903" w:rsidRPr="007051CE" w:rsidRDefault="000F1903" w:rsidP="007051CE">
            <w:pPr>
              <w:rPr>
                <w:color w:val="000000"/>
                <w:rtl/>
              </w:rPr>
            </w:pPr>
            <w:r w:rsidRPr="00252FFF">
              <w:rPr>
                <w:rFonts w:hint="cs"/>
                <w:b/>
                <w:bCs/>
                <w:i/>
                <w:iCs/>
                <w:rtl/>
              </w:rPr>
              <w:t>لجان الدراسات المعنية في قطاع الاتصالات الراديوية:</w:t>
            </w:r>
            <w:r w:rsidR="00F8753D" w:rsidRPr="00F8753D">
              <w:rPr>
                <w:rFonts w:hint="cs"/>
                <w:rtl/>
              </w:rPr>
              <w:t xml:space="preserve"> لجنة الدراسات</w:t>
            </w:r>
            <w:r w:rsidR="007051CE">
              <w:rPr>
                <w:rFonts w:hint="eastAsia"/>
                <w:rtl/>
              </w:rPr>
              <w:t> </w:t>
            </w:r>
            <w:r w:rsidR="007051CE">
              <w:t>4</w:t>
            </w:r>
            <w:r w:rsidR="00F8753D" w:rsidRPr="00F8753D">
              <w:rPr>
                <w:rFonts w:hint="cs"/>
                <w:rtl/>
              </w:rPr>
              <w:t xml:space="preserve"> لقطاع الاتصالات الراديوية</w:t>
            </w:r>
          </w:p>
        </w:tc>
      </w:tr>
      <w:tr w:rsidR="000F1903" w:rsidRPr="00252FFF" w:rsidTr="000F1903">
        <w:tc>
          <w:tcPr>
            <w:tcW w:w="9639" w:type="dxa"/>
            <w:gridSpan w:val="2"/>
            <w:tcBorders>
              <w:top w:val="single" w:sz="4" w:space="0" w:color="auto"/>
              <w:left w:val="nil"/>
              <w:bottom w:val="single" w:sz="4" w:space="0" w:color="auto"/>
              <w:right w:val="nil"/>
            </w:tcBorders>
          </w:tcPr>
          <w:p w:rsidR="000F1903" w:rsidRPr="00252FFF" w:rsidRDefault="000F1903" w:rsidP="007051CE">
            <w:pPr>
              <w:rPr>
                <w:b/>
                <w:i/>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r w:rsidR="00D2032C">
              <w:rPr>
                <w:rFonts w:hint="cs"/>
                <w:b/>
                <w:bCs/>
                <w:i/>
                <w:iCs/>
                <w:rtl/>
              </w:rPr>
              <w:t xml:space="preserve"> </w:t>
            </w:r>
            <w:r w:rsidR="00D2032C" w:rsidRPr="00D2032C">
              <w:rPr>
                <w:rFonts w:hint="cs"/>
                <w:rtl/>
              </w:rPr>
              <w:t>[تحدد لاحقاً]</w:t>
            </w:r>
          </w:p>
        </w:tc>
      </w:tr>
      <w:tr w:rsidR="000F1903" w:rsidRPr="00252FFF" w:rsidTr="000F1903">
        <w:tc>
          <w:tcPr>
            <w:tcW w:w="4819" w:type="dxa"/>
            <w:tcBorders>
              <w:top w:val="single" w:sz="4" w:space="0" w:color="auto"/>
              <w:left w:val="nil"/>
              <w:bottom w:val="single" w:sz="4" w:space="0" w:color="auto"/>
              <w:right w:val="nil"/>
            </w:tcBorders>
          </w:tcPr>
          <w:p w:rsidR="000F1903" w:rsidRPr="00252FFF" w:rsidRDefault="000F1903" w:rsidP="000F1903">
            <w:pPr>
              <w:rPr>
                <w:b/>
                <w:iCs/>
              </w:rPr>
            </w:pPr>
            <w:r w:rsidRPr="00252FFF">
              <w:rPr>
                <w:rFonts w:hint="cs"/>
                <w:b/>
                <w:bCs/>
                <w:i/>
                <w:iCs/>
                <w:rtl/>
              </w:rPr>
              <w:t xml:space="preserve">مقترح إقليمي مشترك: </w:t>
            </w:r>
            <w:r w:rsidRPr="00252FFF">
              <w:rPr>
                <w:rFonts w:hint="cs"/>
                <w:rtl/>
              </w:rPr>
              <w:t>نعم/لا</w:t>
            </w:r>
          </w:p>
        </w:tc>
        <w:tc>
          <w:tcPr>
            <w:tcW w:w="4820" w:type="dxa"/>
            <w:tcBorders>
              <w:top w:val="single" w:sz="4" w:space="0" w:color="auto"/>
              <w:left w:val="nil"/>
              <w:bottom w:val="single" w:sz="4" w:space="0" w:color="auto"/>
              <w:right w:val="nil"/>
            </w:tcBorders>
          </w:tcPr>
          <w:p w:rsidR="000F1903" w:rsidRPr="00252FFF" w:rsidRDefault="000F1903" w:rsidP="00F8753D">
            <w:pPr>
              <w:rPr>
                <w:b/>
                <w:iCs/>
              </w:rPr>
            </w:pPr>
            <w:r w:rsidRPr="00252FFF">
              <w:rPr>
                <w:rFonts w:hint="cs"/>
                <w:b/>
                <w:bCs/>
                <w:i/>
                <w:iCs/>
                <w:rtl/>
              </w:rPr>
              <w:t xml:space="preserve">مقترح من عدة بلدان: </w:t>
            </w:r>
            <w:r w:rsidR="00F8753D">
              <w:rPr>
                <w:rFonts w:hint="cs"/>
                <w:rtl/>
              </w:rPr>
              <w:t>نعم</w:t>
            </w:r>
          </w:p>
          <w:p w:rsidR="000F1903" w:rsidRPr="00DC6063" w:rsidRDefault="000F1903" w:rsidP="007051CE">
            <w:pPr>
              <w:rPr>
                <w:rFonts w:hint="cs"/>
                <w:rtl/>
                <w:lang w:bidi="ar-EG"/>
              </w:rPr>
            </w:pPr>
            <w:r w:rsidRPr="00252FFF">
              <w:rPr>
                <w:rFonts w:hint="cs"/>
                <w:b/>
                <w:bCs/>
                <w:i/>
                <w:iCs/>
                <w:rtl/>
              </w:rPr>
              <w:t>عدد البلدان:</w:t>
            </w:r>
            <w:r w:rsidR="00D2032C">
              <w:rPr>
                <w:rFonts w:hint="cs"/>
                <w:b/>
                <w:bCs/>
                <w:i/>
                <w:iCs/>
                <w:rtl/>
              </w:rPr>
              <w:t xml:space="preserve"> </w:t>
            </w:r>
            <w:r w:rsidR="00DC6063" w:rsidRPr="007E4C6A">
              <w:rPr>
                <w:iCs/>
              </w:rPr>
              <w:t>[15]</w:t>
            </w:r>
          </w:p>
          <w:p w:rsidR="000F1903" w:rsidRPr="00252FFF" w:rsidRDefault="000F1903" w:rsidP="000F1903">
            <w:pPr>
              <w:rPr>
                <w:b/>
                <w:i/>
              </w:rPr>
            </w:pPr>
          </w:p>
        </w:tc>
      </w:tr>
      <w:tr w:rsidR="000F1903" w:rsidRPr="00252FFF" w:rsidTr="000F1903">
        <w:tc>
          <w:tcPr>
            <w:tcW w:w="9639" w:type="dxa"/>
            <w:gridSpan w:val="2"/>
            <w:tcBorders>
              <w:top w:val="single" w:sz="4" w:space="0" w:color="auto"/>
              <w:left w:val="nil"/>
              <w:bottom w:val="nil"/>
              <w:right w:val="nil"/>
            </w:tcBorders>
          </w:tcPr>
          <w:p w:rsidR="000F1903" w:rsidRPr="00252FFF" w:rsidRDefault="000F1903" w:rsidP="007051CE">
            <w:pPr>
              <w:rPr>
                <w:b/>
                <w:i/>
              </w:rPr>
            </w:pPr>
            <w:r w:rsidRPr="00252FFF">
              <w:rPr>
                <w:rFonts w:hint="cs"/>
                <w:b/>
                <w:bCs/>
                <w:i/>
                <w:iCs/>
                <w:rtl/>
              </w:rPr>
              <w:t>ملاحظات</w:t>
            </w:r>
          </w:p>
        </w:tc>
      </w:tr>
    </w:tbl>
    <w:p w:rsidR="002919E1" w:rsidRPr="002919E1" w:rsidRDefault="004A3F49" w:rsidP="000F1903">
      <w:pPr>
        <w:spacing w:before="600"/>
        <w:jc w:val="center"/>
        <w:rPr>
          <w:noProof/>
          <w:rtl/>
          <w:lang w:bidi="ar-EG"/>
        </w:rPr>
      </w:pPr>
      <w:r>
        <w:rPr>
          <w:rFonts w:hint="cs"/>
          <w:rtl/>
          <w:lang w:bidi="ar-EG"/>
        </w:rPr>
        <w:t>___________</w:t>
      </w:r>
    </w:p>
    <w:sectPr w:rsidR="002919E1" w:rsidRPr="002919E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2257E" w:rsidRDefault="0012257E" w:rsidP="0012257E">
    <w:pPr>
      <w:pStyle w:val="Footer"/>
    </w:pPr>
    <w:r>
      <w:fldChar w:fldCharType="begin"/>
    </w:r>
    <w:r w:rsidRPr="0012257E">
      <w:instrText xml:space="preserve"> FILENAME \p \* MERGEFORMAT </w:instrText>
    </w:r>
    <w:r>
      <w:fldChar w:fldCharType="separate"/>
    </w:r>
    <w:r w:rsidR="001E43C2">
      <w:rPr>
        <w:noProof/>
      </w:rPr>
      <w:t>P:\ARA\ITU-R\CONF-R\CMR15\100\130ADD25ADD01A.docx</w:t>
    </w:r>
    <w:r>
      <w:fldChar w:fldCharType="end"/>
    </w:r>
    <w:r w:rsidRPr="0012257E">
      <w:t xml:space="preserve">   (389054)</w:t>
    </w:r>
    <w:r w:rsidRPr="0012257E">
      <w:tab/>
    </w:r>
    <w:r w:rsidRPr="00B12661">
      <w:fldChar w:fldCharType="begin"/>
    </w:r>
    <w:r w:rsidRPr="00B12661">
      <w:instrText xml:space="preserve"> savedate \@ dd.MM.yy </w:instrText>
    </w:r>
    <w:r w:rsidRPr="00B12661">
      <w:fldChar w:fldCharType="separate"/>
    </w:r>
    <w:r w:rsidR="00AA6DD5">
      <w:rPr>
        <w:noProof/>
      </w:rPr>
      <w:t>01.11.15</w:t>
    </w:r>
    <w:r w:rsidRPr="00B12661">
      <w:fldChar w:fldCharType="end"/>
    </w:r>
    <w:r w:rsidRPr="0012257E">
      <w:tab/>
    </w:r>
    <w:r w:rsidRPr="00B12661">
      <w:fldChar w:fldCharType="begin"/>
    </w:r>
    <w:r w:rsidRPr="00B12661">
      <w:instrText xml:space="preserve"> printdate \@ dd.MM.yy </w:instrText>
    </w:r>
    <w:r w:rsidRPr="00B12661">
      <w:fldChar w:fldCharType="separate"/>
    </w:r>
    <w:r w:rsidR="001E43C2">
      <w:rPr>
        <w:noProof/>
      </w:rPr>
      <w:t>01.11.15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2257E" w:rsidRDefault="00281F5F" w:rsidP="0012257E">
    <w:pPr>
      <w:pStyle w:val="Footer"/>
    </w:pPr>
    <w:r>
      <w:fldChar w:fldCharType="begin"/>
    </w:r>
    <w:r w:rsidRPr="0012257E">
      <w:instrText xml:space="preserve"> FILENAME \p \* MERGEFORMAT </w:instrText>
    </w:r>
    <w:r>
      <w:fldChar w:fldCharType="separate"/>
    </w:r>
    <w:r w:rsidR="001E43C2">
      <w:rPr>
        <w:noProof/>
      </w:rPr>
      <w:t>P:\ARA\ITU-R\CONF-R\CMR15\100\130ADD25ADD01A.docx</w:t>
    </w:r>
    <w:r>
      <w:fldChar w:fldCharType="end"/>
    </w:r>
    <w:r w:rsidRPr="0012257E">
      <w:t xml:space="preserve">   (</w:t>
    </w:r>
    <w:r w:rsidR="0012257E" w:rsidRPr="0012257E">
      <w:t>389054</w:t>
    </w:r>
    <w:r w:rsidRPr="0012257E">
      <w:t>)</w:t>
    </w:r>
    <w:r w:rsidRPr="0012257E">
      <w:tab/>
    </w:r>
    <w:r w:rsidRPr="00B12661">
      <w:fldChar w:fldCharType="begin"/>
    </w:r>
    <w:r w:rsidRPr="00B12661">
      <w:instrText xml:space="preserve"> savedate \@ dd.MM.yy </w:instrText>
    </w:r>
    <w:r w:rsidRPr="00B12661">
      <w:fldChar w:fldCharType="separate"/>
    </w:r>
    <w:r w:rsidR="00AA6DD5">
      <w:rPr>
        <w:noProof/>
      </w:rPr>
      <w:t>01.11.15</w:t>
    </w:r>
    <w:r w:rsidRPr="00B12661">
      <w:fldChar w:fldCharType="end"/>
    </w:r>
    <w:r w:rsidRPr="0012257E">
      <w:tab/>
    </w:r>
    <w:r w:rsidRPr="00B12661">
      <w:fldChar w:fldCharType="begin"/>
    </w:r>
    <w:r w:rsidRPr="00B12661">
      <w:instrText xml:space="preserve"> printdate \@ dd.MM.yy </w:instrText>
    </w:r>
    <w:r w:rsidRPr="00B12661">
      <w:fldChar w:fldCharType="separate"/>
    </w:r>
    <w:r w:rsidR="001E43C2">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F5B6B">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130(Add.25)(Add.1)-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454DC"/>
    <w:rsid w:val="00051907"/>
    <w:rsid w:val="00075A3F"/>
    <w:rsid w:val="000819FB"/>
    <w:rsid w:val="000A1B16"/>
    <w:rsid w:val="000B5404"/>
    <w:rsid w:val="000D1708"/>
    <w:rsid w:val="000E2AFC"/>
    <w:rsid w:val="000E6D30"/>
    <w:rsid w:val="000F05F5"/>
    <w:rsid w:val="000F1903"/>
    <w:rsid w:val="000F28EA"/>
    <w:rsid w:val="000F518F"/>
    <w:rsid w:val="0010081C"/>
    <w:rsid w:val="001013E3"/>
    <w:rsid w:val="0010363F"/>
    <w:rsid w:val="0012257E"/>
    <w:rsid w:val="00137739"/>
    <w:rsid w:val="001464F2"/>
    <w:rsid w:val="001629EC"/>
    <w:rsid w:val="00167364"/>
    <w:rsid w:val="001903B2"/>
    <w:rsid w:val="001E190C"/>
    <w:rsid w:val="001E43C2"/>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3F49"/>
    <w:rsid w:val="004A6C66"/>
    <w:rsid w:val="004A7AA0"/>
    <w:rsid w:val="004C11BC"/>
    <w:rsid w:val="004D4AE6"/>
    <w:rsid w:val="004E34FA"/>
    <w:rsid w:val="004F5B6B"/>
    <w:rsid w:val="00505FCA"/>
    <w:rsid w:val="00510C2D"/>
    <w:rsid w:val="00512D35"/>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959EC"/>
    <w:rsid w:val="006A12AC"/>
    <w:rsid w:val="006A2162"/>
    <w:rsid w:val="006B0D94"/>
    <w:rsid w:val="006B4B90"/>
    <w:rsid w:val="006B658C"/>
    <w:rsid w:val="006D2674"/>
    <w:rsid w:val="006E38D0"/>
    <w:rsid w:val="006E465B"/>
    <w:rsid w:val="006F70BF"/>
    <w:rsid w:val="007051CE"/>
    <w:rsid w:val="00716B1D"/>
    <w:rsid w:val="007248EC"/>
    <w:rsid w:val="00731150"/>
    <w:rsid w:val="00736DCC"/>
    <w:rsid w:val="00741855"/>
    <w:rsid w:val="00742B73"/>
    <w:rsid w:val="00751251"/>
    <w:rsid w:val="007610E7"/>
    <w:rsid w:val="00764079"/>
    <w:rsid w:val="00770AA0"/>
    <w:rsid w:val="00771DEC"/>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855C8"/>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753F9"/>
    <w:rsid w:val="00A83981"/>
    <w:rsid w:val="00A870AD"/>
    <w:rsid w:val="00A90843"/>
    <w:rsid w:val="00A9645C"/>
    <w:rsid w:val="00AA6DD5"/>
    <w:rsid w:val="00AB2A33"/>
    <w:rsid w:val="00AB686D"/>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0199"/>
    <w:rsid w:val="00B528DF"/>
    <w:rsid w:val="00B606BA"/>
    <w:rsid w:val="00B66817"/>
    <w:rsid w:val="00B71E3B"/>
    <w:rsid w:val="00B721D5"/>
    <w:rsid w:val="00B81CB5"/>
    <w:rsid w:val="00B8351F"/>
    <w:rsid w:val="00B86C44"/>
    <w:rsid w:val="00B9727C"/>
    <w:rsid w:val="00BA0595"/>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032C"/>
    <w:rsid w:val="00D25120"/>
    <w:rsid w:val="00D31624"/>
    <w:rsid w:val="00D419CB"/>
    <w:rsid w:val="00D44350"/>
    <w:rsid w:val="00D44E3F"/>
    <w:rsid w:val="00D525F5"/>
    <w:rsid w:val="00D535D0"/>
    <w:rsid w:val="00D62C78"/>
    <w:rsid w:val="00D81703"/>
    <w:rsid w:val="00D82929"/>
    <w:rsid w:val="00D84214"/>
    <w:rsid w:val="00D943E5"/>
    <w:rsid w:val="00D947C3"/>
    <w:rsid w:val="00DA1AE0"/>
    <w:rsid w:val="00DC29DD"/>
    <w:rsid w:val="00DC6063"/>
    <w:rsid w:val="00DC7C0E"/>
    <w:rsid w:val="00DF2A6A"/>
    <w:rsid w:val="00DF3B72"/>
    <w:rsid w:val="00E10821"/>
    <w:rsid w:val="00E165ED"/>
    <w:rsid w:val="00E2489D"/>
    <w:rsid w:val="00E25C06"/>
    <w:rsid w:val="00E26520"/>
    <w:rsid w:val="00E343A3"/>
    <w:rsid w:val="00E51BFA"/>
    <w:rsid w:val="00E5473F"/>
    <w:rsid w:val="00E621A3"/>
    <w:rsid w:val="00E77D29"/>
    <w:rsid w:val="00E833BC"/>
    <w:rsid w:val="00E8580E"/>
    <w:rsid w:val="00EA1B76"/>
    <w:rsid w:val="00EA77D7"/>
    <w:rsid w:val="00EC09B9"/>
    <w:rsid w:val="00ED048C"/>
    <w:rsid w:val="00ED4B29"/>
    <w:rsid w:val="00EF38AF"/>
    <w:rsid w:val="00F0090C"/>
    <w:rsid w:val="00F055F8"/>
    <w:rsid w:val="00F10CB4"/>
    <w:rsid w:val="00F11B3D"/>
    <w:rsid w:val="00F14763"/>
    <w:rsid w:val="00F16212"/>
    <w:rsid w:val="00F16602"/>
    <w:rsid w:val="00F25B80"/>
    <w:rsid w:val="00F2685F"/>
    <w:rsid w:val="00F27187"/>
    <w:rsid w:val="00F350C8"/>
    <w:rsid w:val="00F8654D"/>
    <w:rsid w:val="00F8753D"/>
    <w:rsid w:val="00F900C9"/>
    <w:rsid w:val="00F92C96"/>
    <w:rsid w:val="00FA0D4E"/>
    <w:rsid w:val="00FA0E53"/>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DBDB0A1-705D-41D3-BED5-60F7BCE5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R15-WRC15-C-0130!A25-A1!MSW-A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4389ACE-857C-4934-BEDE-AEEB9E03D300}">
  <ds:schemaRefs>
    <ds:schemaRef ds:uri="http://purl.org/dc/dcmitype/"/>
    <ds:schemaRef ds:uri="http://purl.org/dc/terms/"/>
    <ds:schemaRef ds:uri="http://www.w3.org/XML/1998/namespace"/>
    <ds:schemaRef ds:uri="http://schemas.microsoft.com/office/infopath/2007/PartnerControls"/>
    <ds:schemaRef ds:uri="32a1a8c5-2265-4ebc-b7a0-2071e2c5c9bb"/>
    <ds:schemaRef ds:uri="http://schemas.openxmlformats.org/package/2006/metadata/core-properties"/>
    <ds:schemaRef ds:uri="http://purl.org/dc/elements/1.1/"/>
    <ds:schemaRef ds:uri="http://schemas.microsoft.com/office/2006/documentManagement/typ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798C60-80B3-412B-81AE-6AD51487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405</Words>
  <Characters>2473</Characters>
  <Application>Microsoft Office Word</Application>
  <DocSecurity>0</DocSecurity>
  <Lines>77</Lines>
  <Paragraphs>57</Paragraphs>
  <ScaleCrop>false</ScaleCrop>
  <HeadingPairs>
    <vt:vector size="2" baseType="variant">
      <vt:variant>
        <vt:lpstr>Title</vt:lpstr>
      </vt:variant>
      <vt:variant>
        <vt:i4>1</vt:i4>
      </vt:variant>
    </vt:vector>
  </HeadingPairs>
  <TitlesOfParts>
    <vt:vector size="1" baseType="lpstr">
      <vt:lpstr>R15-WRC15-C-0130!A25-A1!MSW-A</vt:lpstr>
    </vt:vector>
  </TitlesOfParts>
  <Manager>General Secretariat - Pool</Manager>
  <Company>International Telecommunication Union (ITU)</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R15-WRC15-C-0130!A25-A1!MSW-A</dc:title>
  <dc:creator>Documents Proposals Manager (DPM)</dc:creator>
  <cp:keywords>DPM_v5.2015.10.280_prod</cp:keywords>
  <cp:lastModifiedBy>Awad, Samy</cp:lastModifiedBy>
  <cp:revision>16</cp:revision>
  <cp:lastPrinted>2015-11-01T19:36:00Z</cp:lastPrinted>
  <dcterms:created xsi:type="dcterms:W3CDTF">2015-11-01T19:22:00Z</dcterms:created>
  <dcterms:modified xsi:type="dcterms:W3CDTF">2015-11-01T20:22:00Z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