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0" w:type="dxa"/>
        <w:tblLayout w:type="fixed"/>
        <w:tblLook w:val="0000" w:firstRow="0" w:lastRow="0" w:firstColumn="0" w:lastColumn="0" w:noHBand="0" w:noVBand="0"/>
      </w:tblPr>
      <w:tblGrid>
        <w:gridCol w:w="6741"/>
        <w:gridCol w:w="169"/>
        <w:gridCol w:w="3120"/>
      </w:tblGrid>
      <w:tr w:rsidR="0090121B" w:rsidRPr="00876772" w:rsidTr="003650E1">
        <w:trPr>
          <w:cantSplit/>
        </w:trPr>
        <w:tc>
          <w:tcPr>
            <w:tcW w:w="6910" w:type="dxa"/>
            <w:gridSpan w:val="2"/>
          </w:tcPr>
          <w:p w:rsidR="0090121B" w:rsidRPr="00876772" w:rsidRDefault="005D46FB" w:rsidP="003650E1">
            <w:pPr>
              <w:spacing w:before="400" w:after="48" w:line="240" w:lineRule="atLeast"/>
              <w:rPr>
                <w:rFonts w:ascii="Verdana" w:hAnsi="Verdana"/>
                <w:position w:val="6"/>
              </w:rPr>
            </w:pPr>
            <w:r w:rsidRPr="00876772">
              <w:rPr>
                <w:rFonts w:ascii="Verdana" w:hAnsi="Verdana" w:cs="Times"/>
                <w:b/>
                <w:position w:val="6"/>
                <w:sz w:val="20"/>
              </w:rPr>
              <w:t>Conferencia Mundial de Radiocomunicaciones (CMR-15)</w:t>
            </w:r>
            <w:r w:rsidRPr="00876772">
              <w:rPr>
                <w:rFonts w:ascii="Verdana" w:hAnsi="Verdana" w:cs="Times"/>
                <w:b/>
                <w:position w:val="6"/>
                <w:sz w:val="20"/>
              </w:rPr>
              <w:br/>
            </w:r>
            <w:r w:rsidRPr="00876772">
              <w:rPr>
                <w:rFonts w:ascii="Verdana" w:hAnsi="Verdana"/>
                <w:b/>
                <w:bCs/>
                <w:position w:val="6"/>
                <w:sz w:val="18"/>
                <w:szCs w:val="18"/>
              </w:rPr>
              <w:t>Ginebra, 2-27 de noviembre de 2015</w:t>
            </w:r>
          </w:p>
        </w:tc>
        <w:tc>
          <w:tcPr>
            <w:tcW w:w="3119" w:type="dxa"/>
          </w:tcPr>
          <w:p w:rsidR="0090121B" w:rsidRPr="00876772" w:rsidRDefault="00CE7431" w:rsidP="003650E1">
            <w:pPr>
              <w:spacing w:before="0" w:line="240" w:lineRule="atLeast"/>
              <w:jc w:val="right"/>
            </w:pPr>
            <w:bookmarkStart w:id="0" w:name="ditulogo"/>
            <w:bookmarkEnd w:id="0"/>
            <w:r w:rsidRPr="00876772">
              <w:rPr>
                <w:noProof/>
                <w:lang w:eastAsia="zh-CN"/>
              </w:rPr>
              <w:drawing>
                <wp:inline distT="0" distB="0" distL="0" distR="0" wp14:anchorId="223D081D" wp14:editId="1A6D067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76772" w:rsidTr="003650E1">
        <w:trPr>
          <w:cantSplit/>
        </w:trPr>
        <w:tc>
          <w:tcPr>
            <w:tcW w:w="6910" w:type="dxa"/>
            <w:gridSpan w:val="2"/>
            <w:tcBorders>
              <w:bottom w:val="single" w:sz="12" w:space="0" w:color="auto"/>
            </w:tcBorders>
          </w:tcPr>
          <w:p w:rsidR="0090121B" w:rsidRPr="00876772" w:rsidRDefault="00CE7431" w:rsidP="003650E1">
            <w:pPr>
              <w:spacing w:before="0" w:after="48" w:line="240" w:lineRule="atLeast"/>
              <w:rPr>
                <w:b/>
                <w:smallCaps/>
                <w:szCs w:val="24"/>
              </w:rPr>
            </w:pPr>
            <w:bookmarkStart w:id="1" w:name="dhead"/>
            <w:r w:rsidRPr="00876772">
              <w:rPr>
                <w:rFonts w:ascii="Verdana" w:hAnsi="Verdana"/>
                <w:b/>
                <w:smallCaps/>
                <w:sz w:val="20"/>
              </w:rPr>
              <w:t>UNIÓN INTERNACIONAL DE TELECOMUNICACIONES</w:t>
            </w:r>
          </w:p>
        </w:tc>
        <w:tc>
          <w:tcPr>
            <w:tcW w:w="3119" w:type="dxa"/>
            <w:tcBorders>
              <w:bottom w:val="single" w:sz="12" w:space="0" w:color="auto"/>
            </w:tcBorders>
          </w:tcPr>
          <w:p w:rsidR="0090121B" w:rsidRPr="00876772" w:rsidRDefault="0090121B" w:rsidP="003650E1">
            <w:pPr>
              <w:spacing w:before="0" w:line="240" w:lineRule="atLeast"/>
              <w:rPr>
                <w:rFonts w:ascii="Verdana" w:hAnsi="Verdana"/>
                <w:szCs w:val="24"/>
              </w:rPr>
            </w:pPr>
          </w:p>
        </w:tc>
      </w:tr>
      <w:tr w:rsidR="0090121B" w:rsidRPr="00876772" w:rsidTr="003650E1">
        <w:trPr>
          <w:cantSplit/>
        </w:trPr>
        <w:tc>
          <w:tcPr>
            <w:tcW w:w="6910" w:type="dxa"/>
            <w:gridSpan w:val="2"/>
            <w:tcBorders>
              <w:top w:val="single" w:sz="12" w:space="0" w:color="auto"/>
            </w:tcBorders>
          </w:tcPr>
          <w:p w:rsidR="0090121B" w:rsidRPr="00876772" w:rsidRDefault="0090121B" w:rsidP="003650E1">
            <w:pPr>
              <w:spacing w:before="0" w:after="48" w:line="240" w:lineRule="atLeast"/>
              <w:rPr>
                <w:rFonts w:ascii="Verdana" w:hAnsi="Verdana"/>
                <w:b/>
                <w:smallCaps/>
                <w:sz w:val="20"/>
              </w:rPr>
            </w:pPr>
          </w:p>
        </w:tc>
        <w:tc>
          <w:tcPr>
            <w:tcW w:w="3119" w:type="dxa"/>
            <w:tcBorders>
              <w:top w:val="single" w:sz="12" w:space="0" w:color="auto"/>
            </w:tcBorders>
          </w:tcPr>
          <w:p w:rsidR="0090121B" w:rsidRPr="00876772" w:rsidRDefault="0090121B" w:rsidP="003650E1">
            <w:pPr>
              <w:spacing w:before="0" w:line="240" w:lineRule="atLeast"/>
              <w:rPr>
                <w:rFonts w:ascii="Verdana" w:hAnsi="Verdana"/>
                <w:sz w:val="20"/>
              </w:rPr>
            </w:pPr>
          </w:p>
        </w:tc>
      </w:tr>
      <w:tr w:rsidR="0090121B" w:rsidRPr="00876772" w:rsidTr="003650E1">
        <w:trPr>
          <w:cantSplit/>
        </w:trPr>
        <w:tc>
          <w:tcPr>
            <w:tcW w:w="6740" w:type="dxa"/>
            <w:shd w:val="clear" w:color="auto" w:fill="auto"/>
          </w:tcPr>
          <w:p w:rsidR="0090121B" w:rsidRPr="00876772" w:rsidRDefault="00AE658F" w:rsidP="003650E1">
            <w:pPr>
              <w:spacing w:before="0"/>
              <w:rPr>
                <w:rFonts w:ascii="Verdana" w:hAnsi="Verdana"/>
                <w:b/>
                <w:sz w:val="20"/>
              </w:rPr>
            </w:pPr>
            <w:r w:rsidRPr="00876772">
              <w:rPr>
                <w:rFonts w:ascii="Verdana" w:hAnsi="Verdana"/>
                <w:b/>
                <w:sz w:val="20"/>
              </w:rPr>
              <w:t>SESIÓN PLENARIA</w:t>
            </w:r>
          </w:p>
        </w:tc>
        <w:tc>
          <w:tcPr>
            <w:tcW w:w="3289" w:type="dxa"/>
            <w:gridSpan w:val="2"/>
            <w:shd w:val="clear" w:color="auto" w:fill="auto"/>
          </w:tcPr>
          <w:p w:rsidR="0090121B" w:rsidRPr="00876772" w:rsidRDefault="00AE658F" w:rsidP="003650E1">
            <w:pPr>
              <w:spacing w:before="0"/>
              <w:rPr>
                <w:rFonts w:ascii="Verdana" w:hAnsi="Verdana"/>
                <w:sz w:val="20"/>
              </w:rPr>
            </w:pPr>
            <w:r w:rsidRPr="00876772">
              <w:rPr>
                <w:rFonts w:ascii="Verdana" w:eastAsia="SimSun" w:hAnsi="Verdana" w:cs="Traditional Arabic"/>
                <w:b/>
                <w:sz w:val="20"/>
              </w:rPr>
              <w:t>Addéndum 7 al</w:t>
            </w:r>
            <w:r w:rsidRPr="00876772">
              <w:rPr>
                <w:rFonts w:ascii="Verdana" w:eastAsia="SimSun" w:hAnsi="Verdana" w:cs="Traditional Arabic"/>
                <w:b/>
                <w:sz w:val="20"/>
              </w:rPr>
              <w:br/>
              <w:t>Documento 130(Add.22)</w:t>
            </w:r>
            <w:r w:rsidR="0090121B" w:rsidRPr="00876772">
              <w:rPr>
                <w:rFonts w:ascii="Verdana" w:hAnsi="Verdana"/>
                <w:b/>
                <w:sz w:val="20"/>
              </w:rPr>
              <w:t>-</w:t>
            </w:r>
            <w:r w:rsidRPr="00876772">
              <w:rPr>
                <w:rFonts w:ascii="Verdana" w:hAnsi="Verdana"/>
                <w:b/>
                <w:sz w:val="20"/>
              </w:rPr>
              <w:t>S</w:t>
            </w:r>
          </w:p>
        </w:tc>
      </w:tr>
      <w:bookmarkEnd w:id="1"/>
      <w:tr w:rsidR="000A5B9A" w:rsidRPr="00876772" w:rsidTr="003650E1">
        <w:trPr>
          <w:cantSplit/>
        </w:trPr>
        <w:tc>
          <w:tcPr>
            <w:tcW w:w="6741" w:type="dxa"/>
            <w:shd w:val="clear" w:color="auto" w:fill="auto"/>
          </w:tcPr>
          <w:p w:rsidR="000A5B9A" w:rsidRPr="00876772" w:rsidRDefault="000A5B9A" w:rsidP="003650E1">
            <w:pPr>
              <w:spacing w:before="0" w:after="48"/>
              <w:rPr>
                <w:rFonts w:ascii="Verdana" w:hAnsi="Verdana"/>
                <w:b/>
                <w:smallCaps/>
                <w:sz w:val="20"/>
              </w:rPr>
            </w:pPr>
          </w:p>
        </w:tc>
        <w:tc>
          <w:tcPr>
            <w:tcW w:w="3289" w:type="dxa"/>
            <w:gridSpan w:val="2"/>
            <w:shd w:val="clear" w:color="auto" w:fill="auto"/>
          </w:tcPr>
          <w:p w:rsidR="000A5B9A" w:rsidRPr="00876772" w:rsidRDefault="000A5B9A" w:rsidP="003650E1">
            <w:pPr>
              <w:spacing w:before="0"/>
              <w:rPr>
                <w:rFonts w:ascii="Verdana" w:hAnsi="Verdana"/>
                <w:b/>
                <w:sz w:val="20"/>
              </w:rPr>
            </w:pPr>
            <w:r w:rsidRPr="00876772">
              <w:rPr>
                <w:rFonts w:ascii="Verdana" w:hAnsi="Verdana"/>
                <w:b/>
                <w:sz w:val="20"/>
              </w:rPr>
              <w:t>16 de octubre de 2015</w:t>
            </w:r>
          </w:p>
        </w:tc>
      </w:tr>
      <w:tr w:rsidR="000A5B9A" w:rsidRPr="00876772" w:rsidTr="003650E1">
        <w:trPr>
          <w:cantSplit/>
        </w:trPr>
        <w:tc>
          <w:tcPr>
            <w:tcW w:w="6741" w:type="dxa"/>
          </w:tcPr>
          <w:p w:rsidR="000A5B9A" w:rsidRPr="00876772" w:rsidRDefault="000A5B9A" w:rsidP="003650E1">
            <w:pPr>
              <w:spacing w:before="0" w:after="48"/>
              <w:rPr>
                <w:rFonts w:ascii="Verdana" w:hAnsi="Verdana"/>
                <w:b/>
                <w:smallCaps/>
                <w:sz w:val="20"/>
              </w:rPr>
            </w:pPr>
          </w:p>
        </w:tc>
        <w:tc>
          <w:tcPr>
            <w:tcW w:w="3289" w:type="dxa"/>
            <w:gridSpan w:val="2"/>
          </w:tcPr>
          <w:p w:rsidR="000A5B9A" w:rsidRPr="00876772" w:rsidRDefault="000A5B9A" w:rsidP="003650E1">
            <w:pPr>
              <w:spacing w:before="0"/>
              <w:rPr>
                <w:rFonts w:ascii="Verdana" w:hAnsi="Verdana"/>
                <w:b/>
                <w:sz w:val="20"/>
              </w:rPr>
            </w:pPr>
            <w:r w:rsidRPr="00876772">
              <w:rPr>
                <w:rFonts w:ascii="Verdana" w:hAnsi="Verdana"/>
                <w:b/>
                <w:sz w:val="20"/>
              </w:rPr>
              <w:t>Original: inglés</w:t>
            </w:r>
          </w:p>
        </w:tc>
      </w:tr>
      <w:tr w:rsidR="000A5B9A" w:rsidRPr="00876772" w:rsidTr="003650E1">
        <w:trPr>
          <w:cantSplit/>
        </w:trPr>
        <w:tc>
          <w:tcPr>
            <w:tcW w:w="10029" w:type="dxa"/>
            <w:gridSpan w:val="3"/>
          </w:tcPr>
          <w:p w:rsidR="000A5B9A" w:rsidRPr="00876772" w:rsidRDefault="000A5B9A" w:rsidP="003650E1">
            <w:pPr>
              <w:spacing w:before="0"/>
              <w:rPr>
                <w:rFonts w:ascii="Verdana" w:hAnsi="Verdana"/>
                <w:b/>
                <w:sz w:val="20"/>
              </w:rPr>
            </w:pPr>
          </w:p>
        </w:tc>
      </w:tr>
      <w:tr w:rsidR="000A5B9A" w:rsidRPr="00876772" w:rsidTr="003650E1">
        <w:trPr>
          <w:cantSplit/>
        </w:trPr>
        <w:tc>
          <w:tcPr>
            <w:tcW w:w="10029" w:type="dxa"/>
            <w:gridSpan w:val="3"/>
          </w:tcPr>
          <w:p w:rsidR="000A5B9A" w:rsidRPr="00876772" w:rsidRDefault="000A5B9A" w:rsidP="003650E1">
            <w:pPr>
              <w:pStyle w:val="Source"/>
            </w:pPr>
            <w:bookmarkStart w:id="2" w:name="dsource" w:colFirst="0" w:colLast="0"/>
            <w:r w:rsidRPr="00876772">
              <w:t>Angola (República de)/Botswana (República de)/Lesotho (Reino de)/</w:t>
            </w:r>
            <w:r w:rsidR="003650E1">
              <w:br/>
            </w:r>
            <w:r w:rsidRPr="00876772">
              <w:t>Madagascar (República de)/Malawi/Mauricio (República de)/</w:t>
            </w:r>
            <w:r w:rsidR="003650E1">
              <w:br/>
            </w:r>
            <w:r w:rsidRPr="00876772">
              <w:t>Mozambique (República de)/Namibia (República de)/</w:t>
            </w:r>
            <w:r w:rsidR="003650E1">
              <w:br/>
            </w:r>
            <w:r w:rsidRPr="00876772">
              <w:t>República Democrática del Congo/Seychelles (República de)/</w:t>
            </w:r>
            <w:r w:rsidR="003650E1">
              <w:br/>
            </w:r>
            <w:r w:rsidRPr="00876772">
              <w:t>Sudafricana (República)/Swazilandia (Reino de)/</w:t>
            </w:r>
            <w:r w:rsidR="003650E1">
              <w:br/>
            </w:r>
            <w:r w:rsidRPr="00876772">
              <w:t>Tanzanía (República Unida de)/Zambia (República de)/</w:t>
            </w:r>
            <w:r w:rsidR="003650E1">
              <w:br/>
            </w:r>
            <w:r w:rsidRPr="00876772">
              <w:t>Zimbabwe (República de)</w:t>
            </w:r>
          </w:p>
        </w:tc>
      </w:tr>
      <w:tr w:rsidR="000A5B9A" w:rsidRPr="00876772" w:rsidTr="003650E1">
        <w:trPr>
          <w:cantSplit/>
        </w:trPr>
        <w:tc>
          <w:tcPr>
            <w:tcW w:w="10029" w:type="dxa"/>
            <w:gridSpan w:val="3"/>
          </w:tcPr>
          <w:p w:rsidR="000A5B9A" w:rsidRPr="00876772" w:rsidRDefault="002C5DA8" w:rsidP="003650E1">
            <w:pPr>
              <w:pStyle w:val="Title1"/>
            </w:pPr>
            <w:bookmarkStart w:id="3" w:name="dtitle1" w:colFirst="0" w:colLast="0"/>
            <w:bookmarkEnd w:id="2"/>
            <w:r w:rsidRPr="00876772">
              <w:t>PROPUESTAS PARA LOS TRABAJOS DE LA CONFERENCIA</w:t>
            </w:r>
          </w:p>
        </w:tc>
      </w:tr>
      <w:tr w:rsidR="000A5B9A" w:rsidRPr="00876772" w:rsidTr="003650E1">
        <w:trPr>
          <w:cantSplit/>
        </w:trPr>
        <w:tc>
          <w:tcPr>
            <w:tcW w:w="10029" w:type="dxa"/>
            <w:gridSpan w:val="3"/>
          </w:tcPr>
          <w:p w:rsidR="000A5B9A" w:rsidRPr="00876772" w:rsidRDefault="000A5B9A" w:rsidP="003650E1">
            <w:pPr>
              <w:pStyle w:val="Title2"/>
            </w:pPr>
            <w:bookmarkStart w:id="4" w:name="dtitle2" w:colFirst="0" w:colLast="0"/>
            <w:bookmarkEnd w:id="3"/>
          </w:p>
        </w:tc>
      </w:tr>
      <w:tr w:rsidR="000A5B9A" w:rsidRPr="00876772" w:rsidTr="003650E1">
        <w:trPr>
          <w:cantSplit/>
        </w:trPr>
        <w:tc>
          <w:tcPr>
            <w:tcW w:w="10029" w:type="dxa"/>
            <w:gridSpan w:val="3"/>
          </w:tcPr>
          <w:p w:rsidR="000A5B9A" w:rsidRPr="00876772" w:rsidRDefault="000A5B9A" w:rsidP="003650E1">
            <w:pPr>
              <w:pStyle w:val="Agendaitem"/>
            </w:pPr>
            <w:bookmarkStart w:id="5" w:name="dtitle3" w:colFirst="0" w:colLast="0"/>
            <w:bookmarkEnd w:id="4"/>
            <w:r w:rsidRPr="00876772">
              <w:t>Punto 9.1(9.1.7) del orden del día</w:t>
            </w:r>
          </w:p>
        </w:tc>
      </w:tr>
      <w:bookmarkEnd w:id="5"/>
    </w:tbl>
    <w:p w:rsidR="001C0E40" w:rsidRPr="00876772" w:rsidRDefault="003650E1" w:rsidP="003650E1"/>
    <w:p w:rsidR="006C20F8" w:rsidRPr="00876772" w:rsidRDefault="00876772" w:rsidP="003650E1">
      <w:r w:rsidRPr="00876772">
        <w:t>9</w:t>
      </w:r>
      <w:r w:rsidRPr="00876772">
        <w:tab/>
        <w:t>examinar y aprobar el Informe del Director de la Oficina de Radiocomunicaciones, de conformidad con el Artículo 7 del Convenio:</w:t>
      </w:r>
    </w:p>
    <w:p w:rsidR="001C0E40" w:rsidRPr="00876772" w:rsidRDefault="00876772" w:rsidP="003650E1">
      <w:r w:rsidRPr="00876772">
        <w:t>9.1</w:t>
      </w:r>
      <w:r w:rsidRPr="00876772">
        <w:tab/>
        <w:t>sobre las actividades del Sector de Radiocomunicaciones desde la CMR-12;</w:t>
      </w:r>
    </w:p>
    <w:p w:rsidR="001C0E40" w:rsidRPr="00876772" w:rsidRDefault="00876772" w:rsidP="003650E1">
      <w:r w:rsidRPr="00876772">
        <w:t xml:space="preserve">9.1(9.1.7) </w:t>
      </w:r>
      <w:r w:rsidRPr="00876772">
        <w:tab/>
        <w:t xml:space="preserve">Resolución </w:t>
      </w:r>
      <w:r w:rsidRPr="00876772">
        <w:rPr>
          <w:b/>
          <w:bCs/>
        </w:rPr>
        <w:t>647 (Rev.CMR-12)</w:t>
      </w:r>
      <w:r w:rsidRPr="00876772">
        <w:t xml:space="preserve"> - Directrices sobre gestión del espectro para radiocomunicaciones de emergencia y operaciones de socorro en caso de catástrofe</w:t>
      </w:r>
    </w:p>
    <w:p w:rsidR="00AA2A57" w:rsidRPr="00876772" w:rsidRDefault="00AA2A57" w:rsidP="003650E1">
      <w:pPr>
        <w:pStyle w:val="Headingb"/>
      </w:pPr>
      <w:r w:rsidRPr="00876772">
        <w:t>Introducción</w:t>
      </w:r>
    </w:p>
    <w:p w:rsidR="00AA2A57" w:rsidRPr="00876772" w:rsidRDefault="00AA2A57" w:rsidP="003650E1">
      <w:r w:rsidRPr="00876772">
        <w:t>La Resolución 647 (Rev.CMR-12) trata de las radiocomunicaciones de emergencia y en caso de catástrofe. La RPC15-1 denominó tema 9.1.7 de punto 9.1 de orden del dí</w:t>
      </w:r>
      <w:r w:rsidR="003650E1">
        <w:t>a los estudios sobre este tema.</w:t>
      </w:r>
      <w:bookmarkStart w:id="6" w:name="_GoBack"/>
      <w:bookmarkEnd w:id="6"/>
    </w:p>
    <w:p w:rsidR="00AA2A57" w:rsidRPr="00876772" w:rsidRDefault="00AA2A57" w:rsidP="003650E1">
      <w:r w:rsidRPr="00876772">
        <w:t>Entre otras cosas, y de acuerdo con la Resolución, en el Informe del Director abordan los siguientes puntos:</w:t>
      </w:r>
    </w:p>
    <w:p w:rsidR="00AA2A57" w:rsidRPr="00876772" w:rsidRDefault="00AA2A57" w:rsidP="003650E1">
      <w:pPr>
        <w:pStyle w:val="enumlev1"/>
      </w:pPr>
      <w:r w:rsidRPr="00876772">
        <w:t>–</w:t>
      </w:r>
      <w:r w:rsidRPr="00876772">
        <w:tab/>
        <w:t>resuelve alentar a las administraciones a que comuniquen a la BR, a la mayor brevedad posible, las frecuencias que podrían utilizarse en situaciones de emergencia y en operaciones de socorro, y reiterar a las administraciones la importancia que reviste mantener la disponibilidad de frecuencias para que sean utilizadas en las primeras etapas de intervención de la asistencia humanitaria en las operaciones de socorro en caso de catástrofe; e</w:t>
      </w:r>
    </w:p>
    <w:p w:rsidR="00AA2A57" w:rsidRPr="00876772" w:rsidRDefault="00AA2A57" w:rsidP="003650E1">
      <w:pPr>
        <w:pStyle w:val="enumlev1"/>
      </w:pPr>
      <w:r w:rsidRPr="00876772">
        <w:lastRenderedPageBreak/>
        <w:t>–</w:t>
      </w:r>
      <w:r w:rsidRPr="00876772">
        <w:tab/>
        <w:t>invita al UIT-R a realizar con carácter urgente los estudios necesarios para la formulación de directrices adecuadas para la gestión del espectro aplicables a las operaciones de emergencia y de socorro en caso de catástrofe.</w:t>
      </w:r>
    </w:p>
    <w:p w:rsidR="00AA2A57" w:rsidRPr="00876772" w:rsidRDefault="00AA2A57" w:rsidP="003650E1">
      <w:pPr>
        <w:pStyle w:val="Headingb"/>
      </w:pPr>
      <w:r w:rsidRPr="00876772">
        <w:t>Propuesta conjunta de varios países</w:t>
      </w:r>
    </w:p>
    <w:p w:rsidR="00AA2A57" w:rsidRPr="00876772" w:rsidRDefault="00AA2A57" w:rsidP="003650E1">
      <w:pPr>
        <w:tabs>
          <w:tab w:val="clear" w:pos="1134"/>
        </w:tabs>
      </w:pPr>
      <w:r w:rsidRPr="00876772">
        <w:t>Los Estados Miembros del SADC apoyan la Opción B del Informe de la RPC que sólo propone la modificación de la Resolución 647 (Rev. CMR-12).</w:t>
      </w:r>
    </w:p>
    <w:p w:rsidR="00AA2A57" w:rsidRPr="00876772" w:rsidRDefault="00AA2A57" w:rsidP="003650E1">
      <w:pPr>
        <w:pStyle w:val="Reasons"/>
      </w:pPr>
      <w:r w:rsidRPr="00876772">
        <w:rPr>
          <w:b/>
          <w:bCs/>
        </w:rPr>
        <w:t>Motivos</w:t>
      </w:r>
      <w:r w:rsidRPr="00876772">
        <w:t>: El UIT-R ha elaborado un manual así como Recomendaciones e Informes sobre directrices para la gestión del espectro aplicables a las operaciones de emergencia y de socorro en caso de catástrofe. Dado que se han elaborado directrices adicionales, resulta adecuado revisar la Resolución 647 (Rev. CMR-12) para reflejar la situación actual de la documentación disponible del</w:t>
      </w:r>
      <w:r w:rsidR="003650E1">
        <w:t> </w:t>
      </w:r>
      <w:r w:rsidRPr="00876772">
        <w:t>UIT-R y solamente elaborar documentación adicional cuando sea necesario.</w:t>
      </w:r>
    </w:p>
    <w:p w:rsidR="00AA2A57" w:rsidRPr="00876772" w:rsidRDefault="00AA2A57" w:rsidP="003650E1">
      <w:pPr>
        <w:pStyle w:val="Reasons"/>
      </w:pPr>
    </w:p>
    <w:p w:rsidR="00AA2A57" w:rsidRPr="00876772" w:rsidRDefault="00AA2A57" w:rsidP="003650E1">
      <w:pPr>
        <w:jc w:val="center"/>
      </w:pPr>
      <w:r w:rsidRPr="00876772">
        <w:t>______________</w:t>
      </w:r>
    </w:p>
    <w:sectPr w:rsidR="00AA2A57" w:rsidRPr="00876772">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650E1">
      <w:rPr>
        <w:noProof/>
      </w:rPr>
      <w:t>30.10.15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A2A57" w:rsidRDefault="00AA2A57" w:rsidP="00AA2A57">
    <w:pPr>
      <w:pStyle w:val="Footer"/>
      <w:rPr>
        <w:lang w:val="en-US"/>
      </w:rPr>
    </w:pPr>
    <w:r>
      <w:fldChar w:fldCharType="begin"/>
    </w:r>
    <w:r>
      <w:rPr>
        <w:lang w:val="en-US"/>
      </w:rPr>
      <w:instrText xml:space="preserve"> FILENAME \p  \* MERGEFORMAT </w:instrText>
    </w:r>
    <w:r>
      <w:fldChar w:fldCharType="separate"/>
    </w:r>
    <w:r>
      <w:rPr>
        <w:lang w:val="en-US"/>
      </w:rPr>
      <w:t>P:\ESP\ITU-R\CONF-R\CMR15\100\130ADD22ADD07S.docx</w:t>
    </w:r>
    <w:r>
      <w:fldChar w:fldCharType="end"/>
    </w:r>
    <w:r>
      <w:t xml:space="preserve"> (389052)</w:t>
    </w:r>
    <w:r>
      <w:rPr>
        <w:lang w:val="en-US"/>
      </w:rPr>
      <w:tab/>
    </w:r>
    <w:r>
      <w:fldChar w:fldCharType="begin"/>
    </w:r>
    <w:r>
      <w:instrText xml:space="preserve"> SAVEDATE \@ DD.MM.YY </w:instrText>
    </w:r>
    <w:r>
      <w:fldChar w:fldCharType="separate"/>
    </w:r>
    <w:r w:rsidR="003650E1">
      <w:t>30.10.15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AA2A57">
      <w:rPr>
        <w:lang w:val="en-US"/>
      </w:rPr>
      <w:t>P:\ESP\ITU-R\CONF-R\CMR15\100\130ADD22ADD07S.docx</w:t>
    </w:r>
    <w:r>
      <w:fldChar w:fldCharType="end"/>
    </w:r>
    <w:r w:rsidR="00AA2A57">
      <w:t xml:space="preserve"> (389052)</w:t>
    </w:r>
    <w:r>
      <w:rPr>
        <w:lang w:val="en-US"/>
      </w:rPr>
      <w:tab/>
    </w:r>
    <w:r>
      <w:fldChar w:fldCharType="begin"/>
    </w:r>
    <w:r>
      <w:instrText xml:space="preserve"> SAVEDATE \@ DD.MM.YY </w:instrText>
    </w:r>
    <w:r>
      <w:fldChar w:fldCharType="separate"/>
    </w:r>
    <w:r w:rsidR="003650E1">
      <w:t>30.10.15</w:t>
    </w:r>
    <w:r>
      <w:fldChar w:fldCharType="end"/>
    </w:r>
    <w:r>
      <w:rPr>
        <w:lang w:val="en-US"/>
      </w:rPr>
      <w:tab/>
    </w:r>
    <w:r>
      <w:fldChar w:fldCharType="begin"/>
    </w:r>
    <w:r>
      <w:instrText xml:space="preserve"> PRINTDATE \@ DD.MM.YY </w:instrText>
    </w:r>
    <w:r>
      <w:fldChar w:fldCharType="separate"/>
    </w:r>
    <w:r w:rsidR="0090121B">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650E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130(Add.22)(Add.7)-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C5DA8"/>
    <w:rsid w:val="002E701F"/>
    <w:rsid w:val="003248A9"/>
    <w:rsid w:val="00324FFA"/>
    <w:rsid w:val="0032680B"/>
    <w:rsid w:val="00363A65"/>
    <w:rsid w:val="003650E1"/>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76772"/>
    <w:rsid w:val="008E5AF2"/>
    <w:rsid w:val="0090121B"/>
    <w:rsid w:val="009144C9"/>
    <w:rsid w:val="0094091F"/>
    <w:rsid w:val="00973754"/>
    <w:rsid w:val="009C0BED"/>
    <w:rsid w:val="009E11EC"/>
    <w:rsid w:val="00A118DB"/>
    <w:rsid w:val="00A4450C"/>
    <w:rsid w:val="00AA2A57"/>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097C389-67D8-489E-A1CA-2A25B721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R15-WRC15-C-0130!A22-A7!MSW-S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F70042FE-4D7A-4382-A3B0-D71C366C9236}">
  <ds:schemaRefs>
    <ds:schemaRef ds:uri="http://purl.org/dc/dcmitype/"/>
    <ds:schemaRef ds:uri="http://purl.org/dc/elements/1.1/"/>
    <ds:schemaRef ds:uri="32a1a8c5-2265-4ebc-b7a0-2071e2c5c9b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6C62C83C-6D0A-48CD-A1D6-FFA938E0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383</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R15-WRC15-C-0130!A22-A7!MSW-S</vt:lpstr>
    </vt:vector>
  </TitlesOfParts>
  <Manager>Secretaría General - Pool</Manager>
  <Company>Unión Internacional de Telecomunicaciones (UIT)</Company>
  <LinksUpToDate>false</LinksUpToDate>
  <CharactersWithSpaces>2685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R15-WRC15-C-0130!A22-A7!MSW-S</dc:title>
  <dc:subject>Conferencia Mundial de Radiocomunicaciones - 2015</dc:subject>
  <dc:creator>Documents Proposals Manager (DPM)</dc:creator>
  <cp:keywords>DPM_v5.2015.10.290_prod</cp:keywords>
  <dc:description/>
  <cp:lastModifiedBy>spanish</cp:lastModifiedBy>
  <cp:revision>5</cp:revision>
  <cp:lastPrinted>2003-02-19T20:20:00Z</cp:lastPrinted>
  <dcterms:created xsi:type="dcterms:W3CDTF">2015-10-30T21:48:00Z</dcterms:created>
  <dcterms:modified xsi:type="dcterms:W3CDTF">2015-10-30T23:19:00Z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