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7F29AE">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32E23E17" wp14:editId="2C74BDD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7F29AE">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7F29AE">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7F29AE">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1F2725">
            <w:pPr>
              <w:spacing w:before="0"/>
              <w:rPr>
                <w:rFonts w:ascii="Verdana" w:hAnsi="Verdana"/>
                <w:sz w:val="20"/>
              </w:rPr>
            </w:pPr>
            <w:r>
              <w:rPr>
                <w:rFonts w:ascii="Verdana" w:hAnsi="Verdana" w:cs="Traditional Arabic"/>
                <w:b/>
                <w:sz w:val="20"/>
              </w:rPr>
              <w:t>文件</w:t>
            </w:r>
            <w:r w:rsidR="007F29AE">
              <w:rPr>
                <w:rFonts w:ascii="Verdana" w:hAnsi="Verdana" w:cs="Traditional Arabic"/>
                <w:b/>
                <w:sz w:val="20"/>
              </w:rPr>
              <w:t xml:space="preserve"> 130</w:t>
            </w:r>
            <w:r w:rsidR="001F2725">
              <w:rPr>
                <w:rFonts w:ascii="Verdana" w:hAnsi="Verdana" w:cs="Traditional Arabic"/>
                <w:b/>
                <w:sz w:val="20"/>
              </w:rPr>
              <w:t>(Add.22</w:t>
            </w:r>
            <w:r>
              <w:rPr>
                <w:rFonts w:ascii="Verdana" w:hAnsi="Verdana" w:cs="Traditional Arabic"/>
                <w:b/>
                <w:sz w:val="20"/>
              </w:rPr>
              <w:t>)(Add.</w:t>
            </w:r>
            <w:r w:rsidR="001F2725">
              <w:rPr>
                <w:rFonts w:ascii="Verdana" w:hAnsi="Verdana" w:cs="Traditional Arabic"/>
                <w:b/>
                <w:sz w:val="20"/>
              </w:rPr>
              <w:t>6</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7F29AE">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7F29AE">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000F2CB1">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000F2CB1">
              <w:rPr>
                <w:lang w:eastAsia="zh-CN"/>
              </w:rPr>
              <w:br/>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sidR="000F2CB1">
              <w:rPr>
                <w:lang w:eastAsia="zh-CN"/>
              </w:rPr>
              <w:br/>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000F2CB1">
              <w:rPr>
                <w:lang w:eastAsia="zh-CN"/>
              </w:rPr>
              <w:br/>
            </w:r>
            <w:r w:rsidRPr="000273B7">
              <w:rPr>
                <w:lang w:eastAsia="zh-CN"/>
              </w:rPr>
              <w:t>斯威士兰（王国）</w:t>
            </w:r>
            <w:r w:rsidRPr="000273B7">
              <w:rPr>
                <w:lang w:eastAsia="zh-CN"/>
              </w:rPr>
              <w:t>/</w:t>
            </w:r>
            <w:r w:rsidRPr="000273B7">
              <w:rPr>
                <w:lang w:eastAsia="zh-CN"/>
              </w:rPr>
              <w:t>坦桑尼亚（联合共和国）</w:t>
            </w:r>
            <w:r w:rsidRPr="000273B7">
              <w:rPr>
                <w:lang w:eastAsia="zh-CN"/>
              </w:rPr>
              <w:t>/</w:t>
            </w:r>
            <w:r w:rsidR="000F2CB1">
              <w:rPr>
                <w:lang w:eastAsia="zh-CN"/>
              </w:rPr>
              <w:br/>
            </w:r>
            <w:r w:rsidRPr="000273B7">
              <w:rPr>
                <w:lang w:eastAsia="zh-CN"/>
              </w:rPr>
              <w:t>赞比亚（共和国）</w:t>
            </w:r>
            <w:r w:rsidRPr="000273B7">
              <w:rPr>
                <w:lang w:eastAsia="zh-CN"/>
              </w:rPr>
              <w:t>/</w:t>
            </w:r>
            <w:r w:rsidRPr="000273B7">
              <w:rPr>
                <w:lang w:eastAsia="zh-CN"/>
              </w:rPr>
              <w:t>津巴布韦（共和国）</w:t>
            </w:r>
          </w:p>
        </w:tc>
      </w:tr>
      <w:tr w:rsidR="008221A4">
        <w:trPr>
          <w:cantSplit/>
        </w:trPr>
        <w:tc>
          <w:tcPr>
            <w:tcW w:w="10031" w:type="dxa"/>
            <w:gridSpan w:val="2"/>
          </w:tcPr>
          <w:p w:rsidR="008221A4" w:rsidRDefault="00AD759B" w:rsidP="008221A4">
            <w:pPr>
              <w:pStyle w:val="Title1"/>
              <w:rPr>
                <w:lang w:eastAsia="zh-CN"/>
              </w:rPr>
            </w:pPr>
            <w:bookmarkStart w:id="5" w:name="dtitle1" w:colFirst="0" w:colLast="0"/>
            <w:bookmarkEnd w:id="4"/>
            <w:r>
              <w:rPr>
                <w:rFonts w:hint="eastAsia"/>
                <w:lang w:eastAsia="zh-CN"/>
              </w:rPr>
              <w:t>有关大会</w:t>
            </w:r>
            <w:r>
              <w:rPr>
                <w:lang w:eastAsia="zh-CN"/>
              </w:rPr>
              <w:t>的</w:t>
            </w:r>
            <w:r>
              <w:rPr>
                <w:rFonts w:hint="eastAsia"/>
                <w:lang w:eastAsia="zh-CN"/>
              </w:rPr>
              <w:t>工作</w:t>
            </w:r>
            <w:r>
              <w:rPr>
                <w:lang w:eastAsia="zh-CN"/>
              </w:rPr>
              <w:t>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9.1(9.1.6)</w:t>
            </w:r>
          </w:p>
        </w:tc>
      </w:tr>
    </w:tbl>
    <w:bookmarkEnd w:id="7"/>
    <w:p w:rsidR="008B60D0" w:rsidRPr="00676FBA" w:rsidRDefault="002076EA" w:rsidP="00965FC7">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2076EA"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2076EA" w:rsidP="0018244A">
      <w:pPr>
        <w:rPr>
          <w:lang w:eastAsia="zh-CN"/>
        </w:rPr>
      </w:pPr>
      <w:r w:rsidRPr="009C33AA">
        <w:rPr>
          <w:lang w:eastAsia="zh-CN"/>
        </w:rPr>
        <w:t>9.1</w:t>
      </w:r>
      <w:r>
        <w:rPr>
          <w:lang w:eastAsia="zh-CN"/>
        </w:rPr>
        <w:t>(9.1.6)</w:t>
      </w:r>
      <w:r w:rsidRPr="009C33AA">
        <w:rPr>
          <w:b/>
          <w:lang w:eastAsia="zh-CN"/>
        </w:rPr>
        <w:tab/>
      </w:r>
      <w:r>
        <w:rPr>
          <w:rFonts w:hint="eastAsia"/>
          <w:lang w:eastAsia="zh-CN"/>
        </w:rPr>
        <w:t>第</w:t>
      </w:r>
      <w:r w:rsidRPr="001D720F">
        <w:rPr>
          <w:rFonts w:hint="eastAsia"/>
          <w:b/>
          <w:bCs/>
          <w:lang w:eastAsia="zh-CN"/>
        </w:rPr>
        <w:t>957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Pr>
          <w:rFonts w:hint="eastAsia"/>
          <w:lang w:eastAsia="zh-CN"/>
        </w:rPr>
        <w:t>–</w:t>
      </w:r>
      <w:r>
        <w:rPr>
          <w:rFonts w:hint="eastAsia"/>
          <w:lang w:eastAsia="zh-CN"/>
        </w:rPr>
        <w:t xml:space="preserve"> </w:t>
      </w:r>
      <w:r>
        <w:rPr>
          <w:rFonts w:hint="eastAsia"/>
          <w:lang w:eastAsia="zh-CN"/>
        </w:rPr>
        <w:t>旨在审议固定业务、固定电台和移动电台定义的研究</w:t>
      </w:r>
    </w:p>
    <w:p w:rsidR="00AD759B" w:rsidRDefault="00AD759B" w:rsidP="00AD759B">
      <w:pPr>
        <w:rPr>
          <w:lang w:eastAsia="zh-CN"/>
        </w:rPr>
      </w:pPr>
    </w:p>
    <w:p w:rsidR="00AD759B" w:rsidRPr="004C2DD5" w:rsidRDefault="00AD759B" w:rsidP="00AD759B">
      <w:pPr>
        <w:pStyle w:val="Headingb"/>
        <w:rPr>
          <w:lang w:eastAsia="zh-CN"/>
        </w:rPr>
      </w:pPr>
      <w:r>
        <w:rPr>
          <w:rFonts w:hint="eastAsia"/>
          <w:lang w:eastAsia="zh-CN"/>
        </w:rPr>
        <w:t>引言</w:t>
      </w:r>
    </w:p>
    <w:p w:rsidR="00AD759B" w:rsidRPr="00CD70A0" w:rsidRDefault="00AD759B" w:rsidP="00CD70A0">
      <w:pPr>
        <w:ind w:firstLineChars="200" w:firstLine="480"/>
        <w:rPr>
          <w:lang w:eastAsia="zh-CN"/>
        </w:rPr>
      </w:pPr>
      <w:r w:rsidRPr="00CD70A0">
        <w:rPr>
          <w:rFonts w:hint="eastAsia"/>
          <w:lang w:eastAsia="zh-CN"/>
        </w:rPr>
        <w:t>考虑到</w:t>
      </w:r>
      <w:r w:rsidRPr="00CD70A0">
        <w:rPr>
          <w:lang w:eastAsia="zh-CN"/>
        </w:rPr>
        <w:t>某些应用目前所处的技术环境与现有定义订立之初大为不</w:t>
      </w:r>
      <w:r w:rsidRPr="00CD70A0">
        <w:rPr>
          <w:rFonts w:hint="eastAsia"/>
          <w:lang w:eastAsia="zh-CN"/>
        </w:rPr>
        <w:t>同，决定</w:t>
      </w:r>
    </w:p>
    <w:p w:rsidR="00AD759B" w:rsidRPr="00CD70A0" w:rsidRDefault="00AD759B" w:rsidP="00CD70A0">
      <w:pPr>
        <w:pStyle w:val="enumlev1"/>
        <w:rPr>
          <w:lang w:eastAsia="zh-CN"/>
        </w:rPr>
      </w:pPr>
      <w:r w:rsidRPr="00CD70A0">
        <w:rPr>
          <w:i/>
          <w:iCs/>
          <w:lang w:eastAsia="zh-CN"/>
        </w:rPr>
        <w:t>a)</w:t>
      </w:r>
      <w:r w:rsidRPr="00CD70A0">
        <w:rPr>
          <w:lang w:eastAsia="zh-CN"/>
        </w:rPr>
        <w:tab/>
      </w:r>
      <w:r w:rsidRPr="00CD70A0">
        <w:rPr>
          <w:rFonts w:hint="eastAsia"/>
          <w:lang w:eastAsia="zh-CN"/>
        </w:rPr>
        <w:t>审议《无线电规则》第</w:t>
      </w:r>
      <w:r w:rsidRPr="00CD70A0">
        <w:rPr>
          <w:lang w:eastAsia="zh-CN"/>
        </w:rPr>
        <w:t>1</w:t>
      </w:r>
      <w:r w:rsidRPr="00CD70A0">
        <w:rPr>
          <w:rFonts w:hint="eastAsia"/>
          <w:lang w:eastAsia="zh-CN"/>
        </w:rPr>
        <w:t>条所含固定业务、固定台站和移动台站的定义，以便进行可能的修改；</w:t>
      </w:r>
    </w:p>
    <w:p w:rsidR="00AD759B" w:rsidRPr="00CD70A0" w:rsidRDefault="00AD759B" w:rsidP="00CD70A0">
      <w:pPr>
        <w:pStyle w:val="enumlev1"/>
        <w:rPr>
          <w:lang w:eastAsia="zh-CN"/>
        </w:rPr>
      </w:pPr>
      <w:r w:rsidRPr="00CD70A0">
        <w:rPr>
          <w:i/>
          <w:iCs/>
          <w:lang w:eastAsia="zh-CN"/>
        </w:rPr>
        <w:t>b)</w:t>
      </w:r>
      <w:r w:rsidRPr="00CD70A0">
        <w:rPr>
          <w:lang w:eastAsia="zh-CN"/>
        </w:rPr>
        <w:tab/>
      </w:r>
      <w:r w:rsidRPr="00CD70A0">
        <w:rPr>
          <w:rFonts w:hint="eastAsia"/>
          <w:lang w:eastAsia="zh-CN"/>
        </w:rPr>
        <w:t>研究做出决议</w:t>
      </w:r>
      <w:r w:rsidRPr="00CD70A0">
        <w:rPr>
          <w:lang w:eastAsia="zh-CN"/>
        </w:rPr>
        <w:t>1</w:t>
      </w:r>
      <w:r w:rsidRPr="00CD70A0">
        <w:rPr>
          <w:rFonts w:hint="eastAsia"/>
          <w:lang w:eastAsia="zh-CN"/>
        </w:rPr>
        <w:t>所述定义的可能修改对《无线电规则》的规则程序（协调、通知和登记）的潜在影响以及对目前频率指配和其它业务的影响。</w:t>
      </w:r>
    </w:p>
    <w:p w:rsidR="00622560" w:rsidRDefault="00AD759B" w:rsidP="00965FC7">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F6FAF" w:rsidRDefault="002076EA">
      <w:pPr>
        <w:pStyle w:val="Proposal"/>
        <w:rPr>
          <w:lang w:eastAsia="zh-CN"/>
        </w:rPr>
      </w:pPr>
      <w:r>
        <w:rPr>
          <w:lang w:eastAsia="zh-CN"/>
        </w:rPr>
        <w:lastRenderedPageBreak/>
        <w:tab/>
        <w:t>AGL/BOT/LSO/MDG/MWI/MAU/MOZ/NMB/COD/SEY/AFS/SWZ/TZA/ZMB/</w:t>
      </w:r>
      <w:r w:rsidR="00965FC7">
        <w:rPr>
          <w:lang w:eastAsia="zh-CN"/>
        </w:rPr>
        <w:br/>
      </w:r>
      <w:r w:rsidR="00965FC7">
        <w:rPr>
          <w:lang w:eastAsia="zh-CN"/>
        </w:rPr>
        <w:tab/>
      </w:r>
      <w:r>
        <w:rPr>
          <w:lang w:eastAsia="zh-CN"/>
        </w:rPr>
        <w:t>ZWE/130A22A6/1</w:t>
      </w:r>
    </w:p>
    <w:p w:rsidR="00AD759B" w:rsidRDefault="00AD759B" w:rsidP="00965FC7">
      <w:pPr>
        <w:ind w:firstLineChars="200" w:firstLine="480"/>
        <w:rPr>
          <w:lang w:val="en-US" w:eastAsia="zh-CN"/>
        </w:rPr>
      </w:pPr>
      <w:r>
        <w:rPr>
          <w:rFonts w:hint="eastAsia"/>
          <w:lang w:eastAsia="zh-CN"/>
        </w:rPr>
        <w:t>鉴于</w:t>
      </w:r>
      <w:r>
        <w:rPr>
          <w:rFonts w:hint="eastAsia"/>
          <w:lang w:val="en-US" w:eastAsia="zh-CN"/>
        </w:rPr>
        <w:t>有关</w:t>
      </w:r>
      <w:r w:rsidRPr="004B6BCF">
        <w:rPr>
          <w:rFonts w:asciiTheme="minorEastAsia" w:eastAsiaTheme="minorEastAsia" w:hAnsiTheme="minorEastAsia" w:hint="eastAsia"/>
          <w:lang w:eastAsia="zh-CN"/>
        </w:rPr>
        <w:t>固定业务</w:t>
      </w:r>
      <w:r w:rsidRPr="004B6BCF">
        <w:rPr>
          <w:rFonts w:asciiTheme="minorEastAsia" w:eastAsiaTheme="minorEastAsia" w:hAnsiTheme="minorEastAsia" w:hint="eastAsia"/>
          <w:lang w:val="en-US" w:eastAsia="zh-CN"/>
        </w:rPr>
        <w:t>、</w:t>
      </w:r>
      <w:r w:rsidRPr="004B6BCF">
        <w:rPr>
          <w:rFonts w:asciiTheme="minorEastAsia" w:eastAsiaTheme="minorEastAsia" w:hAnsiTheme="minorEastAsia" w:hint="eastAsia"/>
          <w:lang w:eastAsia="zh-CN"/>
        </w:rPr>
        <w:t>固定台站和移动台站</w:t>
      </w:r>
      <w:r>
        <w:rPr>
          <w:rFonts w:hint="eastAsia"/>
          <w:lang w:eastAsia="zh-CN"/>
        </w:rPr>
        <w:t>的现有定义能够可针对不断发展的技术做出调整，且当前的《无线电规则》能够提供充分的灵活性，</w:t>
      </w:r>
      <w:r>
        <w:rPr>
          <w:rFonts w:hint="eastAsia"/>
          <w:lang w:eastAsia="zh-CN"/>
        </w:rPr>
        <w:t>SADC</w:t>
      </w:r>
      <w:r>
        <w:rPr>
          <w:rFonts w:hint="eastAsia"/>
          <w:lang w:eastAsia="zh-CN"/>
        </w:rPr>
        <w:t>成员国建议不修改</w:t>
      </w:r>
      <w:r>
        <w:rPr>
          <w:rFonts w:hint="eastAsia"/>
          <w:lang w:val="en-US" w:eastAsia="zh-CN"/>
        </w:rPr>
        <w:t>《无线电规则》第</w:t>
      </w:r>
      <w:r>
        <w:rPr>
          <w:rFonts w:hint="eastAsia"/>
          <w:lang w:val="en-US" w:eastAsia="zh-CN"/>
        </w:rPr>
        <w:t>1</w:t>
      </w:r>
      <w:r>
        <w:rPr>
          <w:rFonts w:hint="eastAsia"/>
          <w:lang w:val="en-US" w:eastAsia="zh-CN"/>
        </w:rPr>
        <w:t>条</w:t>
      </w:r>
      <w:r>
        <w:rPr>
          <w:rFonts w:hint="eastAsia"/>
          <w:lang w:eastAsia="zh-CN"/>
        </w:rPr>
        <w:t>。</w:t>
      </w:r>
    </w:p>
    <w:p w:rsidR="00AD759B" w:rsidRPr="004C2DD5" w:rsidRDefault="00AD759B" w:rsidP="009A50FC">
      <w:pPr>
        <w:ind w:firstLineChars="200" w:firstLine="480"/>
        <w:rPr>
          <w:bCs/>
          <w:lang w:val="en-US" w:eastAsia="zh-CN"/>
        </w:rPr>
      </w:pPr>
      <w:r w:rsidRPr="004C2DD5">
        <w:rPr>
          <w:lang w:val="en-US" w:eastAsia="zh-CN"/>
        </w:rPr>
        <w:t>SADC</w:t>
      </w:r>
      <w:r>
        <w:rPr>
          <w:rFonts w:hint="eastAsia"/>
          <w:lang w:val="en-US" w:eastAsia="zh-CN"/>
        </w:rPr>
        <w:t>成员国还建议废止</w:t>
      </w:r>
      <w:r w:rsidR="009A50FC">
        <w:rPr>
          <w:rFonts w:hint="eastAsia"/>
          <w:lang w:val="en-US" w:eastAsia="zh-CN"/>
        </w:rPr>
        <w:t>第</w:t>
      </w:r>
      <w:r>
        <w:rPr>
          <w:rFonts w:hint="eastAsia"/>
          <w:lang w:val="en-US" w:eastAsia="zh-CN"/>
        </w:rPr>
        <w:t>957</w:t>
      </w:r>
      <w:r>
        <w:rPr>
          <w:rFonts w:hint="eastAsia"/>
          <w:lang w:val="en-US" w:eastAsia="zh-CN"/>
        </w:rPr>
        <w:t>号</w:t>
      </w:r>
      <w:bookmarkStart w:id="8" w:name="_GoBack"/>
      <w:bookmarkEnd w:id="8"/>
      <w:r>
        <w:rPr>
          <w:rFonts w:hint="eastAsia"/>
          <w:lang w:val="en-US" w:eastAsia="zh-CN"/>
        </w:rPr>
        <w:t>决议（</w:t>
      </w:r>
      <w:r>
        <w:rPr>
          <w:rFonts w:hint="eastAsia"/>
          <w:lang w:val="en-US" w:eastAsia="zh-CN"/>
        </w:rPr>
        <w:t>WRC-12</w:t>
      </w:r>
      <w:r>
        <w:rPr>
          <w:rFonts w:hint="eastAsia"/>
          <w:lang w:val="en-US" w:eastAsia="zh-CN"/>
        </w:rPr>
        <w:t>）。</w:t>
      </w:r>
    </w:p>
    <w:p w:rsidR="00AD759B" w:rsidRDefault="00AD759B" w:rsidP="00AD759B">
      <w:pPr>
        <w:pStyle w:val="Reasons"/>
        <w:rPr>
          <w:lang w:val="en-US" w:eastAsia="zh-CN"/>
        </w:rPr>
      </w:pPr>
      <w:r>
        <w:rPr>
          <w:rFonts w:hint="eastAsia"/>
          <w:b/>
          <w:lang w:val="en-US" w:eastAsia="zh-CN"/>
        </w:rPr>
        <w:t>理由：</w:t>
      </w:r>
    </w:p>
    <w:p w:rsidR="00AD759B" w:rsidRPr="00417865" w:rsidRDefault="00AD759B" w:rsidP="00417865">
      <w:pPr>
        <w:pStyle w:val="Reasons"/>
        <w:ind w:firstLineChars="200" w:firstLine="480"/>
        <w:rPr>
          <w:lang w:eastAsia="zh-CN"/>
        </w:rPr>
      </w:pPr>
      <w:r w:rsidRPr="00417865">
        <w:rPr>
          <w:rFonts w:hint="eastAsia"/>
          <w:lang w:eastAsia="zh-CN"/>
        </w:rPr>
        <w:t>根据对负责卫星和地面业务工作组研究结果的分析，</w:t>
      </w:r>
      <w:r w:rsidRPr="00417865">
        <w:rPr>
          <w:rFonts w:hint="eastAsia"/>
          <w:lang w:eastAsia="zh-CN"/>
        </w:rPr>
        <w:t>SADC</w:t>
      </w:r>
      <w:r w:rsidRPr="00417865">
        <w:rPr>
          <w:rFonts w:hint="eastAsia"/>
          <w:lang w:eastAsia="zh-CN"/>
        </w:rPr>
        <w:t>成员国一致认为</w:t>
      </w:r>
    </w:p>
    <w:p w:rsidR="00AD759B" w:rsidRDefault="00AD759B" w:rsidP="00AD759B">
      <w:pPr>
        <w:pStyle w:val="enumlev1"/>
        <w:rPr>
          <w:lang w:eastAsia="zh-CN"/>
        </w:rPr>
      </w:pPr>
      <w:r w:rsidRPr="007735E2">
        <w:rPr>
          <w:lang w:eastAsia="zh-CN"/>
        </w:rPr>
        <w:t>–</w:t>
      </w:r>
      <w:r w:rsidRPr="007735E2">
        <w:rPr>
          <w:lang w:eastAsia="zh-CN"/>
        </w:rPr>
        <w:tab/>
      </w:r>
      <w:r>
        <w:rPr>
          <w:rFonts w:hint="eastAsia"/>
          <w:lang w:eastAsia="zh-CN"/>
        </w:rPr>
        <w:t>有关对固定业务、固定台站和移动台站定义的修改建议已在前两届</w:t>
      </w:r>
      <w:r>
        <w:rPr>
          <w:rFonts w:hint="eastAsia"/>
          <w:lang w:eastAsia="zh-CN"/>
        </w:rPr>
        <w:t>WRC</w:t>
      </w:r>
      <w:r>
        <w:rPr>
          <w:rFonts w:hint="eastAsia"/>
          <w:lang w:eastAsia="zh-CN"/>
        </w:rPr>
        <w:t>上做过广泛讨论；</w:t>
      </w:r>
    </w:p>
    <w:p w:rsidR="00AD759B" w:rsidRDefault="00AD759B" w:rsidP="00AD759B">
      <w:pPr>
        <w:pStyle w:val="enumlev1"/>
        <w:rPr>
          <w:lang w:eastAsia="zh-CN"/>
        </w:rPr>
      </w:pPr>
      <w:r w:rsidRPr="007735E2">
        <w:rPr>
          <w:lang w:eastAsia="zh-CN"/>
        </w:rPr>
        <w:t>–</w:t>
      </w:r>
      <w:r w:rsidRPr="007735E2">
        <w:rPr>
          <w:lang w:eastAsia="zh-CN"/>
        </w:rPr>
        <w:tab/>
      </w:r>
      <w:r>
        <w:rPr>
          <w:rFonts w:hint="eastAsia"/>
          <w:lang w:eastAsia="zh-CN"/>
        </w:rPr>
        <w:t>这种修改将对各种卫星无线电业务或系统的操作带来负面影响，因为这种修改将完全改变空间业务的共用和干扰环境，使主管部门的卫星或地面业务之间的协调工作变得极为困难甚或无法进行；</w:t>
      </w:r>
      <w:r w:rsidR="00965FC7">
        <w:rPr>
          <w:rFonts w:hint="eastAsia"/>
          <w:lang w:eastAsia="zh-CN"/>
        </w:rPr>
        <w:t>和</w:t>
      </w:r>
    </w:p>
    <w:p w:rsidR="00DF6FAF" w:rsidRDefault="00AD759B" w:rsidP="00965FC7">
      <w:pPr>
        <w:pStyle w:val="enumlev1"/>
        <w:rPr>
          <w:lang w:eastAsia="zh-CN"/>
        </w:rPr>
      </w:pPr>
      <w:r w:rsidRPr="007735E2">
        <w:rPr>
          <w:lang w:eastAsia="zh-CN"/>
        </w:rPr>
        <w:t>–</w:t>
      </w:r>
      <w:r w:rsidRPr="007735E2">
        <w:rPr>
          <w:lang w:eastAsia="zh-CN"/>
        </w:rPr>
        <w:tab/>
      </w:r>
      <w:r>
        <w:rPr>
          <w:rFonts w:hint="eastAsia"/>
          <w:lang w:eastAsia="zh-CN"/>
        </w:rPr>
        <w:t>没有看到现有定义有何不妥。因此，没有必要对固定业务、固定台站和移动台站定义做出任何修改。</w:t>
      </w:r>
    </w:p>
    <w:p w:rsidR="00DF6FAF" w:rsidRDefault="002076EA">
      <w:pPr>
        <w:pStyle w:val="Proposal"/>
      </w:pPr>
      <w:r>
        <w:t>SUP</w:t>
      </w:r>
      <w:r>
        <w:tab/>
        <w:t>AGL/BOT/LSO/MDG/MWI/MAU/MOZ/NMB/COD/SEY/AFS/SWZ/TZA/ZMB/</w:t>
      </w:r>
      <w:r w:rsidR="00965FC7">
        <w:br/>
      </w:r>
      <w:r w:rsidR="00965FC7">
        <w:tab/>
      </w:r>
      <w:r>
        <w:t>ZWE/130A22A6/2</w:t>
      </w:r>
    </w:p>
    <w:p w:rsidR="007B4F46" w:rsidRDefault="002076EA" w:rsidP="00C0101A">
      <w:pPr>
        <w:pStyle w:val="ResNo"/>
        <w:rPr>
          <w:lang w:eastAsia="zh-CN"/>
        </w:rPr>
      </w:pPr>
      <w:bookmarkStart w:id="9" w:name="_Toc328053260"/>
      <w:r w:rsidRPr="00E547B8">
        <w:rPr>
          <w:rFonts w:hint="eastAsia"/>
          <w:lang w:eastAsia="zh-CN"/>
        </w:rPr>
        <w:t>第</w:t>
      </w:r>
      <w:r w:rsidRPr="00501F21">
        <w:rPr>
          <w:rStyle w:val="href"/>
          <w:rFonts w:hint="eastAsia"/>
          <w:lang w:eastAsia="zh-CN"/>
        </w:rPr>
        <w:t>957</w:t>
      </w:r>
      <w:r w:rsidRPr="00E547B8">
        <w:rPr>
          <w:rFonts w:hint="eastAsia"/>
          <w:lang w:eastAsia="zh-CN"/>
        </w:rPr>
        <w:t>号决议</w:t>
      </w:r>
      <w:r>
        <w:rPr>
          <w:rFonts w:hint="eastAsia"/>
          <w:lang w:eastAsia="zh-CN"/>
        </w:rPr>
        <w:t>（</w:t>
      </w:r>
      <w:r>
        <w:rPr>
          <w:lang w:eastAsia="zh-CN"/>
        </w:rPr>
        <w:t>WRC-12</w:t>
      </w:r>
      <w:r>
        <w:rPr>
          <w:rFonts w:hint="eastAsia"/>
          <w:lang w:eastAsia="zh-CN"/>
        </w:rPr>
        <w:t>）</w:t>
      </w:r>
      <w:bookmarkEnd w:id="9"/>
    </w:p>
    <w:p w:rsidR="007B4F46" w:rsidRDefault="002076EA" w:rsidP="0097454F">
      <w:pPr>
        <w:pStyle w:val="Restitle"/>
        <w:rPr>
          <w:lang w:eastAsia="zh-CN"/>
        </w:rPr>
      </w:pPr>
      <w:bookmarkStart w:id="10" w:name="_Toc328053261"/>
      <w:r>
        <w:rPr>
          <w:rFonts w:hint="eastAsia"/>
          <w:lang w:eastAsia="zh-CN"/>
        </w:rPr>
        <w:t>旨在审议</w:t>
      </w:r>
      <w:r w:rsidRPr="00847507">
        <w:rPr>
          <w:rFonts w:eastAsia="STKaiti" w:hint="eastAsia"/>
          <w:lang w:eastAsia="zh-CN"/>
        </w:rPr>
        <w:t>固定业务</w:t>
      </w:r>
      <w:r>
        <w:rPr>
          <w:rFonts w:hint="eastAsia"/>
          <w:lang w:eastAsia="zh-CN"/>
        </w:rPr>
        <w:t>、</w:t>
      </w:r>
      <w:r w:rsidRPr="00847507">
        <w:rPr>
          <w:rFonts w:eastAsia="STKaiti" w:hint="eastAsia"/>
          <w:lang w:eastAsia="zh-CN"/>
        </w:rPr>
        <w:t>固定</w:t>
      </w:r>
      <w:r>
        <w:rPr>
          <w:rFonts w:eastAsia="STKaiti" w:hint="eastAsia"/>
          <w:lang w:eastAsia="zh-CN"/>
        </w:rPr>
        <w:t>电台</w:t>
      </w:r>
      <w:r>
        <w:rPr>
          <w:rFonts w:hint="eastAsia"/>
          <w:lang w:eastAsia="zh-CN"/>
        </w:rPr>
        <w:t>和</w:t>
      </w:r>
      <w:r w:rsidRPr="00847507">
        <w:rPr>
          <w:rFonts w:eastAsia="STKaiti" w:hint="eastAsia"/>
          <w:lang w:eastAsia="zh-CN"/>
        </w:rPr>
        <w:t>移动</w:t>
      </w:r>
      <w:r>
        <w:rPr>
          <w:rFonts w:eastAsia="STKaiti" w:hint="eastAsia"/>
          <w:lang w:eastAsia="zh-CN"/>
        </w:rPr>
        <w:t>电台</w:t>
      </w:r>
      <w:r>
        <w:rPr>
          <w:rFonts w:hint="eastAsia"/>
          <w:lang w:eastAsia="zh-CN"/>
        </w:rPr>
        <w:t>定义的研究</w:t>
      </w:r>
      <w:bookmarkEnd w:id="10"/>
    </w:p>
    <w:p w:rsidR="00CD70A0" w:rsidRDefault="00CD70A0" w:rsidP="0032202E">
      <w:pPr>
        <w:pStyle w:val="Reasons"/>
        <w:rPr>
          <w:lang w:eastAsia="zh-CN"/>
        </w:rPr>
      </w:pPr>
    </w:p>
    <w:p w:rsidR="00CD70A0" w:rsidRDefault="00CD70A0">
      <w:pPr>
        <w:jc w:val="center"/>
      </w:pPr>
      <w:r>
        <w:t>______________</w:t>
      </w:r>
    </w:p>
    <w:sectPr w:rsidR="00CD70A0">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35" w:rsidRDefault="00AD0B35">
      <w:r>
        <w:separator/>
      </w:r>
    </w:p>
  </w:endnote>
  <w:endnote w:type="continuationSeparator" w:id="0">
    <w:p w:rsidR="00AD0B35" w:rsidRDefault="00AD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35321">
      <w:rPr>
        <w:lang w:val="en-US"/>
      </w:rPr>
      <w:t>P:\CHI\ITU-R\CONF-R\CMR15\100\130ADD22ADD06C.docx</w:t>
    </w:r>
    <w:r>
      <w:fldChar w:fldCharType="end"/>
    </w:r>
    <w:r w:rsidR="001F2725">
      <w:t xml:space="preserve"> (389051)</w:t>
    </w:r>
    <w:r w:rsidRPr="00DA0469">
      <w:rPr>
        <w:lang w:val="en-US"/>
      </w:rPr>
      <w:tab/>
    </w:r>
    <w:r>
      <w:fldChar w:fldCharType="begin"/>
    </w:r>
    <w:r>
      <w:instrText xml:space="preserve"> savedate \@ dd.MM.yy </w:instrText>
    </w:r>
    <w:r>
      <w:fldChar w:fldCharType="separate"/>
    </w:r>
    <w:r w:rsidR="00435321">
      <w:t>29.10.15</w:t>
    </w:r>
    <w:r>
      <w:fldChar w:fldCharType="end"/>
    </w:r>
    <w:r w:rsidRPr="00DA0469">
      <w:rPr>
        <w:lang w:val="en-US"/>
      </w:rPr>
      <w:tab/>
    </w:r>
    <w:r>
      <w:fldChar w:fldCharType="begin"/>
    </w:r>
    <w:r>
      <w:instrText xml:space="preserve"> printdate \@ dd.MM.yy </w:instrText>
    </w:r>
    <w:r>
      <w:fldChar w:fldCharType="separate"/>
    </w:r>
    <w:r w:rsidR="00435321">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35321">
      <w:rPr>
        <w:lang w:val="en-US"/>
      </w:rPr>
      <w:t>P:\CHI\ITU-R\CONF-R\CMR15\100\130ADD22ADD06C.docx</w:t>
    </w:r>
    <w:r>
      <w:fldChar w:fldCharType="end"/>
    </w:r>
    <w:r w:rsidR="001F2725">
      <w:t xml:space="preserve"> (389051)</w:t>
    </w:r>
    <w:r w:rsidRPr="00DA0469">
      <w:rPr>
        <w:lang w:val="en-US"/>
      </w:rPr>
      <w:tab/>
    </w:r>
    <w:r>
      <w:fldChar w:fldCharType="begin"/>
    </w:r>
    <w:r>
      <w:instrText xml:space="preserve"> savedate \@ dd.MM.yy </w:instrText>
    </w:r>
    <w:r>
      <w:fldChar w:fldCharType="separate"/>
    </w:r>
    <w:r w:rsidR="00435321">
      <w:t>29.10.15</w:t>
    </w:r>
    <w:r>
      <w:fldChar w:fldCharType="end"/>
    </w:r>
    <w:r w:rsidRPr="00DA0469">
      <w:rPr>
        <w:lang w:val="en-US"/>
      </w:rPr>
      <w:tab/>
    </w:r>
    <w:r>
      <w:fldChar w:fldCharType="begin"/>
    </w:r>
    <w:r>
      <w:instrText xml:space="preserve"> printdate \@ dd.MM.yy </w:instrText>
    </w:r>
    <w:r>
      <w:fldChar w:fldCharType="separate"/>
    </w:r>
    <w:r w:rsidR="00435321">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35" w:rsidRDefault="00AD0B35">
      <w:r>
        <w:t>____________________</w:t>
      </w:r>
    </w:p>
  </w:footnote>
  <w:footnote w:type="continuationSeparator" w:id="0">
    <w:p w:rsidR="00AD0B35" w:rsidRDefault="00AD0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3532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130(Add.22)(Add.6)-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F2CB1"/>
    <w:rsid w:val="00123C07"/>
    <w:rsid w:val="00166859"/>
    <w:rsid w:val="001765EC"/>
    <w:rsid w:val="001853E8"/>
    <w:rsid w:val="001B6360"/>
    <w:rsid w:val="001F2725"/>
    <w:rsid w:val="001F4EA6"/>
    <w:rsid w:val="002076EA"/>
    <w:rsid w:val="00214959"/>
    <w:rsid w:val="002260A6"/>
    <w:rsid w:val="002742B3"/>
    <w:rsid w:val="002A4C9C"/>
    <w:rsid w:val="002B509B"/>
    <w:rsid w:val="002E2A59"/>
    <w:rsid w:val="002E4507"/>
    <w:rsid w:val="00305254"/>
    <w:rsid w:val="003169D2"/>
    <w:rsid w:val="003B4BEF"/>
    <w:rsid w:val="003C6B45"/>
    <w:rsid w:val="0041282E"/>
    <w:rsid w:val="00417865"/>
    <w:rsid w:val="00435321"/>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29AE"/>
    <w:rsid w:val="007F5C36"/>
    <w:rsid w:val="008047DB"/>
    <w:rsid w:val="008129A9"/>
    <w:rsid w:val="008221A4"/>
    <w:rsid w:val="00824BD6"/>
    <w:rsid w:val="0083672D"/>
    <w:rsid w:val="00844734"/>
    <w:rsid w:val="00865DFB"/>
    <w:rsid w:val="008A7416"/>
    <w:rsid w:val="008B2298"/>
    <w:rsid w:val="008B6852"/>
    <w:rsid w:val="008C26FF"/>
    <w:rsid w:val="008D1D14"/>
    <w:rsid w:val="008E1785"/>
    <w:rsid w:val="008E7127"/>
    <w:rsid w:val="008E7C8E"/>
    <w:rsid w:val="00912959"/>
    <w:rsid w:val="009657F9"/>
    <w:rsid w:val="00965FC7"/>
    <w:rsid w:val="0099525B"/>
    <w:rsid w:val="009A50FC"/>
    <w:rsid w:val="009C72B7"/>
    <w:rsid w:val="00A0052C"/>
    <w:rsid w:val="00A31B14"/>
    <w:rsid w:val="00A323DC"/>
    <w:rsid w:val="00A466E6"/>
    <w:rsid w:val="00A815BE"/>
    <w:rsid w:val="00AA5DA1"/>
    <w:rsid w:val="00AD0B35"/>
    <w:rsid w:val="00AD759B"/>
    <w:rsid w:val="00AE369F"/>
    <w:rsid w:val="00B026CB"/>
    <w:rsid w:val="00B711CC"/>
    <w:rsid w:val="00B851D4"/>
    <w:rsid w:val="00B868FC"/>
    <w:rsid w:val="00B95072"/>
    <w:rsid w:val="00BB26CD"/>
    <w:rsid w:val="00C0101A"/>
    <w:rsid w:val="00C07239"/>
    <w:rsid w:val="00C364B1"/>
    <w:rsid w:val="00C47D87"/>
    <w:rsid w:val="00C627F9"/>
    <w:rsid w:val="00C6584D"/>
    <w:rsid w:val="00C929E0"/>
    <w:rsid w:val="00CB4E5A"/>
    <w:rsid w:val="00CC73D7"/>
    <w:rsid w:val="00CD70A0"/>
    <w:rsid w:val="00CF0AD7"/>
    <w:rsid w:val="00CF0BE1"/>
    <w:rsid w:val="00D52A14"/>
    <w:rsid w:val="00D6206A"/>
    <w:rsid w:val="00D74599"/>
    <w:rsid w:val="00DA0469"/>
    <w:rsid w:val="00DD13B7"/>
    <w:rsid w:val="00DF3B0C"/>
    <w:rsid w:val="00DF44D5"/>
    <w:rsid w:val="00DF6FAF"/>
    <w:rsid w:val="00E14984"/>
    <w:rsid w:val="00E22A25"/>
    <w:rsid w:val="00E560F1"/>
    <w:rsid w:val="00E92319"/>
    <w:rsid w:val="00EB479B"/>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AF8EFB-4199-48E9-BD3C-7BC62ED3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rsid w:val="00AD759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R15-WRC15-C-0130!A22-A6!MSW-C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19921315-A435-4161-9F8B-6541FC6BB180}">
  <ds:schemaRefs>
    <ds:schemaRef ds:uri="http://www.w3.org/XML/1998/namespace"/>
    <ds:schemaRef ds:uri="http://schemas.microsoft.com/office/2006/documentManagement/types"/>
    <ds:schemaRef ds:uri="http://purl.org/dc/elements/1.1/"/>
    <ds:schemaRef ds:uri="32a1a8c5-2265-4ebc-b7a0-2071e2c5c9bb"/>
    <ds:schemaRef ds:uri="http://purl.org/dc/dcmitype/"/>
    <ds:schemaRef ds:uri="996b2e75-67fd-4955-a3b0-5ab9934cb50b"/>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757</Words>
  <Characters>1007</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R15-WRC15-C-0130!A22-A6!MSW-C</vt:lpstr>
    </vt:vector>
  </TitlesOfParts>
  <Manager>General Secretariat - Pool</Manager>
  <Company>International Telecommunication Union (ITU)</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R15-WRC15-C-0130!A22-A6!MSW-C</dc:title>
  <dc:subject>World Radiocommunication Conference - 2015</dc:subject>
  <dc:creator>Documents Proposals Manager (DPM)</dc:creator>
  <cp:keywords>DPM_v5.2015.10.280_prod</cp:keywords>
  <dc:description/>
  <cp:lastModifiedBy>Cong, Cong</cp:lastModifiedBy>
  <cp:revision>16</cp:revision>
  <cp:lastPrinted>2015-10-29T22:43:00Z</cp:lastPrinted>
  <dcterms:created xsi:type="dcterms:W3CDTF">2015-10-29T16:29:00Z</dcterms:created>
  <dcterms:modified xsi:type="dcterms:W3CDTF">2015-10-29T22:43:00Z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