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EF15D2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23BBEC3" wp14:editId="4911E3B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EF15D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EF15D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EF15D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EF15D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264C08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EF15D2">
              <w:rPr>
                <w:rFonts w:ascii="Verdana" w:hAnsi="Verdana" w:cs="Traditional Arabic"/>
                <w:b/>
                <w:sz w:val="20"/>
              </w:rPr>
              <w:t>22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EF15D2">
              <w:rPr>
                <w:rFonts w:ascii="Verdana" w:hAnsi="Verdana" w:cs="Traditional Arabic"/>
                <w:b/>
                <w:sz w:val="20"/>
              </w:rPr>
              <w:t>3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EF15D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EF15D2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3C66DF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="003C66DF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="003C66DF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="003C66DF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F15D2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>
              <w:rPr>
                <w:rFonts w:hint="eastAsia"/>
                <w:lang w:eastAsia="zh-CN"/>
              </w:rPr>
              <w:t>工作的</w:t>
            </w:r>
            <w:r>
              <w:rPr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9.1(9.1.3)</w:t>
            </w:r>
          </w:p>
        </w:tc>
      </w:tr>
    </w:tbl>
    <w:bookmarkEnd w:id="7"/>
    <w:p w:rsidR="001C0E40" w:rsidRDefault="00EF15D2" w:rsidP="009C46CE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EF15D2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Default="00EF15D2" w:rsidP="00093BB1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(9.1.3)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11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9C46CE">
        <w:rPr>
          <w:lang w:eastAsia="zh-CN"/>
        </w:rPr>
        <w:t xml:space="preserve"> – </w:t>
      </w:r>
      <w:r>
        <w:rPr>
          <w:rFonts w:hint="eastAsia"/>
          <w:lang w:eastAsia="zh-CN"/>
        </w:rPr>
        <w:t>使用卫星轨位和相关频率频谱在发展中国家提供国际公共电信业务</w:t>
      </w:r>
    </w:p>
    <w:p w:rsidR="00CA1196" w:rsidRPr="00676FBA" w:rsidRDefault="00CA1196" w:rsidP="00093BB1">
      <w:pPr>
        <w:rPr>
          <w:rFonts w:hint="eastAsia"/>
          <w:lang w:eastAsia="zh-CN"/>
        </w:rPr>
      </w:pPr>
    </w:p>
    <w:p w:rsidR="00EF15D2" w:rsidRPr="00A845E0" w:rsidRDefault="00EF15D2" w:rsidP="00EF15D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EF15D2" w:rsidRPr="00A845E0" w:rsidRDefault="00EF15D2" w:rsidP="00B514C2">
      <w:pPr>
        <w:ind w:firstLineChars="200" w:firstLine="480"/>
        <w:rPr>
          <w:lang w:eastAsia="zh-CN"/>
        </w:rPr>
      </w:pPr>
      <w:r w:rsidRPr="00A845E0">
        <w:rPr>
          <w:lang w:val="en-US" w:eastAsia="zh-CN"/>
        </w:rPr>
        <w:t>WRC-12</w:t>
      </w:r>
      <w:r w:rsidR="00797A18">
        <w:rPr>
          <w:rFonts w:hint="eastAsia"/>
          <w:lang w:val="en-US" w:eastAsia="zh-CN"/>
        </w:rPr>
        <w:t>通过了第</w:t>
      </w:r>
      <w:r w:rsidR="00797A18">
        <w:rPr>
          <w:rFonts w:hint="eastAsia"/>
          <w:lang w:val="en-US" w:eastAsia="zh-CN"/>
        </w:rPr>
        <w:t>11</w:t>
      </w:r>
      <w:r w:rsidR="00797A18">
        <w:rPr>
          <w:rFonts w:hint="eastAsia"/>
          <w:lang w:val="en-US" w:eastAsia="zh-CN"/>
        </w:rPr>
        <w:t>号决议（</w:t>
      </w:r>
      <w:r w:rsidR="00797A18">
        <w:rPr>
          <w:rFonts w:hint="eastAsia"/>
          <w:lang w:val="en-US" w:eastAsia="zh-CN"/>
        </w:rPr>
        <w:t>W</w:t>
      </w:r>
      <w:r w:rsidR="00797A18">
        <w:rPr>
          <w:lang w:val="en-US" w:eastAsia="zh-CN"/>
        </w:rPr>
        <w:t>RC</w:t>
      </w:r>
      <w:r w:rsidR="00797A18">
        <w:rPr>
          <w:rFonts w:hint="eastAsia"/>
          <w:lang w:val="en-US" w:eastAsia="zh-CN"/>
        </w:rPr>
        <w:t>-12</w:t>
      </w:r>
      <w:r w:rsidR="00797A18">
        <w:rPr>
          <w:rFonts w:hint="eastAsia"/>
          <w:lang w:val="en-US" w:eastAsia="zh-CN"/>
        </w:rPr>
        <w:t>），此决议决定，</w:t>
      </w:r>
      <w:r w:rsidRPr="00297948">
        <w:rPr>
          <w:color w:val="000000"/>
          <w:lang w:eastAsia="zh-CN"/>
        </w:rPr>
        <w:t>ITU-R</w:t>
      </w:r>
      <w:r w:rsidRPr="00297948">
        <w:rPr>
          <w:color w:val="000000"/>
          <w:lang w:eastAsia="zh-CN"/>
        </w:rPr>
        <w:t>应与</w:t>
      </w:r>
      <w:r w:rsidRPr="00297948">
        <w:rPr>
          <w:color w:val="000000"/>
          <w:lang w:eastAsia="zh-CN"/>
        </w:rPr>
        <w:t>ITU-D</w:t>
      </w:r>
      <w:r w:rsidRPr="00297948">
        <w:rPr>
          <w:color w:val="000000"/>
          <w:lang w:eastAsia="zh-CN"/>
        </w:rPr>
        <w:t>继续开展合作</w:t>
      </w:r>
      <w:r>
        <w:rPr>
          <w:rFonts w:hint="eastAsia"/>
          <w:color w:val="000000"/>
          <w:lang w:eastAsia="zh-CN"/>
        </w:rPr>
        <w:t>，</w:t>
      </w:r>
      <w:r w:rsidRPr="00297948">
        <w:rPr>
          <w:color w:val="000000"/>
          <w:lang w:eastAsia="zh-CN"/>
        </w:rPr>
        <w:t>并应</w:t>
      </w:r>
      <w:r w:rsidRPr="00297948">
        <w:rPr>
          <w:color w:val="000000"/>
          <w:lang w:eastAsia="zh-CN"/>
        </w:rPr>
        <w:t>ITU-D</w:t>
      </w:r>
      <w:r w:rsidRPr="00297948">
        <w:rPr>
          <w:color w:val="000000"/>
          <w:lang w:eastAsia="zh-CN"/>
        </w:rPr>
        <w:t>的要求提供</w:t>
      </w:r>
      <w:r w:rsidR="00B514C2" w:rsidRPr="00297948">
        <w:rPr>
          <w:color w:val="000000"/>
          <w:lang w:eastAsia="zh-CN"/>
        </w:rPr>
        <w:t>有助于发展中国家发展并实施卫星网络和业</w:t>
      </w:r>
      <w:r w:rsidR="00B514C2" w:rsidRPr="00297948">
        <w:rPr>
          <w:rFonts w:hint="eastAsia"/>
          <w:color w:val="000000"/>
          <w:lang w:eastAsia="zh-CN"/>
        </w:rPr>
        <w:t>务</w:t>
      </w:r>
      <w:r w:rsidR="00B514C2">
        <w:rPr>
          <w:rFonts w:hint="eastAsia"/>
          <w:color w:val="000000"/>
          <w:lang w:eastAsia="zh-CN"/>
        </w:rPr>
        <w:t>的</w:t>
      </w:r>
      <w:r w:rsidRPr="00297948">
        <w:rPr>
          <w:color w:val="000000"/>
          <w:lang w:eastAsia="zh-CN"/>
        </w:rPr>
        <w:t>ITU-R</w:t>
      </w:r>
      <w:r w:rsidRPr="00297948">
        <w:rPr>
          <w:color w:val="000000"/>
          <w:lang w:eastAsia="zh-CN"/>
        </w:rPr>
        <w:t>建议书和报告中定义的卫星技术和应用方面</w:t>
      </w:r>
      <w:r w:rsidR="00B514C2">
        <w:rPr>
          <w:rFonts w:hint="eastAsia"/>
          <w:color w:val="000000"/>
          <w:lang w:eastAsia="zh-CN"/>
        </w:rPr>
        <w:t>的信息</w:t>
      </w:r>
      <w:r w:rsidRPr="00297948">
        <w:rPr>
          <w:color w:val="000000"/>
          <w:lang w:eastAsia="zh-CN"/>
        </w:rPr>
        <w:t>以及《无线电规则》中卫星规则程序的信息</w:t>
      </w:r>
      <w:r w:rsidRPr="00297948">
        <w:rPr>
          <w:rFonts w:hint="eastAsia"/>
          <w:color w:val="000000"/>
          <w:lang w:eastAsia="zh-CN"/>
        </w:rPr>
        <w:t>。</w:t>
      </w:r>
    </w:p>
    <w:p w:rsidR="00EF15D2" w:rsidRPr="00A845E0" w:rsidRDefault="00AB7FC0" w:rsidP="00AB7FC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此外，第</w:t>
      </w:r>
      <w:r w:rsidR="00EF15D2" w:rsidRPr="00A845E0">
        <w:rPr>
          <w:lang w:val="en-US" w:eastAsia="zh-CN"/>
        </w:rPr>
        <w:t>11</w:t>
      </w:r>
      <w:r>
        <w:rPr>
          <w:rFonts w:hint="eastAsia"/>
          <w:lang w:val="en-US" w:eastAsia="zh-CN"/>
        </w:rPr>
        <w:t>号决议（</w:t>
      </w:r>
      <w:r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）做出决议</w:t>
      </w:r>
      <w:r>
        <w:rPr>
          <w:rFonts w:hint="eastAsia"/>
          <w:lang w:eastAsia="zh-CN"/>
        </w:rPr>
        <w:t>，</w:t>
      </w:r>
      <w:r w:rsidR="00EF15D2">
        <w:rPr>
          <w:color w:val="000000"/>
          <w:lang w:eastAsia="zh-CN"/>
        </w:rPr>
        <w:t>ITU-R</w:t>
      </w:r>
      <w:r w:rsidR="00EF15D2">
        <w:rPr>
          <w:color w:val="000000"/>
          <w:lang w:eastAsia="zh-CN"/>
        </w:rPr>
        <w:t>应进行相关研究，以确定是否需要应用额外的规则措施，以加强通过卫星技术提供的国际公共电信业务的可用性</w:t>
      </w:r>
      <w:r w:rsidR="00EF15D2">
        <w:rPr>
          <w:rFonts w:ascii="SimSun" w:hAnsi="SimSun" w:cs="SimSun" w:hint="eastAsia"/>
          <w:color w:val="000000"/>
          <w:lang w:eastAsia="zh-CN"/>
        </w:rPr>
        <w:t>。</w:t>
      </w:r>
    </w:p>
    <w:p w:rsidR="00EF15D2" w:rsidRPr="00A845E0" w:rsidRDefault="00EF15D2" w:rsidP="00EF15D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622560" w:rsidRDefault="00EF15D2" w:rsidP="00CD0FC2">
      <w:pPr>
        <w:ind w:firstLineChars="200" w:firstLine="480"/>
        <w:rPr>
          <w:rFonts w:eastAsiaTheme="minorEastAsia"/>
          <w:spacing w:val="-2"/>
          <w:szCs w:val="24"/>
          <w:lang w:eastAsia="zh-CN"/>
        </w:rPr>
      </w:pPr>
      <w:r w:rsidRPr="00A845E0">
        <w:rPr>
          <w:lang w:val="en-US" w:eastAsia="zh-CN"/>
        </w:rPr>
        <w:t>SADC</w:t>
      </w:r>
      <w:r w:rsidR="005853B0">
        <w:rPr>
          <w:rFonts w:hint="eastAsia"/>
          <w:lang w:val="en-US" w:eastAsia="zh-CN"/>
        </w:rPr>
        <w:t>成员国支持对第</w:t>
      </w:r>
      <w:r w:rsidR="005853B0">
        <w:rPr>
          <w:rFonts w:hint="eastAsia"/>
          <w:lang w:val="en-US" w:eastAsia="zh-CN"/>
        </w:rPr>
        <w:t>11</w:t>
      </w:r>
      <w:r w:rsidR="005853B0">
        <w:rPr>
          <w:rFonts w:hint="eastAsia"/>
          <w:lang w:val="en-US" w:eastAsia="zh-CN"/>
        </w:rPr>
        <w:t>号决议（</w:t>
      </w:r>
      <w:r w:rsidR="005853B0">
        <w:rPr>
          <w:rFonts w:hint="eastAsia"/>
          <w:lang w:val="en-US" w:eastAsia="zh-CN"/>
        </w:rPr>
        <w:t>WRC-12</w:t>
      </w:r>
      <w:r w:rsidR="005853B0">
        <w:rPr>
          <w:rFonts w:hint="eastAsia"/>
          <w:lang w:val="en-US" w:eastAsia="zh-CN"/>
        </w:rPr>
        <w:t>）予以修订，</w:t>
      </w:r>
      <w:r>
        <w:rPr>
          <w:rFonts w:eastAsiaTheme="minorEastAsia"/>
          <w:szCs w:val="24"/>
          <w:lang w:eastAsia="zh-CN"/>
        </w:rPr>
        <w:t>以便继续开展研究，因为可能需要</w:t>
      </w:r>
      <w:r w:rsidRPr="005B4140">
        <w:rPr>
          <w:rFonts w:eastAsiaTheme="minorEastAsia"/>
          <w:spacing w:val="-2"/>
          <w:szCs w:val="24"/>
          <w:lang w:eastAsia="zh-CN"/>
        </w:rPr>
        <w:t>在</w:t>
      </w:r>
      <w:r w:rsidRPr="005B4140">
        <w:rPr>
          <w:rFonts w:eastAsiaTheme="minorEastAsia"/>
          <w:spacing w:val="-2"/>
          <w:szCs w:val="24"/>
          <w:lang w:eastAsia="zh-CN"/>
        </w:rPr>
        <w:t>WRC-15</w:t>
      </w:r>
      <w:r w:rsidRPr="00CD0FC2">
        <w:rPr>
          <w:rFonts w:eastAsiaTheme="minorEastAsia" w:hint="eastAsia"/>
          <w:spacing w:val="-2"/>
          <w:szCs w:val="24"/>
          <w:lang w:eastAsia="zh-CN"/>
        </w:rPr>
        <w:t>之后</w:t>
      </w:r>
      <w:r w:rsidRPr="00CD0FC2">
        <w:rPr>
          <w:rFonts w:eastAsiaTheme="minorEastAsia"/>
          <w:spacing w:val="-2"/>
          <w:szCs w:val="24"/>
          <w:lang w:eastAsia="zh-CN"/>
        </w:rPr>
        <w:t>继续执行</w:t>
      </w:r>
      <w:r w:rsidRPr="00CD0FC2">
        <w:rPr>
          <w:rFonts w:eastAsiaTheme="minorEastAsia" w:hint="eastAsia"/>
          <w:spacing w:val="-2"/>
          <w:szCs w:val="24"/>
          <w:lang w:eastAsia="zh-CN"/>
        </w:rPr>
        <w:t>第</w:t>
      </w:r>
      <w:r w:rsidRPr="00CD0FC2">
        <w:rPr>
          <w:rFonts w:eastAsiaTheme="minorEastAsia"/>
          <w:spacing w:val="-2"/>
          <w:szCs w:val="24"/>
          <w:lang w:eastAsia="zh-CN"/>
        </w:rPr>
        <w:t>11</w:t>
      </w:r>
      <w:r w:rsidRPr="00CD0FC2">
        <w:rPr>
          <w:rFonts w:eastAsiaTheme="minorEastAsia" w:hint="eastAsia"/>
          <w:spacing w:val="-2"/>
          <w:szCs w:val="24"/>
          <w:lang w:eastAsia="zh-CN"/>
        </w:rPr>
        <w:t>号决议（</w:t>
      </w:r>
      <w:r w:rsidRPr="00CD0FC2">
        <w:rPr>
          <w:rFonts w:eastAsiaTheme="minorEastAsia"/>
          <w:spacing w:val="-2"/>
          <w:szCs w:val="24"/>
          <w:lang w:eastAsia="zh-CN"/>
        </w:rPr>
        <w:t>WRC-12</w:t>
      </w:r>
      <w:r w:rsidRPr="00CD0FC2">
        <w:rPr>
          <w:rFonts w:eastAsiaTheme="minorEastAsia" w:hint="eastAsia"/>
          <w:spacing w:val="-2"/>
          <w:szCs w:val="24"/>
          <w:lang w:eastAsia="zh-CN"/>
        </w:rPr>
        <w:t>）</w:t>
      </w:r>
      <w:r w:rsidRPr="0065023C">
        <w:rPr>
          <w:rFonts w:hint="eastAsia"/>
          <w:lang w:val="en-US" w:eastAsia="zh-CN"/>
        </w:rPr>
        <w:t>做出决议</w:t>
      </w:r>
      <w:r w:rsidRPr="005B4140">
        <w:rPr>
          <w:rFonts w:eastAsiaTheme="minorEastAsia" w:hint="eastAsia"/>
          <w:spacing w:val="-2"/>
          <w:szCs w:val="24"/>
          <w:lang w:eastAsia="zh-CN"/>
        </w:rPr>
        <w:t>2</w:t>
      </w:r>
      <w:r w:rsidRPr="005B4140">
        <w:rPr>
          <w:rFonts w:eastAsiaTheme="minorEastAsia" w:hint="eastAsia"/>
          <w:spacing w:val="-2"/>
          <w:szCs w:val="24"/>
          <w:lang w:eastAsia="zh-CN"/>
        </w:rPr>
        <w:t>。</w:t>
      </w:r>
    </w:p>
    <w:p w:rsidR="00C80B8A" w:rsidRDefault="00C80B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51A7C" w:rsidRDefault="00EF15D2" w:rsidP="008E3B23">
      <w:pPr>
        <w:pStyle w:val="Reasons"/>
        <w:rPr>
          <w:lang w:eastAsia="zh-CN"/>
        </w:rPr>
      </w:pPr>
      <w:r>
        <w:rPr>
          <w:rFonts w:hint="eastAsia"/>
          <w:b/>
          <w:lang w:val="en-US" w:eastAsia="zh-CN"/>
        </w:rPr>
        <w:t>理由</w:t>
      </w:r>
      <w:r>
        <w:rPr>
          <w:b/>
          <w:lang w:val="en-US" w:eastAsia="zh-CN"/>
        </w:rPr>
        <w:t>：</w:t>
      </w:r>
      <w:r w:rsidR="00751A7C">
        <w:rPr>
          <w:rFonts w:hint="eastAsia"/>
          <w:lang w:eastAsia="zh-CN"/>
        </w:rPr>
        <w:t>提供高质量、可靠且价格可</w:t>
      </w:r>
      <w:r w:rsidR="00CD181C">
        <w:rPr>
          <w:rFonts w:hint="eastAsia"/>
          <w:lang w:eastAsia="zh-CN"/>
        </w:rPr>
        <w:t>承受</w:t>
      </w:r>
      <w:r w:rsidR="00751A7C">
        <w:rPr>
          <w:rFonts w:hint="eastAsia"/>
          <w:lang w:eastAsia="zh-CN"/>
        </w:rPr>
        <w:t>的国际公共电信业务对于发展中国家而言</w:t>
      </w:r>
      <w:r w:rsidR="00CD181C">
        <w:rPr>
          <w:rFonts w:hint="eastAsia"/>
          <w:lang w:eastAsia="zh-CN"/>
        </w:rPr>
        <w:t>至关重要</w:t>
      </w:r>
      <w:r w:rsidR="00751A7C">
        <w:rPr>
          <w:rFonts w:hint="eastAsia"/>
          <w:lang w:eastAsia="zh-CN"/>
        </w:rPr>
        <w:t>。本提案将</w:t>
      </w:r>
      <w:r w:rsidR="003F3E79">
        <w:rPr>
          <w:rFonts w:hint="eastAsia"/>
          <w:lang w:eastAsia="zh-CN"/>
        </w:rPr>
        <w:t>保持国际公共电信服务</w:t>
      </w:r>
      <w:r w:rsidR="00CD181C">
        <w:rPr>
          <w:rFonts w:hint="eastAsia"/>
          <w:lang w:eastAsia="zh-CN"/>
        </w:rPr>
        <w:t>的连续</w:t>
      </w:r>
      <w:r w:rsidR="003F3E79">
        <w:rPr>
          <w:rFonts w:hint="eastAsia"/>
          <w:lang w:eastAsia="zh-CN"/>
        </w:rPr>
        <w:t>性</w:t>
      </w:r>
      <w:r w:rsidR="00CD181C">
        <w:rPr>
          <w:rFonts w:hint="eastAsia"/>
          <w:lang w:eastAsia="zh-CN"/>
        </w:rPr>
        <w:t>提供</w:t>
      </w:r>
      <w:r w:rsidR="003F3E79">
        <w:rPr>
          <w:rFonts w:hint="eastAsia"/>
          <w:lang w:eastAsia="zh-CN"/>
        </w:rPr>
        <w:t>。</w:t>
      </w:r>
    </w:p>
    <w:p w:rsidR="00EF15D2" w:rsidRDefault="00EF15D2" w:rsidP="00192408">
      <w:pPr>
        <w:pStyle w:val="Reasons"/>
        <w:rPr>
          <w:lang w:eastAsia="zh-CN"/>
        </w:rPr>
      </w:pPr>
    </w:p>
    <w:p w:rsidR="00B868FC" w:rsidRPr="00592499" w:rsidRDefault="00EF15D2" w:rsidP="009C46CE">
      <w:pPr>
        <w:jc w:val="center"/>
        <w:rPr>
          <w:lang w:val="en-US"/>
        </w:rPr>
      </w:pPr>
      <w:r>
        <w:t>______________</w:t>
      </w:r>
      <w:bookmarkStart w:id="8" w:name="_GoBack"/>
      <w:bookmarkEnd w:id="8"/>
    </w:p>
    <w:sectPr w:rsidR="00B868FC" w:rsidRPr="0059249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2499">
      <w:rPr>
        <w:lang w:val="en-US"/>
      </w:rPr>
      <w:t>P:\CHI\ITU-R\CONF-R\CMR15\100\130ADD22ADD03C.docx</w:t>
    </w:r>
    <w:r>
      <w:fldChar w:fldCharType="end"/>
    </w:r>
    <w:r w:rsidR="00EF15D2">
      <w:t xml:space="preserve"> (389045)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499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2499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2499">
      <w:rPr>
        <w:lang w:val="en-US"/>
      </w:rPr>
      <w:t>P:\CHI\ITU-R\CONF-R\CMR15\100\130ADD22ADD03C.docx</w:t>
    </w:r>
    <w:r>
      <w:fldChar w:fldCharType="end"/>
    </w:r>
    <w:r w:rsidR="00EF15D2">
      <w:t xml:space="preserve"> (389045)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499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2499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249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130(Add.22)(Add.3)-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716D"/>
    <w:rsid w:val="000C09BA"/>
    <w:rsid w:val="000C1F1E"/>
    <w:rsid w:val="000C6AA7"/>
    <w:rsid w:val="000E26F6"/>
    <w:rsid w:val="00123C07"/>
    <w:rsid w:val="00166859"/>
    <w:rsid w:val="001725CA"/>
    <w:rsid w:val="001765EC"/>
    <w:rsid w:val="001853E8"/>
    <w:rsid w:val="00192408"/>
    <w:rsid w:val="001B6360"/>
    <w:rsid w:val="001F4EA6"/>
    <w:rsid w:val="00214959"/>
    <w:rsid w:val="002260A6"/>
    <w:rsid w:val="00264C08"/>
    <w:rsid w:val="002742B3"/>
    <w:rsid w:val="002A4C9C"/>
    <w:rsid w:val="002B509B"/>
    <w:rsid w:val="002C1382"/>
    <w:rsid w:val="002E2A59"/>
    <w:rsid w:val="002E4507"/>
    <w:rsid w:val="00305254"/>
    <w:rsid w:val="003169D2"/>
    <w:rsid w:val="003B4BEF"/>
    <w:rsid w:val="003C66DF"/>
    <w:rsid w:val="003C6B45"/>
    <w:rsid w:val="003F2085"/>
    <w:rsid w:val="003F3E79"/>
    <w:rsid w:val="00406DAB"/>
    <w:rsid w:val="0041282E"/>
    <w:rsid w:val="00437869"/>
    <w:rsid w:val="00465A34"/>
    <w:rsid w:val="004B789E"/>
    <w:rsid w:val="004C4554"/>
    <w:rsid w:val="004D2DEC"/>
    <w:rsid w:val="004F2BE6"/>
    <w:rsid w:val="00527E8A"/>
    <w:rsid w:val="00542E85"/>
    <w:rsid w:val="00562479"/>
    <w:rsid w:val="00576849"/>
    <w:rsid w:val="005853B0"/>
    <w:rsid w:val="00592499"/>
    <w:rsid w:val="005A0ACB"/>
    <w:rsid w:val="005E08D2"/>
    <w:rsid w:val="005E7FD8"/>
    <w:rsid w:val="00622560"/>
    <w:rsid w:val="00644391"/>
    <w:rsid w:val="00647712"/>
    <w:rsid w:val="0065023C"/>
    <w:rsid w:val="00662E12"/>
    <w:rsid w:val="00691142"/>
    <w:rsid w:val="006B67CE"/>
    <w:rsid w:val="006C38ED"/>
    <w:rsid w:val="006E6182"/>
    <w:rsid w:val="006F3C60"/>
    <w:rsid w:val="00736415"/>
    <w:rsid w:val="00751A7C"/>
    <w:rsid w:val="00770D2A"/>
    <w:rsid w:val="007864F6"/>
    <w:rsid w:val="00797A18"/>
    <w:rsid w:val="007B7C4B"/>
    <w:rsid w:val="007F0FC5"/>
    <w:rsid w:val="007F5C36"/>
    <w:rsid w:val="008047DB"/>
    <w:rsid w:val="0081212C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3B23"/>
    <w:rsid w:val="008E7127"/>
    <w:rsid w:val="008E7C8E"/>
    <w:rsid w:val="00912959"/>
    <w:rsid w:val="009657F9"/>
    <w:rsid w:val="0099525B"/>
    <w:rsid w:val="009A2CD1"/>
    <w:rsid w:val="009C46CE"/>
    <w:rsid w:val="009C72B7"/>
    <w:rsid w:val="00A0052C"/>
    <w:rsid w:val="00A31B14"/>
    <w:rsid w:val="00A323DC"/>
    <w:rsid w:val="00A466E6"/>
    <w:rsid w:val="00A815BE"/>
    <w:rsid w:val="00AA5DA1"/>
    <w:rsid w:val="00AB7FC0"/>
    <w:rsid w:val="00AE369F"/>
    <w:rsid w:val="00B026CB"/>
    <w:rsid w:val="00B514C2"/>
    <w:rsid w:val="00B711CC"/>
    <w:rsid w:val="00B851D4"/>
    <w:rsid w:val="00B868FC"/>
    <w:rsid w:val="00B95072"/>
    <w:rsid w:val="00BB26CD"/>
    <w:rsid w:val="00C07239"/>
    <w:rsid w:val="00C2475B"/>
    <w:rsid w:val="00C364B1"/>
    <w:rsid w:val="00C47D87"/>
    <w:rsid w:val="00C627F9"/>
    <w:rsid w:val="00C6584D"/>
    <w:rsid w:val="00C80B8A"/>
    <w:rsid w:val="00C929E0"/>
    <w:rsid w:val="00CA1196"/>
    <w:rsid w:val="00CB4E5A"/>
    <w:rsid w:val="00CC73D7"/>
    <w:rsid w:val="00CD0FC2"/>
    <w:rsid w:val="00CD181C"/>
    <w:rsid w:val="00CE461D"/>
    <w:rsid w:val="00CF0AD7"/>
    <w:rsid w:val="00CF0BE1"/>
    <w:rsid w:val="00D26DF5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15D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E98EAC-92D5-4BA3-BE1A-6594265F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R15-WRC15-C-0130!A22-A3!MSW-C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FBF60-2598-49F3-A52B-8DB350309DD0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574</Words>
  <Characters>712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R15-WRC15-C-0130!A22-A3!MSW-C</vt:lpstr>
    </vt:vector>
  </TitlesOfParts>
  <Manager>General Secretariat - Pool</Manager>
  <Company>International Telecommunication Union (ITU)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R15-WRC15-C-0130!A22-A3!MSW-C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28</cp:revision>
  <cp:lastPrinted>2015-10-30T21:19:00Z</cp:lastPrinted>
  <dcterms:created xsi:type="dcterms:W3CDTF">2015-10-30T20:47:00Z</dcterms:created>
  <dcterms:modified xsi:type="dcterms:W3CDTF">2015-10-30T21:20:00Z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