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7F7FF9" w14:paraId="0861CE2D" w14:textId="77777777" w:rsidTr="0050008E">
        <w:trPr>
          <w:cantSplit/>
        </w:trPr>
        <w:tc>
          <w:tcPr>
            <w:tcW w:w="6911" w:type="dxa"/>
          </w:tcPr>
          <w:p w14:paraId="73CBE2E4" w14:textId="6207F009" w:rsidR="00BB1D82" w:rsidRPr="007F7FF9" w:rsidRDefault="00851625" w:rsidP="007F7FF9">
            <w:pPr>
              <w:spacing w:before="400" w:after="48"/>
              <w:rPr>
                <w:rFonts w:ascii="Verdana" w:hAnsi="Verdana"/>
                <w:b/>
                <w:bCs/>
                <w:sz w:val="20"/>
                <w:lang w:val="fr-CH"/>
              </w:rPr>
            </w:pPr>
            <w:r w:rsidRPr="007F7FF9">
              <w:rPr>
                <w:rFonts w:ascii="Verdana" w:hAnsi="Verdana"/>
                <w:b/>
                <w:bCs/>
                <w:sz w:val="20"/>
                <w:lang w:val="fr-CH"/>
              </w:rPr>
              <w:t>Conférence mondiale des radiocommunications (CMR-15</w:t>
            </w:r>
            <w:r w:rsidR="00D348F1" w:rsidRPr="007F7FF9">
              <w:rPr>
                <w:rFonts w:ascii="Verdana" w:hAnsi="Verdana"/>
                <w:b/>
                <w:bCs/>
                <w:sz w:val="20"/>
                <w:lang w:val="fr-CH"/>
              </w:rPr>
              <w:t xml:space="preserve">) </w:t>
            </w:r>
            <w:r w:rsidRPr="007F7FF9">
              <w:rPr>
                <w:rFonts w:ascii="Verdana" w:hAnsi="Verdana"/>
                <w:b/>
                <w:bCs/>
                <w:sz w:val="20"/>
                <w:lang w:val="fr-CH"/>
              </w:rPr>
              <w:br/>
            </w:r>
            <w:r w:rsidRPr="007F7FF9">
              <w:rPr>
                <w:rFonts w:ascii="Verdana" w:hAnsi="Verdana"/>
                <w:b/>
                <w:bCs/>
                <w:sz w:val="18"/>
                <w:szCs w:val="18"/>
                <w:lang w:val="fr-CH"/>
              </w:rPr>
              <w:t>Genève,</w:t>
            </w:r>
            <w:r w:rsidR="00E537FF" w:rsidRPr="007F7FF9">
              <w:rPr>
                <w:rFonts w:ascii="Verdana" w:hAnsi="Verdana"/>
                <w:b/>
                <w:bCs/>
                <w:sz w:val="18"/>
                <w:szCs w:val="18"/>
                <w:lang w:val="fr-CH"/>
              </w:rPr>
              <w:t xml:space="preserve"> </w:t>
            </w:r>
            <w:r w:rsidRPr="007F7FF9">
              <w:rPr>
                <w:rFonts w:ascii="Verdana" w:hAnsi="Verdana"/>
                <w:b/>
                <w:bCs/>
                <w:sz w:val="18"/>
                <w:szCs w:val="18"/>
                <w:lang w:val="fr-CH"/>
              </w:rPr>
              <w:t>2-27 novembre 2015</w:t>
            </w:r>
          </w:p>
        </w:tc>
        <w:tc>
          <w:tcPr>
            <w:tcW w:w="3120" w:type="dxa"/>
          </w:tcPr>
          <w:p w14:paraId="6FCC36DE" w14:textId="77777777" w:rsidR="00BB1D82" w:rsidRPr="007F7FF9" w:rsidRDefault="002C28A4" w:rsidP="007F7FF9">
            <w:pPr>
              <w:spacing w:before="0"/>
              <w:jc w:val="right"/>
              <w:rPr>
                <w:lang w:val="en-US"/>
              </w:rPr>
            </w:pPr>
            <w:bookmarkStart w:id="0" w:name="ditulogo"/>
            <w:bookmarkEnd w:id="0"/>
            <w:r w:rsidRPr="007F7FF9">
              <w:rPr>
                <w:noProof/>
                <w:lang w:val="en-US" w:eastAsia="zh-CN"/>
              </w:rPr>
              <w:drawing>
                <wp:inline distT="0" distB="0" distL="0" distR="0" wp14:anchorId="10F81D0E" wp14:editId="197F6DEB">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7F7FF9" w14:paraId="0AFEEBCA" w14:textId="77777777" w:rsidTr="0050008E">
        <w:trPr>
          <w:cantSplit/>
        </w:trPr>
        <w:tc>
          <w:tcPr>
            <w:tcW w:w="6911" w:type="dxa"/>
            <w:tcBorders>
              <w:bottom w:val="single" w:sz="12" w:space="0" w:color="auto"/>
            </w:tcBorders>
          </w:tcPr>
          <w:p w14:paraId="2B2F3AA3" w14:textId="77777777" w:rsidR="00BB1D82" w:rsidRPr="007F7FF9" w:rsidRDefault="002C28A4" w:rsidP="007F7FF9">
            <w:pPr>
              <w:spacing w:before="0" w:after="48"/>
              <w:rPr>
                <w:b/>
                <w:smallCaps/>
                <w:szCs w:val="24"/>
                <w:lang w:val="en-US"/>
              </w:rPr>
            </w:pPr>
            <w:bookmarkStart w:id="1" w:name="dhead"/>
            <w:r w:rsidRPr="007F7FF9">
              <w:rPr>
                <w:rFonts w:ascii="Verdana" w:hAnsi="Verdana"/>
                <w:b/>
                <w:bCs/>
                <w:sz w:val="20"/>
              </w:rPr>
              <w:t>UNION INTERNATIONALE DES TÉLÉCOMMUNICATIONS</w:t>
            </w:r>
          </w:p>
        </w:tc>
        <w:tc>
          <w:tcPr>
            <w:tcW w:w="3120" w:type="dxa"/>
            <w:tcBorders>
              <w:bottom w:val="single" w:sz="12" w:space="0" w:color="auto"/>
            </w:tcBorders>
          </w:tcPr>
          <w:p w14:paraId="4DE95216" w14:textId="77777777" w:rsidR="00BB1D82" w:rsidRPr="007F7FF9" w:rsidRDefault="00BB1D82" w:rsidP="007F7FF9">
            <w:pPr>
              <w:spacing w:before="0"/>
              <w:rPr>
                <w:rFonts w:ascii="Verdana" w:hAnsi="Verdana"/>
                <w:szCs w:val="24"/>
                <w:lang w:val="en-US"/>
              </w:rPr>
            </w:pPr>
          </w:p>
        </w:tc>
      </w:tr>
      <w:tr w:rsidR="00BB1D82" w:rsidRPr="007F7FF9" w14:paraId="2EFC67E3" w14:textId="77777777" w:rsidTr="00BB1D82">
        <w:trPr>
          <w:cantSplit/>
        </w:trPr>
        <w:tc>
          <w:tcPr>
            <w:tcW w:w="6911" w:type="dxa"/>
            <w:tcBorders>
              <w:top w:val="single" w:sz="12" w:space="0" w:color="auto"/>
            </w:tcBorders>
          </w:tcPr>
          <w:p w14:paraId="70A85708" w14:textId="77777777" w:rsidR="00BB1D82" w:rsidRPr="007F7FF9" w:rsidRDefault="00BB1D82" w:rsidP="007F7FF9">
            <w:pPr>
              <w:spacing w:before="0" w:after="48"/>
              <w:rPr>
                <w:rFonts w:ascii="Verdana" w:hAnsi="Verdana"/>
                <w:b/>
                <w:smallCaps/>
                <w:sz w:val="20"/>
                <w:lang w:val="en-US"/>
              </w:rPr>
            </w:pPr>
          </w:p>
        </w:tc>
        <w:tc>
          <w:tcPr>
            <w:tcW w:w="3120" w:type="dxa"/>
            <w:tcBorders>
              <w:top w:val="single" w:sz="12" w:space="0" w:color="auto"/>
            </w:tcBorders>
          </w:tcPr>
          <w:p w14:paraId="051FC605" w14:textId="77777777" w:rsidR="00BB1D82" w:rsidRPr="007F7FF9" w:rsidRDefault="00BB1D82" w:rsidP="007F7FF9">
            <w:pPr>
              <w:spacing w:before="0"/>
              <w:rPr>
                <w:rFonts w:ascii="Verdana" w:hAnsi="Verdana"/>
                <w:sz w:val="20"/>
                <w:lang w:val="en-US"/>
              </w:rPr>
            </w:pPr>
          </w:p>
        </w:tc>
      </w:tr>
      <w:tr w:rsidR="00BB1D82" w:rsidRPr="007F7FF9" w14:paraId="442A4BE9" w14:textId="77777777" w:rsidTr="00BB1D82">
        <w:trPr>
          <w:cantSplit/>
        </w:trPr>
        <w:tc>
          <w:tcPr>
            <w:tcW w:w="6911" w:type="dxa"/>
            <w:shd w:val="clear" w:color="auto" w:fill="auto"/>
          </w:tcPr>
          <w:p w14:paraId="242A408A" w14:textId="77777777" w:rsidR="00BB1D82" w:rsidRPr="007F7FF9" w:rsidRDefault="006D4724" w:rsidP="007F7FF9">
            <w:pPr>
              <w:spacing w:before="0"/>
              <w:rPr>
                <w:rFonts w:ascii="Verdana" w:hAnsi="Verdana"/>
                <w:b/>
                <w:sz w:val="20"/>
                <w:lang w:val="en-US"/>
              </w:rPr>
            </w:pPr>
            <w:r w:rsidRPr="007F7FF9">
              <w:rPr>
                <w:rFonts w:ascii="Verdana" w:hAnsi="Verdana"/>
                <w:b/>
                <w:sz w:val="20"/>
                <w:lang w:val="en-US"/>
              </w:rPr>
              <w:t>SÉANCE PLÉNIÈRE</w:t>
            </w:r>
          </w:p>
        </w:tc>
        <w:tc>
          <w:tcPr>
            <w:tcW w:w="3120" w:type="dxa"/>
            <w:shd w:val="clear" w:color="auto" w:fill="auto"/>
          </w:tcPr>
          <w:p w14:paraId="03FAB625" w14:textId="77777777" w:rsidR="00BB1D82" w:rsidRPr="007F7FF9" w:rsidRDefault="006D4724" w:rsidP="007F7FF9">
            <w:pPr>
              <w:spacing w:before="0"/>
              <w:rPr>
                <w:rFonts w:ascii="Verdana" w:hAnsi="Verdana"/>
                <w:sz w:val="20"/>
                <w:lang w:val="fr-CH"/>
              </w:rPr>
            </w:pPr>
            <w:r w:rsidRPr="007F7FF9">
              <w:rPr>
                <w:rFonts w:ascii="Verdana" w:eastAsia="SimSun" w:hAnsi="Verdana" w:cs="Traditional Arabic"/>
                <w:b/>
                <w:sz w:val="20"/>
                <w:lang w:val="fr-CH"/>
              </w:rPr>
              <w:t>Addendum 1 au</w:t>
            </w:r>
            <w:r w:rsidRPr="007F7FF9">
              <w:rPr>
                <w:rFonts w:ascii="Verdana" w:eastAsia="SimSun" w:hAnsi="Verdana" w:cs="Traditional Arabic"/>
                <w:b/>
                <w:sz w:val="20"/>
                <w:lang w:val="fr-CH"/>
              </w:rPr>
              <w:br/>
              <w:t>Document 130(Add.21)</w:t>
            </w:r>
            <w:r w:rsidR="00BB1D82" w:rsidRPr="007F7FF9">
              <w:rPr>
                <w:rFonts w:ascii="Verdana" w:hAnsi="Verdana"/>
                <w:b/>
                <w:sz w:val="20"/>
                <w:lang w:val="fr-CH"/>
              </w:rPr>
              <w:t>-</w:t>
            </w:r>
            <w:r w:rsidRPr="007F7FF9">
              <w:rPr>
                <w:rFonts w:ascii="Verdana" w:hAnsi="Verdana"/>
                <w:b/>
                <w:sz w:val="20"/>
                <w:lang w:val="fr-CH"/>
              </w:rPr>
              <w:t>F</w:t>
            </w:r>
          </w:p>
        </w:tc>
      </w:tr>
      <w:bookmarkEnd w:id="1"/>
      <w:tr w:rsidR="00690C7B" w:rsidRPr="007F7FF9" w14:paraId="709E8629" w14:textId="77777777" w:rsidTr="00BB1D82">
        <w:trPr>
          <w:cantSplit/>
        </w:trPr>
        <w:tc>
          <w:tcPr>
            <w:tcW w:w="6911" w:type="dxa"/>
            <w:shd w:val="clear" w:color="auto" w:fill="auto"/>
          </w:tcPr>
          <w:p w14:paraId="25AEF267" w14:textId="77777777" w:rsidR="00690C7B" w:rsidRPr="007F7FF9" w:rsidRDefault="00690C7B" w:rsidP="007F7FF9">
            <w:pPr>
              <w:spacing w:before="0"/>
              <w:rPr>
                <w:rFonts w:ascii="Verdana" w:hAnsi="Verdana"/>
                <w:b/>
                <w:sz w:val="20"/>
                <w:lang w:val="fr-CH"/>
              </w:rPr>
            </w:pPr>
          </w:p>
        </w:tc>
        <w:tc>
          <w:tcPr>
            <w:tcW w:w="3120" w:type="dxa"/>
            <w:shd w:val="clear" w:color="auto" w:fill="auto"/>
          </w:tcPr>
          <w:p w14:paraId="43961B35" w14:textId="77777777" w:rsidR="00690C7B" w:rsidRPr="007F7FF9" w:rsidRDefault="00690C7B" w:rsidP="007F7FF9">
            <w:pPr>
              <w:spacing w:before="0"/>
              <w:rPr>
                <w:rFonts w:ascii="Verdana" w:hAnsi="Verdana"/>
                <w:b/>
                <w:sz w:val="20"/>
                <w:lang w:val="en-US"/>
              </w:rPr>
            </w:pPr>
            <w:r w:rsidRPr="007F7FF9">
              <w:rPr>
                <w:rFonts w:ascii="Verdana" w:hAnsi="Verdana"/>
                <w:b/>
                <w:sz w:val="20"/>
                <w:lang w:val="en-US"/>
              </w:rPr>
              <w:t>16 octobre 2015</w:t>
            </w:r>
          </w:p>
        </w:tc>
      </w:tr>
      <w:tr w:rsidR="00690C7B" w:rsidRPr="007F7FF9" w14:paraId="2625A823" w14:textId="77777777" w:rsidTr="00BB1D82">
        <w:trPr>
          <w:cantSplit/>
        </w:trPr>
        <w:tc>
          <w:tcPr>
            <w:tcW w:w="6911" w:type="dxa"/>
          </w:tcPr>
          <w:p w14:paraId="0C8DBECB" w14:textId="77777777" w:rsidR="00690C7B" w:rsidRPr="007F7FF9" w:rsidRDefault="00690C7B" w:rsidP="007F7FF9">
            <w:pPr>
              <w:spacing w:before="0" w:after="48"/>
              <w:rPr>
                <w:rFonts w:ascii="Verdana" w:hAnsi="Verdana"/>
                <w:b/>
                <w:smallCaps/>
                <w:sz w:val="20"/>
                <w:lang w:val="en-US"/>
              </w:rPr>
            </w:pPr>
          </w:p>
        </w:tc>
        <w:tc>
          <w:tcPr>
            <w:tcW w:w="3120" w:type="dxa"/>
          </w:tcPr>
          <w:p w14:paraId="34DD3ACD" w14:textId="77777777" w:rsidR="00690C7B" w:rsidRPr="007F7FF9" w:rsidRDefault="00690C7B" w:rsidP="007F7FF9">
            <w:pPr>
              <w:spacing w:before="0"/>
              <w:rPr>
                <w:rFonts w:ascii="Verdana" w:hAnsi="Verdana"/>
                <w:b/>
                <w:sz w:val="20"/>
                <w:lang w:val="en-US"/>
              </w:rPr>
            </w:pPr>
            <w:r w:rsidRPr="007F7FF9">
              <w:rPr>
                <w:rFonts w:ascii="Verdana" w:hAnsi="Verdana"/>
                <w:b/>
                <w:sz w:val="20"/>
                <w:lang w:val="en-US"/>
              </w:rPr>
              <w:t>Original: anglais</w:t>
            </w:r>
          </w:p>
        </w:tc>
      </w:tr>
      <w:tr w:rsidR="00690C7B" w:rsidRPr="007F7FF9" w14:paraId="3368B81C" w14:textId="77777777" w:rsidTr="00C11970">
        <w:trPr>
          <w:cantSplit/>
        </w:trPr>
        <w:tc>
          <w:tcPr>
            <w:tcW w:w="10031" w:type="dxa"/>
            <w:gridSpan w:val="2"/>
          </w:tcPr>
          <w:p w14:paraId="0DAFFC24" w14:textId="77777777" w:rsidR="00690C7B" w:rsidRPr="007F7FF9" w:rsidRDefault="00690C7B" w:rsidP="007F7FF9">
            <w:pPr>
              <w:spacing w:before="0"/>
              <w:rPr>
                <w:rFonts w:ascii="Verdana" w:hAnsi="Verdana"/>
                <w:b/>
                <w:sz w:val="20"/>
                <w:lang w:val="en-US"/>
              </w:rPr>
            </w:pPr>
          </w:p>
        </w:tc>
      </w:tr>
      <w:tr w:rsidR="00690C7B" w:rsidRPr="007F7FF9" w14:paraId="6E368BD4" w14:textId="77777777" w:rsidTr="0050008E">
        <w:trPr>
          <w:cantSplit/>
        </w:trPr>
        <w:tc>
          <w:tcPr>
            <w:tcW w:w="10031" w:type="dxa"/>
            <w:gridSpan w:val="2"/>
          </w:tcPr>
          <w:p w14:paraId="536BEB81" w14:textId="77777777" w:rsidR="00690C7B" w:rsidRPr="007F7FF9" w:rsidRDefault="00690C7B" w:rsidP="007F7FF9">
            <w:pPr>
              <w:pStyle w:val="Source"/>
              <w:rPr>
                <w:lang w:val="fr-CH"/>
              </w:rPr>
            </w:pPr>
            <w:bookmarkStart w:id="2" w:name="dsource" w:colFirst="0" w:colLast="0"/>
            <w:r w:rsidRPr="007F7FF9">
              <w:rPr>
                <w:lang w:val="fr-CH"/>
              </w:rPr>
              <w:t>Angola (République d')/Botswana (République du)/Lesotho (Royaume du)/Madagascar (République de)/Malawi/Maurice (République de)/Mozambique (République du)/Namibie (République de)/République démocratique du Congo/Seychelles (République des)/Sudafricaine (République)/Swaziland (Royaume du)/Tanzanie (République-Unie de)/Zambie (République de)/Zimbabwe (République du)</w:t>
            </w:r>
          </w:p>
        </w:tc>
      </w:tr>
      <w:tr w:rsidR="00690C7B" w:rsidRPr="007F7FF9" w14:paraId="1DB35C03" w14:textId="77777777" w:rsidTr="0050008E">
        <w:trPr>
          <w:cantSplit/>
        </w:trPr>
        <w:tc>
          <w:tcPr>
            <w:tcW w:w="10031" w:type="dxa"/>
            <w:gridSpan w:val="2"/>
          </w:tcPr>
          <w:p w14:paraId="3D9F274C" w14:textId="77777777" w:rsidR="00690C7B" w:rsidRPr="007F7FF9" w:rsidRDefault="00690C7B" w:rsidP="007F7FF9">
            <w:pPr>
              <w:pStyle w:val="Title1"/>
              <w:rPr>
                <w:lang w:val="fr-CH"/>
              </w:rPr>
            </w:pPr>
            <w:bookmarkStart w:id="3" w:name="dtitle1" w:colFirst="0" w:colLast="0"/>
            <w:bookmarkEnd w:id="2"/>
            <w:r w:rsidRPr="007F7FF9">
              <w:rPr>
                <w:lang w:val="fr-CH"/>
              </w:rPr>
              <w:t>Propos</w:t>
            </w:r>
            <w:r w:rsidR="00091117" w:rsidRPr="007F7FF9">
              <w:rPr>
                <w:lang w:val="fr-CH"/>
              </w:rPr>
              <w:t xml:space="preserve">itions pour les travaux de la </w:t>
            </w:r>
            <w:r w:rsidRPr="007F7FF9">
              <w:rPr>
                <w:lang w:val="fr-CH"/>
              </w:rPr>
              <w:t>conf</w:t>
            </w:r>
            <w:r w:rsidR="00091117" w:rsidRPr="007F7FF9">
              <w:rPr>
                <w:lang w:val="fr-CH"/>
              </w:rPr>
              <w:t>é</w:t>
            </w:r>
            <w:r w:rsidRPr="007F7FF9">
              <w:rPr>
                <w:lang w:val="fr-CH"/>
              </w:rPr>
              <w:t>rence</w:t>
            </w:r>
          </w:p>
        </w:tc>
      </w:tr>
      <w:tr w:rsidR="00690C7B" w:rsidRPr="007F7FF9" w14:paraId="46F2CC51" w14:textId="77777777" w:rsidTr="0050008E">
        <w:trPr>
          <w:cantSplit/>
        </w:trPr>
        <w:tc>
          <w:tcPr>
            <w:tcW w:w="10031" w:type="dxa"/>
            <w:gridSpan w:val="2"/>
          </w:tcPr>
          <w:p w14:paraId="04DDAAEC" w14:textId="77777777" w:rsidR="00690C7B" w:rsidRPr="007F7FF9" w:rsidRDefault="00690C7B" w:rsidP="007F7FF9">
            <w:pPr>
              <w:pStyle w:val="Title2"/>
              <w:rPr>
                <w:lang w:val="fr-CH"/>
              </w:rPr>
            </w:pPr>
            <w:bookmarkStart w:id="4" w:name="dtitle2" w:colFirst="0" w:colLast="0"/>
            <w:bookmarkEnd w:id="3"/>
          </w:p>
        </w:tc>
      </w:tr>
      <w:tr w:rsidR="00690C7B" w:rsidRPr="007F7FF9" w14:paraId="52673255" w14:textId="77777777" w:rsidTr="0050008E">
        <w:trPr>
          <w:cantSplit/>
        </w:trPr>
        <w:tc>
          <w:tcPr>
            <w:tcW w:w="10031" w:type="dxa"/>
            <w:gridSpan w:val="2"/>
          </w:tcPr>
          <w:p w14:paraId="6B951C2F" w14:textId="77777777" w:rsidR="00690C7B" w:rsidRPr="007F7FF9" w:rsidRDefault="00690C7B" w:rsidP="007F7FF9">
            <w:pPr>
              <w:pStyle w:val="Agendaitem"/>
            </w:pPr>
            <w:bookmarkStart w:id="5" w:name="dtitle3" w:colFirst="0" w:colLast="0"/>
            <w:bookmarkEnd w:id="4"/>
            <w:r w:rsidRPr="007F7FF9">
              <w:t>Point 7(A) de l'ordre du jour</w:t>
            </w:r>
          </w:p>
        </w:tc>
      </w:tr>
    </w:tbl>
    <w:bookmarkEnd w:id="5"/>
    <w:p w14:paraId="5C02B913" w14:textId="77777777" w:rsidR="001C0E40" w:rsidRPr="007F7FF9" w:rsidRDefault="00126ADC" w:rsidP="007F7FF9">
      <w:pPr>
        <w:rPr>
          <w:lang w:val="fr-CA"/>
        </w:rPr>
      </w:pPr>
      <w:r w:rsidRPr="007F7FF9">
        <w:rPr>
          <w:lang w:val="fr-CA"/>
        </w:rPr>
        <w:t>7</w:t>
      </w:r>
      <w:r w:rsidRPr="007F7FF9">
        <w:rPr>
          <w:lang w:val="fr-CA"/>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7F7FF9">
        <w:rPr>
          <w:b/>
          <w:bCs/>
          <w:lang w:val="fr-CA"/>
        </w:rPr>
        <w:t>86 (Rév.CMR-07)</w:t>
      </w:r>
      <w:r w:rsidRPr="007F7FF9">
        <w:rPr>
          <w:lang w:val="fr-CA"/>
        </w:rPr>
        <w:t>, afin de faciliter l'utilisation rationnelle, efficace et économique des fréquences radioélectriques et des orbites associées, y compris de l'orbite des satellites géostationnaires;</w:t>
      </w:r>
    </w:p>
    <w:p w14:paraId="6F82F1B4" w14:textId="77777777" w:rsidR="001C0E40" w:rsidRPr="007F7FF9" w:rsidRDefault="00126ADC" w:rsidP="007F7FF9">
      <w:pPr>
        <w:rPr>
          <w:lang w:val="fr-CA"/>
        </w:rPr>
      </w:pPr>
      <w:r w:rsidRPr="007F7FF9">
        <w:rPr>
          <w:lang w:val="fr-CA"/>
        </w:rPr>
        <w:t>7(A)</w:t>
      </w:r>
      <w:r w:rsidRPr="007F7FF9">
        <w:rPr>
          <w:lang w:val="fr-CA"/>
        </w:rPr>
        <w:tab/>
        <w:t xml:space="preserve">Question A – Informer le Bureau, au titre du numéro </w:t>
      </w:r>
      <w:r w:rsidRPr="007F7FF9">
        <w:rPr>
          <w:b/>
          <w:bCs/>
          <w:lang w:val="fr-CA"/>
        </w:rPr>
        <w:t>11.49</w:t>
      </w:r>
      <w:r w:rsidRPr="007F7FF9">
        <w:rPr>
          <w:lang w:val="fr-CA"/>
        </w:rPr>
        <w:t xml:space="preserve"> du Règlement des radiocommunications, d'une suspension pendant une période dépassant six mois.</w:t>
      </w:r>
    </w:p>
    <w:p w14:paraId="7E781315" w14:textId="77777777" w:rsidR="0070357B" w:rsidRPr="007F7FF9" w:rsidRDefault="0070357B" w:rsidP="007F7FF9">
      <w:pPr>
        <w:rPr>
          <w:lang w:val="fr-CA"/>
        </w:rPr>
      </w:pPr>
    </w:p>
    <w:p w14:paraId="0D7F8480" w14:textId="77777777" w:rsidR="00091117" w:rsidRPr="007F7FF9" w:rsidRDefault="00091117" w:rsidP="007F7FF9">
      <w:pPr>
        <w:pStyle w:val="Headingb"/>
      </w:pPr>
      <w:r w:rsidRPr="007F7FF9">
        <w:t>Introduction</w:t>
      </w:r>
    </w:p>
    <w:p w14:paraId="700ACA96" w14:textId="424B5A7C" w:rsidR="005A6508" w:rsidRPr="007F7FF9" w:rsidRDefault="005A6508" w:rsidP="007F7FF9">
      <w:pPr>
        <w:rPr>
          <w:lang w:val="fr-CH"/>
        </w:rPr>
      </w:pPr>
      <w:r w:rsidRPr="007F7FF9">
        <w:rPr>
          <w:lang w:val="fr-CH"/>
        </w:rPr>
        <w:t>Les Etats membres de la SADC appuient l</w:t>
      </w:r>
      <w:r w:rsidR="009152D0" w:rsidRPr="007F7FF9">
        <w:rPr>
          <w:lang w:val="fr-CH"/>
        </w:rPr>
        <w:t>'</w:t>
      </w:r>
      <w:r w:rsidRPr="007F7FF9">
        <w:rPr>
          <w:lang w:val="fr-CH"/>
        </w:rPr>
        <w:t xml:space="preserve">option A de la Méthode A2 </w:t>
      </w:r>
      <w:r w:rsidR="00177DC9" w:rsidRPr="007F7FF9">
        <w:rPr>
          <w:lang w:val="fr-CH"/>
        </w:rPr>
        <w:t xml:space="preserve">décrite </w:t>
      </w:r>
      <w:r w:rsidRPr="007F7FF9">
        <w:rPr>
          <w:lang w:val="fr-CH"/>
        </w:rPr>
        <w:t xml:space="preserve">dans le Rapport de la RPC à la CMR-15. Cette Méthode consiste à modifier le numéro 11.49 du RR afin de proposer un mécanisme réglementaire permettant de traiter les situations dans lesquelles une administration informe le BR, après la période initiale de six mois, </w:t>
      </w:r>
      <w:r w:rsidRPr="007F7FF9">
        <w:rPr>
          <w:lang w:val="fr-CA"/>
        </w:rPr>
        <w:t>d'une suspension de l</w:t>
      </w:r>
      <w:r w:rsidR="009152D0" w:rsidRPr="007F7FF9">
        <w:rPr>
          <w:lang w:val="fr-CA"/>
        </w:rPr>
        <w:t>'</w:t>
      </w:r>
      <w:r w:rsidRPr="007F7FF9">
        <w:rPr>
          <w:lang w:val="fr-CA"/>
        </w:rPr>
        <w:t>utilisation d</w:t>
      </w:r>
      <w:r w:rsidR="009152D0" w:rsidRPr="007F7FF9">
        <w:rPr>
          <w:lang w:val="fr-CA"/>
        </w:rPr>
        <w:t>'</w:t>
      </w:r>
      <w:r w:rsidRPr="007F7FF9">
        <w:rPr>
          <w:lang w:val="fr-CA"/>
        </w:rPr>
        <w:t xml:space="preserve">une assignation de fréquence inscrite dans le Fichier de référence pendant une période </w:t>
      </w:r>
      <w:r w:rsidR="00177DC9" w:rsidRPr="007F7FF9">
        <w:rPr>
          <w:lang w:val="fr-CA"/>
        </w:rPr>
        <w:t>de plus de</w:t>
      </w:r>
      <w:r w:rsidRPr="007F7FF9">
        <w:rPr>
          <w:lang w:val="fr-CA"/>
        </w:rPr>
        <w:t xml:space="preserve"> six mois.</w:t>
      </w:r>
    </w:p>
    <w:p w14:paraId="690ABD26" w14:textId="77777777" w:rsidR="00091117" w:rsidRPr="007F7FF9" w:rsidRDefault="00091117" w:rsidP="007F7FF9">
      <w:pPr>
        <w:pStyle w:val="Headingb"/>
        <w:rPr>
          <w:lang w:val="fr-CH"/>
        </w:rPr>
      </w:pPr>
      <w:r w:rsidRPr="007F7FF9">
        <w:rPr>
          <w:lang w:val="fr-CH"/>
        </w:rPr>
        <w:t>Propositions</w:t>
      </w:r>
      <w:r w:rsidRPr="007F7FF9">
        <w:rPr>
          <w:lang w:val="fr-CH"/>
        </w:rPr>
        <w:br w:type="page"/>
      </w:r>
    </w:p>
    <w:p w14:paraId="5C0740EE" w14:textId="77777777" w:rsidR="004A6A8C" w:rsidRPr="007F7FF9" w:rsidRDefault="00126ADC" w:rsidP="007F7FF9">
      <w:pPr>
        <w:pStyle w:val="ArtNo"/>
      </w:pPr>
      <w:r w:rsidRPr="007F7FF9">
        <w:lastRenderedPageBreak/>
        <w:t xml:space="preserve">ARTICLE </w:t>
      </w:r>
      <w:r w:rsidRPr="007F7FF9">
        <w:rPr>
          <w:rStyle w:val="href"/>
        </w:rPr>
        <w:t>11</w:t>
      </w:r>
    </w:p>
    <w:p w14:paraId="1D52DA68" w14:textId="526D8376" w:rsidR="004A6A8C" w:rsidRPr="007F7FF9" w:rsidRDefault="00126ADC" w:rsidP="007F7FF9">
      <w:pPr>
        <w:pStyle w:val="Arttitle"/>
      </w:pPr>
      <w:r w:rsidRPr="007F7FF9">
        <w:t>Notification et inscription des assignations</w:t>
      </w:r>
      <w:r w:rsidRPr="007F7FF9">
        <w:br/>
        <w:t>de fréquence</w:t>
      </w:r>
      <w:r w:rsidRPr="007F7FF9">
        <w:rPr>
          <w:rStyle w:val="FootnoteReference"/>
        </w:rPr>
        <w:t>1, 2, 3, 4, 5, 6, 7, 7</w:t>
      </w:r>
      <w:r w:rsidRPr="007F7FF9">
        <w:rPr>
          <w:rStyle w:val="FootnoteReference"/>
          <w:i/>
          <w:iCs/>
        </w:rPr>
        <w:t>bis</w:t>
      </w:r>
      <w:r w:rsidR="008947EC" w:rsidRPr="007F7FF9">
        <w:rPr>
          <w:b w:val="0"/>
          <w:bCs/>
          <w:sz w:val="16"/>
          <w:szCs w:val="16"/>
        </w:rPr>
        <w:t xml:space="preserve"> </w:t>
      </w:r>
      <w:r w:rsidRPr="007F7FF9">
        <w:rPr>
          <w:b w:val="0"/>
          <w:bCs/>
          <w:sz w:val="16"/>
          <w:szCs w:val="16"/>
        </w:rPr>
        <w:t>(CMR-12)</w:t>
      </w:r>
    </w:p>
    <w:p w14:paraId="0E91897F" w14:textId="77777777" w:rsidR="004A6A8C" w:rsidRPr="007F7FF9" w:rsidRDefault="00126ADC" w:rsidP="007F7FF9">
      <w:pPr>
        <w:pStyle w:val="Section1"/>
      </w:pPr>
      <w:r w:rsidRPr="007F7FF9">
        <w:t>Section II – Examen des fiches de notification et inscription des</w:t>
      </w:r>
      <w:r w:rsidRPr="007F7FF9">
        <w:br/>
        <w:t>assignations de fréquence dans le Fichier de référence</w:t>
      </w:r>
    </w:p>
    <w:p w14:paraId="00548C15" w14:textId="00442D05" w:rsidR="00B83739" w:rsidRPr="007F7FF9" w:rsidRDefault="00126ADC" w:rsidP="007F7FF9">
      <w:pPr>
        <w:pStyle w:val="Proposal"/>
      </w:pPr>
      <w:r w:rsidRPr="007F7FF9">
        <w:t>MOD</w:t>
      </w:r>
      <w:r w:rsidR="0070357B" w:rsidRPr="007F7FF9">
        <w:tab/>
      </w:r>
      <w:r w:rsidRPr="007F7FF9">
        <w:t>AGL/BOT/LSO/MDG/MWI/MAU/MOZ/NMB/COD/SEY/AFS/SWZ/TZA/ZMB/ZWE/130A21A1/1</w:t>
      </w:r>
    </w:p>
    <w:p w14:paraId="468EA4EC" w14:textId="4AB09383" w:rsidR="004A6A8C" w:rsidRPr="007F7FF9" w:rsidRDefault="00126ADC" w:rsidP="007F7FF9">
      <w:r w:rsidRPr="007F7FF9">
        <w:rPr>
          <w:rStyle w:val="Artdef"/>
          <w:lang w:val="fr-CH"/>
        </w:rPr>
        <w:t>11.49</w:t>
      </w:r>
      <w:r w:rsidRPr="007F7FF9">
        <w:rPr>
          <w:lang w:val="fr-CH"/>
        </w:rPr>
        <w:tab/>
      </w:r>
      <w:r w:rsidRPr="007F7FF9">
        <w:rPr>
          <w:lang w:val="fr-CH"/>
        </w:rPr>
        <w:tab/>
      </w:r>
      <w:r w:rsidR="00EE456C" w:rsidRPr="007F7FF9">
        <w:rPr>
          <w:lang w:val="fr-CH"/>
        </w:rPr>
        <w:t xml:space="preserve">Chaque fois que l'utilisation d'une assignation de fréquence à une station spatiale inscrite dans le Fichier de référence est suspendue pendant une période dépassant six mois, l'administration notificatrice informe le Bureau </w:t>
      </w:r>
      <w:del w:id="6" w:author="Manouvrier, Yves" w:date="2014-09-05T12:35:00Z">
        <w:r w:rsidR="00EE456C" w:rsidRPr="007F7FF9" w:rsidDel="002260CB">
          <w:rPr>
            <w:lang w:val="fr-CH"/>
          </w:rPr>
          <w:delText xml:space="preserve">dès que possible, mais au plus tard six mois après la date à laquelle l'utilisation a été suspendue, </w:delText>
        </w:r>
      </w:del>
      <w:r w:rsidR="00EE456C" w:rsidRPr="007F7FF9">
        <w:rPr>
          <w:lang w:val="fr-CH"/>
        </w:rPr>
        <w:t xml:space="preserve">de la date à laquelle cette utilisation a été suspendue. Lorsque l'assignation inscrite est remise en service, l'administration notificatrice en informe le Bureau dès que possible, sous réserve, le cas échéant, des dispositions du numéro </w:t>
      </w:r>
      <w:r w:rsidR="00EE456C" w:rsidRPr="007F7FF9">
        <w:rPr>
          <w:b/>
          <w:bCs/>
          <w:lang w:val="fr-CH"/>
        </w:rPr>
        <w:t>11.49.1</w:t>
      </w:r>
      <w:r w:rsidR="00EE456C" w:rsidRPr="007F7FF9">
        <w:rPr>
          <w:lang w:val="fr-CH"/>
        </w:rPr>
        <w:t>. La date à laquelle l'assignation inscrite est remise en service</w:t>
      </w:r>
      <w:r w:rsidR="00EE456C" w:rsidRPr="007F7FF9">
        <w:rPr>
          <w:vertAlign w:val="superscript"/>
          <w:lang w:val="fr-CH"/>
        </w:rPr>
        <w:t>22</w:t>
      </w:r>
      <w:r w:rsidR="00EE456C" w:rsidRPr="007F7FF9">
        <w:rPr>
          <w:lang w:val="fr-CH"/>
        </w:rPr>
        <w:t xml:space="preserve"> ne doit pas dépasser trois ans à compter de la date </w:t>
      </w:r>
      <w:ins w:id="7" w:author="Manouvrier, Yves" w:date="2014-09-05T12:36:00Z">
        <w:r w:rsidR="00EE456C" w:rsidRPr="007F7FF9">
          <w:t>à laquelle l</w:t>
        </w:r>
      </w:ins>
      <w:ins w:id="8" w:author="Saxod, Nathalie" w:date="2014-09-24T15:22:00Z">
        <w:r w:rsidR="00EE456C" w:rsidRPr="007F7FF9">
          <w:t>'</w:t>
        </w:r>
      </w:ins>
      <w:ins w:id="9" w:author="Manouvrier, Yves" w:date="2014-09-05T12:36:00Z">
        <w:r w:rsidR="00EE456C" w:rsidRPr="007F7FF9">
          <w:t>utilisation</w:t>
        </w:r>
      </w:ins>
      <w:ins w:id="10" w:author="Manouvrier, Yves" w:date="2014-09-05T12:37:00Z">
        <w:r w:rsidR="00EE456C" w:rsidRPr="007F7FF9">
          <w:t xml:space="preserve"> </w:t>
        </w:r>
      </w:ins>
      <w:ins w:id="11" w:author="Manouvrier, Yves" w:date="2014-09-05T12:38:00Z">
        <w:r w:rsidR="00EE456C" w:rsidRPr="007F7FF9">
          <w:t xml:space="preserve">de cette assignation </w:t>
        </w:r>
      </w:ins>
      <w:ins w:id="12" w:author="Alidra, Patricia" w:date="2015-03-29T23:16:00Z">
        <w:r w:rsidR="00EE456C" w:rsidRPr="007F7FF9">
          <w:t xml:space="preserve">de fréquence </w:t>
        </w:r>
      </w:ins>
      <w:ins w:id="13" w:author="Manouvrier, Yves" w:date="2014-09-05T12:38:00Z">
        <w:r w:rsidR="00EE456C" w:rsidRPr="007F7FF9">
          <w:t>a été suspendue, à condition que l</w:t>
        </w:r>
      </w:ins>
      <w:ins w:id="14" w:author="Saxod, Nathalie" w:date="2014-09-24T15:22:00Z">
        <w:r w:rsidR="00EE456C" w:rsidRPr="007F7FF9">
          <w:t>'</w:t>
        </w:r>
      </w:ins>
      <w:ins w:id="15" w:author="Manouvrier, Yves" w:date="2014-09-05T12:39:00Z">
        <w:r w:rsidR="00EE456C" w:rsidRPr="007F7FF9">
          <w:t xml:space="preserve">administration notificatrice </w:t>
        </w:r>
      </w:ins>
      <w:ins w:id="16" w:author="Manouvrier, Yves" w:date="2014-09-05T13:36:00Z">
        <w:r w:rsidR="00EE456C" w:rsidRPr="007F7FF9">
          <w:t>informe le Bureau de la suspension dans un délai de six mois à compter de la date à laquelle l</w:t>
        </w:r>
      </w:ins>
      <w:ins w:id="17" w:author="Saxod, Nathalie" w:date="2014-09-24T15:22:00Z">
        <w:r w:rsidR="00EE456C" w:rsidRPr="007F7FF9">
          <w:t>'</w:t>
        </w:r>
      </w:ins>
      <w:ins w:id="18" w:author="Manouvrier, Yves" w:date="2014-09-05T13:36:00Z">
        <w:r w:rsidR="00EE456C" w:rsidRPr="007F7FF9">
          <w:t>utilisation de l</w:t>
        </w:r>
      </w:ins>
      <w:ins w:id="19" w:author="Saxod, Nathalie" w:date="2014-09-24T15:22:00Z">
        <w:r w:rsidR="00EE456C" w:rsidRPr="007F7FF9">
          <w:t>'</w:t>
        </w:r>
      </w:ins>
      <w:ins w:id="20" w:author="Manouvrier, Yves" w:date="2014-09-05T13:36:00Z">
        <w:r w:rsidR="00EE456C" w:rsidRPr="007F7FF9">
          <w:t xml:space="preserve">assignation a été suspendue. </w:t>
        </w:r>
      </w:ins>
      <w:ins w:id="21" w:author="Manouvrier, Yves" w:date="2014-09-05T13:37:00Z">
        <w:r w:rsidR="00EE456C" w:rsidRPr="007F7FF9">
          <w:t>Si l</w:t>
        </w:r>
      </w:ins>
      <w:ins w:id="22" w:author="Saxod, Nathalie" w:date="2014-09-24T15:22:00Z">
        <w:r w:rsidR="00EE456C" w:rsidRPr="007F7FF9">
          <w:t>'</w:t>
        </w:r>
      </w:ins>
      <w:ins w:id="23" w:author="Manouvrier, Yves" w:date="2014-09-05T13:37:00Z">
        <w:r w:rsidR="00EE456C" w:rsidRPr="007F7FF9">
          <w:t>administration notificatrice informe le Bureau de la suspension plus de six mois après la date à laquelle l</w:t>
        </w:r>
      </w:ins>
      <w:ins w:id="24" w:author="Saxod, Nathalie" w:date="2014-09-24T15:22:00Z">
        <w:r w:rsidR="00EE456C" w:rsidRPr="007F7FF9">
          <w:t>'</w:t>
        </w:r>
      </w:ins>
      <w:ins w:id="25" w:author="Manouvrier, Yves" w:date="2014-09-05T13:37:00Z">
        <w:r w:rsidR="00EE456C" w:rsidRPr="007F7FF9">
          <w:t>utilisation de l</w:t>
        </w:r>
      </w:ins>
      <w:ins w:id="26" w:author="Saxod, Nathalie" w:date="2014-09-24T15:22:00Z">
        <w:r w:rsidR="00EE456C" w:rsidRPr="007F7FF9">
          <w:t>'</w:t>
        </w:r>
      </w:ins>
      <w:ins w:id="27" w:author="Manouvrier, Yves" w:date="2014-09-05T13:38:00Z">
        <w:r w:rsidR="00EE456C" w:rsidRPr="007F7FF9">
          <w:t xml:space="preserve">assignation </w:t>
        </w:r>
      </w:ins>
      <w:ins w:id="28" w:author="Alidra, Patricia" w:date="2015-03-29T23:16:00Z">
        <w:r w:rsidR="00EE456C" w:rsidRPr="007F7FF9">
          <w:t xml:space="preserve">de fréquence </w:t>
        </w:r>
      </w:ins>
      <w:ins w:id="29" w:author="Manouvrier, Yves" w:date="2014-09-05T13:38:00Z">
        <w:r w:rsidR="00EE456C" w:rsidRPr="007F7FF9">
          <w:t xml:space="preserve">a été suspendue, cette période de trois ans est réduite. Dans ce cas, </w:t>
        </w:r>
      </w:ins>
      <w:ins w:id="30" w:author="Manouvrier, Yves" w:date="2014-09-05T13:39:00Z">
        <w:r w:rsidR="00EE456C" w:rsidRPr="007F7FF9">
          <w:t>la durée</w:t>
        </w:r>
      </w:ins>
      <w:ins w:id="31" w:author="Manouvrier, Yves" w:date="2014-09-05T13:44:00Z">
        <w:r w:rsidR="00EE456C" w:rsidRPr="007F7FF9">
          <w:t xml:space="preserve"> dont</w:t>
        </w:r>
      </w:ins>
      <w:ins w:id="32" w:author="Manouvrier, Yves" w:date="2014-09-05T13:39:00Z">
        <w:r w:rsidR="00EE456C" w:rsidRPr="007F7FF9">
          <w:t xml:space="preserve"> est réduite </w:t>
        </w:r>
      </w:ins>
      <w:ins w:id="33" w:author="Manouvrier, Yves" w:date="2014-09-05T13:38:00Z">
        <w:r w:rsidR="00EE456C" w:rsidRPr="007F7FF9">
          <w:t xml:space="preserve">la période de trois ans </w:t>
        </w:r>
      </w:ins>
      <w:ins w:id="34" w:author="Manouvrier, Yves" w:date="2014-09-09T08:58:00Z">
        <w:r w:rsidR="00EE456C" w:rsidRPr="007F7FF9">
          <w:t xml:space="preserve">est </w:t>
        </w:r>
      </w:ins>
      <w:ins w:id="35" w:author="Manouvrier, Yves" w:date="2014-09-05T13:39:00Z">
        <w:r w:rsidR="00EE456C" w:rsidRPr="007F7FF9">
          <w:t xml:space="preserve">égale </w:t>
        </w:r>
      </w:ins>
      <w:ins w:id="36" w:author="Manouvrier, Yves" w:date="2014-09-09T08:58:00Z">
        <w:r w:rsidR="00EE456C" w:rsidRPr="007F7FF9">
          <w:t xml:space="preserve">à </w:t>
        </w:r>
      </w:ins>
      <w:ins w:id="37" w:author="Manouvrier, Yves" w:date="2014-09-05T13:39:00Z">
        <w:r w:rsidR="00EE456C" w:rsidRPr="007F7FF9">
          <w:t xml:space="preserve">la durée écoulée entre la fin de la période </w:t>
        </w:r>
      </w:ins>
      <w:ins w:id="38" w:author="Manouvrier, Yves" w:date="2014-09-05T14:01:00Z">
        <w:r w:rsidR="00EE456C" w:rsidRPr="007F7FF9">
          <w:t xml:space="preserve">initiale </w:t>
        </w:r>
      </w:ins>
      <w:ins w:id="39" w:author="Manouvrier, Yves" w:date="2014-09-05T13:39:00Z">
        <w:r w:rsidR="00EE456C" w:rsidRPr="007F7FF9">
          <w:t xml:space="preserve">de six mois et la date à laquelle le Bureau est informé </w:t>
        </w:r>
      </w:ins>
      <w:r w:rsidR="00EE456C" w:rsidRPr="007F7FF9">
        <w:t xml:space="preserve">de </w:t>
      </w:r>
      <w:ins w:id="40" w:author="Manouvrier, Yves" w:date="2014-09-05T13:40:00Z">
        <w:r w:rsidR="00EE456C" w:rsidRPr="007F7FF9">
          <w:t xml:space="preserve">la </w:t>
        </w:r>
      </w:ins>
      <w:r w:rsidR="00EE456C" w:rsidRPr="007F7FF9">
        <w:t>suspension.</w:t>
      </w:r>
      <w:ins w:id="41" w:author="Rouabhi, Naima" w:date="2015-03-13T13:13:00Z">
        <w:r w:rsidR="00EE456C" w:rsidRPr="007F7FF9">
          <w:rPr>
            <w:lang w:val="fr-CH" w:eastAsia="ko-KR"/>
          </w:rPr>
          <w:t xml:space="preserve"> Si l'administration notificatrice informe le Bureau de la suspension plus de </w:t>
        </w:r>
      </w:ins>
      <w:ins w:id="42" w:author="Rouabhi, Naima" w:date="2015-03-13T14:31:00Z">
        <w:r w:rsidR="00EE456C" w:rsidRPr="007F7FF9">
          <w:rPr>
            <w:lang w:val="fr-CH" w:eastAsia="ko-KR"/>
          </w:rPr>
          <w:t xml:space="preserve">vingt et un mois </w:t>
        </w:r>
      </w:ins>
      <w:ins w:id="43" w:author="Rouabhi, Naima" w:date="2015-03-13T13:13:00Z">
        <w:r w:rsidR="00EE456C" w:rsidRPr="007F7FF9">
          <w:rPr>
            <w:lang w:val="fr-CH" w:eastAsia="ko-KR"/>
          </w:rPr>
          <w:t>après la date à laquelle l'utilisation de l'assignation de fréquence a été suspendue, cette assignation de fréquence est annulée.</w:t>
        </w:r>
      </w:ins>
      <w:r w:rsidR="00D348F1" w:rsidRPr="007F7FF9">
        <w:rPr>
          <w:sz w:val="16"/>
          <w:szCs w:val="16"/>
          <w:lang w:val="fr-CH"/>
        </w:rPr>
        <w:t xml:space="preserve"> </w:t>
      </w:r>
      <w:r w:rsidR="00EE456C" w:rsidRPr="007F7FF9">
        <w:rPr>
          <w:sz w:val="16"/>
          <w:szCs w:val="16"/>
          <w:lang w:val="fr-CH"/>
        </w:rPr>
        <w:t> (CMR</w:t>
      </w:r>
      <w:r w:rsidR="00EE456C" w:rsidRPr="007F7FF9">
        <w:rPr>
          <w:sz w:val="16"/>
          <w:szCs w:val="16"/>
          <w:lang w:val="fr-CH"/>
        </w:rPr>
        <w:noBreakHyphen/>
      </w:r>
      <w:del w:id="44" w:author="Geneux, Aude" w:date="2014-09-01T10:28:00Z">
        <w:r w:rsidR="00EE456C" w:rsidRPr="007F7FF9" w:rsidDel="003F4D05">
          <w:rPr>
            <w:sz w:val="16"/>
            <w:szCs w:val="16"/>
            <w:lang w:val="fr-CH"/>
          </w:rPr>
          <w:delText>12</w:delText>
        </w:r>
      </w:del>
      <w:ins w:id="45" w:author="Geneux, Aude" w:date="2014-09-01T10:28:00Z">
        <w:r w:rsidR="00EE456C" w:rsidRPr="007F7FF9">
          <w:rPr>
            <w:sz w:val="16"/>
            <w:szCs w:val="16"/>
            <w:lang w:val="fr-CH"/>
          </w:rPr>
          <w:t>15</w:t>
        </w:r>
      </w:ins>
      <w:r w:rsidR="00EE456C" w:rsidRPr="007F7FF9">
        <w:rPr>
          <w:sz w:val="16"/>
          <w:szCs w:val="16"/>
          <w:lang w:val="fr-CH"/>
        </w:rPr>
        <w:t>)</w:t>
      </w:r>
    </w:p>
    <w:p w14:paraId="6959BA6A" w14:textId="77777777" w:rsidR="00B83739" w:rsidRPr="007F7FF9" w:rsidRDefault="00126ADC" w:rsidP="007F7FF9">
      <w:pPr>
        <w:pStyle w:val="Reasons"/>
      </w:pPr>
      <w:r w:rsidRPr="007F7FF9">
        <w:rPr>
          <w:b/>
          <w:lang w:val="fr-CH"/>
        </w:rPr>
        <w:t>Motifs:</w:t>
      </w:r>
      <w:r w:rsidRPr="007F7FF9">
        <w:rPr>
          <w:lang w:val="fr-CH"/>
        </w:rPr>
        <w:tab/>
      </w:r>
      <w:r w:rsidR="00EE456C" w:rsidRPr="007F7FF9">
        <w:t>Améliorer les dispositions réglementaires relatives aux satellites</w:t>
      </w:r>
      <w:r w:rsidR="00091117" w:rsidRPr="007F7FF9">
        <w:rPr>
          <w:lang w:val="fr-CH"/>
        </w:rPr>
        <w:t>.</w:t>
      </w:r>
    </w:p>
    <w:p w14:paraId="32516414" w14:textId="77777777" w:rsidR="00B83739" w:rsidRPr="007F7FF9" w:rsidRDefault="00126ADC" w:rsidP="007F7FF9">
      <w:pPr>
        <w:pStyle w:val="Proposal"/>
      </w:pPr>
      <w:r w:rsidRPr="007F7FF9">
        <w:rPr>
          <w:u w:val="single"/>
        </w:rPr>
        <w:t>NOC</w:t>
      </w:r>
      <w:r w:rsidRPr="007F7FF9">
        <w:tab/>
        <w:t>AGL/BOT/LSO/MDG/MWI/MAU/MOZ/NMB/COD/SEY/AFS/SWZ/TZA/ZMB/ZWE/130A21A1/2</w:t>
      </w:r>
    </w:p>
    <w:p w14:paraId="7779187F" w14:textId="77777777" w:rsidR="00091117" w:rsidRPr="007F7FF9" w:rsidRDefault="00091117" w:rsidP="007F7FF9">
      <w:r w:rsidRPr="007F7FF9">
        <w:t>_______________</w:t>
      </w:r>
    </w:p>
    <w:p w14:paraId="7BADBA0B" w14:textId="55E90298" w:rsidR="00F83ADB" w:rsidRPr="007F7FF9" w:rsidRDefault="00126ADC" w:rsidP="007F7FF9">
      <w:pPr>
        <w:pStyle w:val="FootnoteText"/>
      </w:pPr>
      <w:r w:rsidRPr="007F7FF9">
        <w:rPr>
          <w:rStyle w:val="FootnoteReference"/>
        </w:rPr>
        <w:t>22</w:t>
      </w:r>
      <w:r w:rsidRPr="007F7FF9">
        <w:t xml:space="preserve"> </w:t>
      </w:r>
      <w:r w:rsidRPr="007F7FF9">
        <w:rPr>
          <w:rStyle w:val="Artdef"/>
        </w:rPr>
        <w:t>11.49.1</w:t>
      </w:r>
      <w:r w:rsidRPr="007F7FF9">
        <w:rPr>
          <w:rStyle w:val="Artdef"/>
        </w:rPr>
        <w:tab/>
      </w:r>
      <w:r w:rsidRPr="007F7FF9">
        <w:t>La date de remise en service d'une assignation de fréquence à une station spatiale sur l'orbite des satellites géostation</w:t>
      </w:r>
      <w:bookmarkStart w:id="46" w:name="_GoBack"/>
      <w:bookmarkEnd w:id="46"/>
      <w:r w:rsidRPr="007F7FF9">
        <w:t>naires est la date de début de la période de quatre-vingt-dix jours définie ci-dessous.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période de quatre-vingt-dix jours.</w:t>
      </w:r>
      <w:r w:rsidR="00D348F1" w:rsidRPr="007F7FF9">
        <w:rPr>
          <w:sz w:val="16"/>
          <w:szCs w:val="16"/>
        </w:rPr>
        <w:t xml:space="preserve"> </w:t>
      </w:r>
      <w:r w:rsidRPr="007F7FF9">
        <w:rPr>
          <w:sz w:val="16"/>
          <w:szCs w:val="16"/>
        </w:rPr>
        <w:t> (CMR-12)</w:t>
      </w:r>
    </w:p>
    <w:p w14:paraId="52C72637" w14:textId="69FDB005" w:rsidR="00091117" w:rsidRPr="007F7FF9" w:rsidRDefault="00126ADC" w:rsidP="007F7FF9">
      <w:pPr>
        <w:pStyle w:val="Reasons"/>
      </w:pPr>
      <w:r w:rsidRPr="007F7FF9">
        <w:rPr>
          <w:b/>
        </w:rPr>
        <w:t>Motifs:</w:t>
      </w:r>
      <w:r w:rsidRPr="007F7FF9">
        <w:tab/>
      </w:r>
      <w:r w:rsidR="008947EC" w:rsidRPr="007F7FF9">
        <w:t>Améliorer les dispositions réglementaires relatives aux satellites</w:t>
      </w:r>
      <w:r w:rsidR="00091117" w:rsidRPr="007F7FF9">
        <w:t>.</w:t>
      </w:r>
    </w:p>
    <w:p w14:paraId="3D11ED50" w14:textId="77777777" w:rsidR="00091117" w:rsidRPr="007F7FF9" w:rsidRDefault="00091117" w:rsidP="007F7FF9">
      <w:pPr>
        <w:pStyle w:val="Reasons"/>
      </w:pPr>
    </w:p>
    <w:p w14:paraId="73C9EE07" w14:textId="77777777" w:rsidR="00091117" w:rsidRDefault="00091117" w:rsidP="007F7FF9">
      <w:pPr>
        <w:jc w:val="center"/>
      </w:pPr>
      <w:r w:rsidRPr="007F7FF9">
        <w:t>______________</w:t>
      </w:r>
    </w:p>
    <w:sectPr w:rsidR="00091117">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51378" w14:textId="77777777" w:rsidR="001F17E8" w:rsidRDefault="001F17E8">
      <w:r>
        <w:separator/>
      </w:r>
    </w:p>
  </w:endnote>
  <w:endnote w:type="continuationSeparator" w:id="0">
    <w:p w14:paraId="2DDB946E" w14:textId="77777777"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06AF" w14:textId="77777777" w:rsidR="00936D25" w:rsidRDefault="00936D25">
    <w:pPr>
      <w:rPr>
        <w:lang w:val="en-US"/>
      </w:rPr>
    </w:pPr>
    <w:r>
      <w:fldChar w:fldCharType="begin"/>
    </w:r>
    <w:r>
      <w:rPr>
        <w:lang w:val="en-US"/>
      </w:rPr>
      <w:instrText xml:space="preserve"> FILENAME \p  \* MERGEFORMAT </w:instrText>
    </w:r>
    <w:r>
      <w:fldChar w:fldCharType="separate"/>
    </w:r>
    <w:r w:rsidR="00B67742">
      <w:rPr>
        <w:noProof/>
        <w:lang w:val="en-US"/>
      </w:rPr>
      <w:t>P:\FRA\ITU-R\CONF-R\CMR15\100\130ADD21ADD1F.docx</w:t>
    </w:r>
    <w:r>
      <w:fldChar w:fldCharType="end"/>
    </w:r>
    <w:r>
      <w:rPr>
        <w:lang w:val="en-US"/>
      </w:rPr>
      <w:tab/>
    </w:r>
    <w:r>
      <w:fldChar w:fldCharType="begin"/>
    </w:r>
    <w:r>
      <w:instrText xml:space="preserve"> SAVEDATE \@ DD.MM.YY </w:instrText>
    </w:r>
    <w:r>
      <w:fldChar w:fldCharType="separate"/>
    </w:r>
    <w:r w:rsidR="007F7FF9">
      <w:rPr>
        <w:noProof/>
      </w:rPr>
      <w:t>28.10.15</w:t>
    </w:r>
    <w:r>
      <w:fldChar w:fldCharType="end"/>
    </w:r>
    <w:r>
      <w:rPr>
        <w:lang w:val="en-US"/>
      </w:rPr>
      <w:tab/>
    </w:r>
    <w:r>
      <w:fldChar w:fldCharType="begin"/>
    </w:r>
    <w:r>
      <w:instrText xml:space="preserve"> PRINTDATE \@ DD.MM.YY </w:instrText>
    </w:r>
    <w:r>
      <w:fldChar w:fldCharType="separate"/>
    </w:r>
    <w:r w:rsidR="00B67742">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1A2C" w14:textId="77777777" w:rsidR="00936D25" w:rsidRDefault="00936D25" w:rsidP="00FA5F79">
    <w:pPr>
      <w:pStyle w:val="Footer"/>
      <w:rPr>
        <w:lang w:val="en-US"/>
      </w:rPr>
    </w:pPr>
    <w:r w:rsidRPr="00FA5F79">
      <w:rPr>
        <w:sz w:val="15"/>
        <w:szCs w:val="15"/>
      </w:rPr>
      <w:fldChar w:fldCharType="begin"/>
    </w:r>
    <w:r w:rsidRPr="00FA5F79">
      <w:rPr>
        <w:sz w:val="15"/>
        <w:szCs w:val="15"/>
        <w:lang w:val="en-US"/>
      </w:rPr>
      <w:instrText xml:space="preserve"> FILENAME \p  \* MERGEFORMAT </w:instrText>
    </w:r>
    <w:r w:rsidRPr="00FA5F79">
      <w:rPr>
        <w:sz w:val="15"/>
        <w:szCs w:val="15"/>
      </w:rPr>
      <w:fldChar w:fldCharType="separate"/>
    </w:r>
    <w:r w:rsidR="007F7FF9">
      <w:rPr>
        <w:sz w:val="15"/>
        <w:szCs w:val="15"/>
        <w:lang w:val="en-US"/>
      </w:rPr>
      <w:t>P:\FRA\ITU-R\CONF-R\CMR15\100\130ADD21ADD01F.docx</w:t>
    </w:r>
    <w:r w:rsidRPr="00FA5F79">
      <w:rPr>
        <w:sz w:val="15"/>
        <w:szCs w:val="15"/>
      </w:rPr>
      <w:fldChar w:fldCharType="end"/>
    </w:r>
    <w:r w:rsidR="00FA5F79" w:rsidRPr="00FA5F79">
      <w:rPr>
        <w:sz w:val="15"/>
        <w:szCs w:val="15"/>
      </w:rPr>
      <w:t xml:space="preserve"> (389022)</w:t>
    </w:r>
    <w:r>
      <w:rPr>
        <w:lang w:val="en-US"/>
      </w:rPr>
      <w:tab/>
    </w:r>
    <w:r>
      <w:fldChar w:fldCharType="begin"/>
    </w:r>
    <w:r>
      <w:instrText xml:space="preserve"> SAVEDATE \@ DD.MM.YY </w:instrText>
    </w:r>
    <w:r>
      <w:fldChar w:fldCharType="separate"/>
    </w:r>
    <w:r w:rsidR="007F7FF9">
      <w:t>28.10.15</w:t>
    </w:r>
    <w:r>
      <w:fldChar w:fldCharType="end"/>
    </w:r>
    <w:r>
      <w:rPr>
        <w:lang w:val="en-US"/>
      </w:rPr>
      <w:tab/>
    </w:r>
    <w:r w:rsidR="00FA5F79">
      <w:t>26.10.15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E257" w14:textId="77777777" w:rsidR="00936D25" w:rsidRDefault="00936D25" w:rsidP="00FA5F79">
    <w:pPr>
      <w:pStyle w:val="Footer"/>
      <w:rPr>
        <w:lang w:val="en-US"/>
      </w:rPr>
    </w:pPr>
    <w:r w:rsidRPr="00FA5F79">
      <w:rPr>
        <w:sz w:val="15"/>
        <w:szCs w:val="15"/>
      </w:rPr>
      <w:fldChar w:fldCharType="begin"/>
    </w:r>
    <w:r w:rsidRPr="00FA5F79">
      <w:rPr>
        <w:sz w:val="15"/>
        <w:szCs w:val="15"/>
        <w:lang w:val="en-US"/>
      </w:rPr>
      <w:instrText xml:space="preserve"> FILENAME \p  \* MERGEFORMAT </w:instrText>
    </w:r>
    <w:r w:rsidRPr="00FA5F79">
      <w:rPr>
        <w:sz w:val="15"/>
        <w:szCs w:val="15"/>
      </w:rPr>
      <w:fldChar w:fldCharType="separate"/>
    </w:r>
    <w:r w:rsidR="007F7FF9">
      <w:rPr>
        <w:sz w:val="15"/>
        <w:szCs w:val="15"/>
        <w:lang w:val="en-US"/>
      </w:rPr>
      <w:t>P:\FRA\ITU-R\CONF-R\CMR15\100\130ADD21ADD01F.docx</w:t>
    </w:r>
    <w:r w:rsidRPr="00FA5F79">
      <w:rPr>
        <w:sz w:val="15"/>
        <w:szCs w:val="15"/>
      </w:rPr>
      <w:fldChar w:fldCharType="end"/>
    </w:r>
    <w:r w:rsidR="00FA5F79" w:rsidRPr="00FA5F79">
      <w:rPr>
        <w:sz w:val="15"/>
        <w:szCs w:val="15"/>
      </w:rPr>
      <w:t xml:space="preserve"> (389022)</w:t>
    </w:r>
    <w:r>
      <w:rPr>
        <w:lang w:val="en-US"/>
      </w:rPr>
      <w:tab/>
    </w:r>
    <w:r>
      <w:fldChar w:fldCharType="begin"/>
    </w:r>
    <w:r>
      <w:instrText xml:space="preserve"> SAVEDATE \@ DD.MM.YY </w:instrText>
    </w:r>
    <w:r>
      <w:fldChar w:fldCharType="separate"/>
    </w:r>
    <w:r w:rsidR="007F7FF9">
      <w:t>28.10.15</w:t>
    </w:r>
    <w:r>
      <w:fldChar w:fldCharType="end"/>
    </w:r>
    <w:r>
      <w:rPr>
        <w:lang w:val="en-US"/>
      </w:rPr>
      <w:tab/>
    </w:r>
    <w:r w:rsidR="00FA5F79">
      <w:t>26.10.15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AB7D" w14:textId="77777777" w:rsidR="001F17E8" w:rsidRDefault="001F17E8">
      <w:r>
        <w:rPr>
          <w:b/>
        </w:rPr>
        <w:t>_______________</w:t>
      </w:r>
    </w:p>
  </w:footnote>
  <w:footnote w:type="continuationSeparator" w:id="0">
    <w:p w14:paraId="5EF91575" w14:textId="77777777"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321BB" w14:textId="77777777" w:rsidR="004F1F8E" w:rsidRDefault="004F1F8E" w:rsidP="004F1F8E">
    <w:pPr>
      <w:pStyle w:val="Header"/>
    </w:pPr>
    <w:r>
      <w:fldChar w:fldCharType="begin"/>
    </w:r>
    <w:r>
      <w:instrText xml:space="preserve"> PAGE </w:instrText>
    </w:r>
    <w:r>
      <w:fldChar w:fldCharType="separate"/>
    </w:r>
    <w:r w:rsidR="007F7FF9">
      <w:rPr>
        <w:noProof/>
      </w:rPr>
      <w:t>2</w:t>
    </w:r>
    <w:r>
      <w:fldChar w:fldCharType="end"/>
    </w:r>
  </w:p>
  <w:p w14:paraId="1C91E205" w14:textId="77777777" w:rsidR="004F1F8E" w:rsidRDefault="004F1F8E" w:rsidP="002C28A4">
    <w:pPr>
      <w:pStyle w:val="Header"/>
    </w:pPr>
    <w:r>
      <w:t>CMR1</w:t>
    </w:r>
    <w:r w:rsidR="002C28A4">
      <w:t>5</w:t>
    </w:r>
    <w:r>
      <w:t>/</w:t>
    </w:r>
    <w:r w:rsidR="006A4B45">
      <w:t>130(Add.21)(Add.1)-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Alidra, Patricia">
    <w15:presenceInfo w15:providerId="AD" w15:userId="S-1-5-21-8740799-900759487-1415713722-5940"/>
  </w15:person>
  <w15:person w15:author="Rouabhi, Naima">
    <w15:presenceInfo w15:providerId="AD" w15:userId="S-1-5-21-8740799-900759487-1415713722-36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91117"/>
    <w:rsid w:val="000A4755"/>
    <w:rsid w:val="000B2E0C"/>
    <w:rsid w:val="000B3D0C"/>
    <w:rsid w:val="001167B9"/>
    <w:rsid w:val="001267A0"/>
    <w:rsid w:val="00126ADC"/>
    <w:rsid w:val="0015203F"/>
    <w:rsid w:val="00160C64"/>
    <w:rsid w:val="00177DC9"/>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15289"/>
    <w:rsid w:val="00466211"/>
    <w:rsid w:val="004834A9"/>
    <w:rsid w:val="004D01FC"/>
    <w:rsid w:val="004E28C3"/>
    <w:rsid w:val="004F1F8E"/>
    <w:rsid w:val="00512A32"/>
    <w:rsid w:val="00586CF2"/>
    <w:rsid w:val="005A6508"/>
    <w:rsid w:val="005C3768"/>
    <w:rsid w:val="005C6C3F"/>
    <w:rsid w:val="00613635"/>
    <w:rsid w:val="0062093D"/>
    <w:rsid w:val="00637ECF"/>
    <w:rsid w:val="00647B59"/>
    <w:rsid w:val="00690C7B"/>
    <w:rsid w:val="006A4B45"/>
    <w:rsid w:val="006D4724"/>
    <w:rsid w:val="00701BAE"/>
    <w:rsid w:val="0070357B"/>
    <w:rsid w:val="00721F04"/>
    <w:rsid w:val="00730E95"/>
    <w:rsid w:val="007426B9"/>
    <w:rsid w:val="00764342"/>
    <w:rsid w:val="00774362"/>
    <w:rsid w:val="00786598"/>
    <w:rsid w:val="007A04E8"/>
    <w:rsid w:val="007F7FF9"/>
    <w:rsid w:val="00851625"/>
    <w:rsid w:val="00863C0A"/>
    <w:rsid w:val="008947EC"/>
    <w:rsid w:val="008A0778"/>
    <w:rsid w:val="008A3120"/>
    <w:rsid w:val="008D41BE"/>
    <w:rsid w:val="008D58D3"/>
    <w:rsid w:val="009152D0"/>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C5D16"/>
    <w:rsid w:val="00AD1D9C"/>
    <w:rsid w:val="00AE36A0"/>
    <w:rsid w:val="00B00294"/>
    <w:rsid w:val="00B12B6A"/>
    <w:rsid w:val="00B64FD0"/>
    <w:rsid w:val="00B67742"/>
    <w:rsid w:val="00B83739"/>
    <w:rsid w:val="00BA5BD0"/>
    <w:rsid w:val="00BB1D82"/>
    <w:rsid w:val="00BF26E7"/>
    <w:rsid w:val="00C10831"/>
    <w:rsid w:val="00C53FCA"/>
    <w:rsid w:val="00C76BAF"/>
    <w:rsid w:val="00C814B9"/>
    <w:rsid w:val="00CD516F"/>
    <w:rsid w:val="00CF66DA"/>
    <w:rsid w:val="00D119A7"/>
    <w:rsid w:val="00D25FBA"/>
    <w:rsid w:val="00D32B28"/>
    <w:rsid w:val="00D348F1"/>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E456C"/>
    <w:rsid w:val="00EF662E"/>
    <w:rsid w:val="00F148F1"/>
    <w:rsid w:val="00FA3BBF"/>
    <w:rsid w:val="00FA5F79"/>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161917"/>
  <w15:docId w15:val="{5D7541FD-0B15-4EB7-9DC6-3DD47EF5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styleId="CommentReference">
    <w:name w:val="annotation reference"/>
    <w:basedOn w:val="DefaultParagraphFont"/>
    <w:semiHidden/>
    <w:unhideWhenUsed/>
    <w:rsid w:val="00EE456C"/>
    <w:rPr>
      <w:sz w:val="16"/>
      <w:szCs w:val="16"/>
    </w:rPr>
  </w:style>
  <w:style w:type="paragraph" w:styleId="CommentText">
    <w:name w:val="annotation text"/>
    <w:basedOn w:val="Normal"/>
    <w:link w:val="CommentTextChar"/>
    <w:semiHidden/>
    <w:unhideWhenUsed/>
    <w:rsid w:val="00EE456C"/>
    <w:rPr>
      <w:sz w:val="20"/>
    </w:rPr>
  </w:style>
  <w:style w:type="character" w:customStyle="1" w:styleId="CommentTextChar">
    <w:name w:val="Comment Text Char"/>
    <w:basedOn w:val="DefaultParagraphFont"/>
    <w:link w:val="CommentText"/>
    <w:semiHidden/>
    <w:rsid w:val="00EE456C"/>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EE456C"/>
    <w:rPr>
      <w:b/>
      <w:bCs/>
    </w:rPr>
  </w:style>
  <w:style w:type="character" w:customStyle="1" w:styleId="CommentSubjectChar">
    <w:name w:val="Comment Subject Char"/>
    <w:basedOn w:val="CommentTextChar"/>
    <w:link w:val="CommentSubject"/>
    <w:semiHidden/>
    <w:rsid w:val="00EE456C"/>
    <w:rPr>
      <w:rFonts w:ascii="Times New Roman" w:hAnsi="Times New Roman"/>
      <w:b/>
      <w:bCs/>
      <w:lang w:val="fr-FR" w:eastAsia="en-US"/>
    </w:rPr>
  </w:style>
  <w:style w:type="paragraph" w:styleId="BalloonText">
    <w:name w:val="Balloon Text"/>
    <w:basedOn w:val="Normal"/>
    <w:link w:val="BalloonTextChar"/>
    <w:semiHidden/>
    <w:unhideWhenUsed/>
    <w:rsid w:val="00EE456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E456C"/>
    <w:rPr>
      <w:rFonts w:ascii="Segoe UI" w:hAnsi="Segoe UI" w:cs="Segoe UI"/>
      <w:sz w:val="18"/>
      <w:szCs w:val="18"/>
      <w:lang w:val="fr-FR" w:eastAsia="en-US"/>
    </w:rPr>
  </w:style>
  <w:style w:type="paragraph" w:styleId="Revision">
    <w:name w:val="Revision"/>
    <w:hidden/>
    <w:uiPriority w:val="99"/>
    <w:semiHidden/>
    <w:rsid w:val="008A0778"/>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R15-WRC15-C-0130!A21-A1!MSW-F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01A55-F035-40DA-9622-7125345774C4}">
  <ds:schemaRefs>
    <ds:schemaRef ds:uri="http://schemas.openxmlformats.org/package/2006/metadata/core-properties"/>
    <ds:schemaRef ds:uri="http://purl.org/dc/dcmitype/"/>
    <ds:schemaRef ds:uri="http://schemas.microsoft.com/office/2006/metadata/properties"/>
    <ds:schemaRef ds:uri="32a1a8c5-2265-4ebc-b7a0-2071e2c5c9bb"/>
    <ds:schemaRef ds:uri="http://purl.org/dc/elements/1.1/"/>
    <ds:schemaRef ds:uri="http://purl.org/dc/terms/"/>
    <ds:schemaRef ds:uri="http://schemas.microsoft.com/office/2006/documentManagement/types"/>
    <ds:schemaRef ds:uri="http://schemas.microsoft.com/office/infopath/2007/PartnerControls"/>
    <ds:schemaRef ds:uri="996b2e75-67fd-4955-a3b0-5ab9934cb5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661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R15-WRC15-C-0130!A21-A1!MSW-F</vt:lpstr>
    </vt:vector>
  </TitlesOfParts>
  <Manager>Secrétariat général - Pool</Manager>
  <Company>Union internationale des télécommunications (UIT)</Company>
  <LinksUpToDate>false</LinksUpToDate>
  <CharactersWithSpaces>4876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R15-WRC15-C-0130!A21-A1!MSW-F</dc:title>
  <dc:subject>Conférence mondiale des radiocommunications - 2015</dc:subject>
  <dc:creator>Documents Proposals Manager (DPM)</dc:creator>
  <cp:keywords>DPM_v5.2015.10.230_prod</cp:keywords>
  <dc:description/>
  <cp:lastModifiedBy>Acien, Clara</cp:lastModifiedBy>
  <cp:revision>7</cp:revision>
  <cp:lastPrinted>2015-10-28T08:14:00Z</cp:lastPrinted>
  <dcterms:created xsi:type="dcterms:W3CDTF">2015-10-28T07:55:00Z</dcterms:created>
  <dcterms:modified xsi:type="dcterms:W3CDTF">2015-10-28T16:42:00Z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