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World </w:t>
            </w:r>
            <w:proofErr w:type="spellStart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Radiocommunication</w:t>
            </w:r>
            <w:proofErr w:type="spellEnd"/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 xml:space="preserve">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Addendum 10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130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16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Angola (Republic of)/Botswana (Republic of)/Lesotho (Kingdom of)/</w:t>
            </w:r>
            <w:r w:rsidR="000A3080">
              <w:br/>
            </w:r>
            <w:r>
              <w:t>Madagascar (Republic of)/Malawi/Mauritius (Republic of)/</w:t>
            </w:r>
            <w:r w:rsidR="000A3080">
              <w:br/>
            </w:r>
            <w:r>
              <w:t xml:space="preserve">Mozambique (Republic of)/Namibia (Republic of)/Democratic Republic </w:t>
            </w:r>
            <w:r w:rsidR="000A3080">
              <w:br/>
            </w:r>
            <w:r>
              <w:t>of the Congo/Seychelles (Republic of)/South Africa (Republic of)/</w:t>
            </w:r>
            <w:r w:rsidR="000A3080">
              <w:br/>
            </w:r>
            <w:r>
              <w:t>Swaziland (Kingdom of)/Tanzania (United Republic of)/</w:t>
            </w:r>
            <w:r w:rsidR="000A3080">
              <w:br/>
            </w:r>
            <w:r>
              <w:t>Zambia (Republic of)/Zimbabwe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0A3080" w:rsidRDefault="004B13CB" w:rsidP="004B13CB">
            <w:pPr>
              <w:pStyle w:val="Agendaitem"/>
              <w:rPr>
                <w:lang w:val="en-US"/>
              </w:rPr>
            </w:pPr>
            <w:r w:rsidRPr="000A3080">
              <w:rPr>
                <w:lang w:val="en-US"/>
              </w:rPr>
              <w:t>Agenda item 1.10</w:t>
            </w:r>
          </w:p>
        </w:tc>
      </w:tr>
    </w:tbl>
    <w:bookmarkEnd w:id="6"/>
    <w:bookmarkEnd w:id="7"/>
    <w:p w:rsidR="00C51699" w:rsidRPr="009A2B70" w:rsidRDefault="00BB2790" w:rsidP="000A3080">
      <w:r w:rsidRPr="009A2B70">
        <w:t>1.10</w:t>
      </w:r>
      <w:r w:rsidRPr="009A2B70">
        <w:tab/>
        <w:t>to consider spectrum requirements and possible additional spectrum allocations for the mobile-satellite service in the Earth-to-space and space-to-Earth directions, including the satellite component for broadband applications, including International Mobile Telecommunications (IMT), within the frequency range from 22 GHz to 26 GHz</w:t>
      </w:r>
      <w:r w:rsidR="0000002C">
        <w:t>, in accordance with Resolution </w:t>
      </w:r>
      <w:r w:rsidR="0000002C">
        <w:rPr>
          <w:b/>
          <w:bCs/>
        </w:rPr>
        <w:t>234 </w:t>
      </w:r>
      <w:r w:rsidRPr="009A2B70">
        <w:rPr>
          <w:b/>
          <w:bCs/>
        </w:rPr>
        <w:t>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47246F" w:rsidRPr="009F4CE6" w:rsidRDefault="0047246F" w:rsidP="0047246F">
      <w:pPr>
        <w:pStyle w:val="Headingb"/>
        <w:rPr>
          <w:lang w:val="en-US"/>
        </w:rPr>
      </w:pPr>
      <w:r w:rsidRPr="009F4CE6">
        <w:rPr>
          <w:lang w:val="en-US"/>
        </w:rPr>
        <w:t>Introduction</w:t>
      </w:r>
    </w:p>
    <w:p w:rsidR="0047246F" w:rsidRPr="0047246F" w:rsidRDefault="0047246F" w:rsidP="0047246F">
      <w:pPr>
        <w:rPr>
          <w:lang w:val="en-US"/>
        </w:rPr>
      </w:pPr>
      <w:r w:rsidRPr="0047246F">
        <w:rPr>
          <w:lang w:val="en-US"/>
        </w:rPr>
        <w:t>WRC-15 agenda item 1.10 considers additional allocations to the MSS, taking into account ITU-R studie</w:t>
      </w:r>
      <w:r w:rsidR="0000002C">
        <w:rPr>
          <w:lang w:val="en-US"/>
        </w:rPr>
        <w:t>s in accordance with Resolution 234 (WRC-12). Resolution </w:t>
      </w:r>
      <w:r w:rsidRPr="0047246F">
        <w:rPr>
          <w:lang w:val="en-US"/>
        </w:rPr>
        <w:t xml:space="preserve">234 (WRC-12) invites the ITU-R to complete, for WRC-15, sharing and compatibility studies towards additional allocations to the MSS in the Earth-to-space and space-to-Earth directions, within portions of the bands between </w:t>
      </w:r>
      <w:r w:rsidR="00BB2790">
        <w:rPr>
          <w:lang w:val="en-US"/>
        </w:rPr>
        <w:br/>
      </w:r>
      <w:r w:rsidR="0000002C">
        <w:rPr>
          <w:lang w:val="en-US"/>
        </w:rPr>
        <w:t>22 GHz and 26 </w:t>
      </w:r>
      <w:r w:rsidRPr="0047246F">
        <w:rPr>
          <w:lang w:val="en-US"/>
        </w:rPr>
        <w:t>GHz, while ensuring protection of existing services within this frequency range, as wel</w:t>
      </w:r>
      <w:r w:rsidR="0000002C">
        <w:rPr>
          <w:lang w:val="en-US"/>
        </w:rPr>
        <w:t>l as taking into account RR No. 5.340 and RR No. </w:t>
      </w:r>
      <w:r w:rsidRPr="0047246F">
        <w:rPr>
          <w:lang w:val="en-US"/>
        </w:rPr>
        <w:t>5.149.</w:t>
      </w:r>
    </w:p>
    <w:p w:rsidR="0047246F" w:rsidRPr="00611653" w:rsidRDefault="0047246F" w:rsidP="00C71F47">
      <w:pPr>
        <w:rPr>
          <w:lang w:val="en-US"/>
        </w:rPr>
      </w:pPr>
      <w:r w:rsidRPr="00611653">
        <w:t xml:space="preserve">The </w:t>
      </w:r>
      <w:r>
        <w:t>frequency band</w:t>
      </w:r>
      <w:r w:rsidRPr="00611653">
        <w:t xml:space="preserve"> 22-26</w:t>
      </w:r>
      <w:r w:rsidR="0000002C">
        <w:t> </w:t>
      </w:r>
      <w:r w:rsidRPr="00611653">
        <w:t xml:space="preserve">GHz is allocated to a number of </w:t>
      </w:r>
      <w:proofErr w:type="spellStart"/>
      <w:r w:rsidRPr="00611653">
        <w:t>radiocommunication</w:t>
      </w:r>
      <w:proofErr w:type="spellEnd"/>
      <w:r w:rsidRPr="00611653">
        <w:t xml:space="preserve"> s</w:t>
      </w:r>
      <w:r>
        <w:t>ervices, of which fixed</w:t>
      </w:r>
      <w:r w:rsidRPr="00611653">
        <w:t>, radio astronomy</w:t>
      </w:r>
      <w:r>
        <w:t xml:space="preserve">, space research </w:t>
      </w:r>
      <w:r w:rsidRPr="00611653">
        <w:t xml:space="preserve">and the earth exploration-satellite, represent key services in </w:t>
      </w:r>
      <w:r>
        <w:t xml:space="preserve">the </w:t>
      </w:r>
      <w:r w:rsidRPr="00611653">
        <w:t>S</w:t>
      </w:r>
      <w:r>
        <w:t xml:space="preserve">outhern </w:t>
      </w:r>
      <w:r w:rsidRPr="00611653">
        <w:t>A</w:t>
      </w:r>
      <w:r>
        <w:t xml:space="preserve">frican </w:t>
      </w:r>
      <w:r w:rsidRPr="00611653">
        <w:t>D</w:t>
      </w:r>
      <w:r>
        <w:t xml:space="preserve">evelopment </w:t>
      </w:r>
      <w:r w:rsidRPr="00611653">
        <w:t>C</w:t>
      </w:r>
      <w:r>
        <w:t>ommunity (SADC)</w:t>
      </w:r>
      <w:r w:rsidR="00C71F47">
        <w:t xml:space="preserve"> M</w:t>
      </w:r>
      <w:r>
        <w:t xml:space="preserve">ember </w:t>
      </w:r>
      <w:r w:rsidR="00C71F47">
        <w:t>S</w:t>
      </w:r>
      <w:r>
        <w:t>tates.</w:t>
      </w:r>
      <w:r w:rsidR="00C71F47">
        <w:t xml:space="preserve"> The SADC M</w:t>
      </w:r>
      <w:r>
        <w:t xml:space="preserve">ember </w:t>
      </w:r>
      <w:r w:rsidR="00C71F47">
        <w:t>S</w:t>
      </w:r>
      <w:r>
        <w:t>tates are of the view that any proposed allocation to the mobile satellite service (MSS) should not adversely affect the operation or deployment of  incumbent services.</w:t>
      </w:r>
    </w:p>
    <w:p w:rsidR="00BB2790" w:rsidRPr="000A3080" w:rsidRDefault="00BB2790" w:rsidP="000A3080">
      <w:bookmarkStart w:id="8" w:name="_GoBack"/>
      <w:bookmarkEnd w:id="8"/>
      <w:r w:rsidRPr="000A3080">
        <w:br w:type="page"/>
      </w:r>
    </w:p>
    <w:p w:rsidR="0047246F" w:rsidRPr="00C71F47" w:rsidRDefault="0047246F" w:rsidP="0047246F">
      <w:pPr>
        <w:pStyle w:val="Headingb"/>
        <w:rPr>
          <w:lang w:val="en-US"/>
        </w:rPr>
      </w:pPr>
      <w:r w:rsidRPr="00C71F47">
        <w:rPr>
          <w:lang w:val="en-US"/>
        </w:rPr>
        <w:lastRenderedPageBreak/>
        <w:t>Proposal</w:t>
      </w:r>
    </w:p>
    <w:p w:rsidR="0047246F" w:rsidRPr="0047246F" w:rsidRDefault="00C71F47" w:rsidP="009F4CE6">
      <w:r>
        <w:t>The SADC Member S</w:t>
      </w:r>
      <w:r w:rsidR="0047246F" w:rsidRPr="0047246F">
        <w:t xml:space="preserve">tates support Method A of the CPM </w:t>
      </w:r>
      <w:r w:rsidR="009F4CE6">
        <w:t>R</w:t>
      </w:r>
      <w:r w:rsidR="0047246F" w:rsidRPr="0047246F">
        <w:t>eport, which proposes no allocat</w:t>
      </w:r>
      <w:r w:rsidR="0000002C">
        <w:t>ion to the MSS within the 22-26 </w:t>
      </w:r>
      <w:r w:rsidR="0047246F" w:rsidRPr="0047246F">
        <w:t xml:space="preserve">GHz band, and, therefore no change to the Radio Regulations. Furthermore, SADC </w:t>
      </w:r>
      <w:r>
        <w:t>Member S</w:t>
      </w:r>
      <w:r w:rsidR="0047246F" w:rsidRPr="0047246F">
        <w:t>tates propos</w:t>
      </w:r>
      <w:r w:rsidR="0000002C">
        <w:t>e the suppression of  Resolution 234 </w:t>
      </w:r>
      <w:r w:rsidR="0047246F" w:rsidRPr="0047246F">
        <w:t>(WRC-12).</w:t>
      </w:r>
    </w:p>
    <w:p w:rsidR="0047246F" w:rsidRDefault="0047246F" w:rsidP="0047246F">
      <w:r w:rsidRPr="0047246F">
        <w:rPr>
          <w:b/>
          <w:lang w:val="en-US"/>
        </w:rPr>
        <w:t>Reasons</w:t>
      </w:r>
      <w:r w:rsidRPr="000A3080">
        <w:rPr>
          <w:b/>
          <w:bCs/>
          <w:lang w:val="en-US"/>
        </w:rPr>
        <w:t>:</w:t>
      </w:r>
      <w:r w:rsidRPr="0047246F">
        <w:rPr>
          <w:lang w:val="en-US"/>
        </w:rPr>
        <w:t xml:space="preserve"> </w:t>
      </w:r>
      <w:r w:rsidRPr="00232A11">
        <w:t xml:space="preserve">Considering the extensive use of the current allocations and the incompatibilities with incumbent services, the SADC </w:t>
      </w:r>
      <w:r w:rsidR="00C71F47">
        <w:t>Member S</w:t>
      </w:r>
      <w:r w:rsidRPr="00232A11">
        <w:t>tates do not support an additional MSS allocation within the fre</w:t>
      </w:r>
      <w:r w:rsidR="0000002C">
        <w:t>quency range 22 to 26 </w:t>
      </w:r>
      <w:r w:rsidRPr="00232A11">
        <w:t>GHz.</w:t>
      </w:r>
    </w:p>
    <w:p w:rsidR="00211DFA" w:rsidRDefault="00BB2790" w:rsidP="000A3080">
      <w:pPr>
        <w:pStyle w:val="Proposal"/>
        <w:ind w:left="1134" w:hanging="1134"/>
      </w:pPr>
      <w:r>
        <w:t>SUP</w:t>
      </w:r>
      <w:r>
        <w:tab/>
        <w:t>AGL/BOT/LSO/MDG/MWI/MAU/MOZ/NMB/COD/SEY/AFS/SWZ/TZA/ZMB/</w:t>
      </w:r>
      <w:r w:rsidR="000A3080">
        <w:br/>
      </w:r>
      <w:r>
        <w:t>ZWE/130A10/1</w:t>
      </w:r>
    </w:p>
    <w:p w:rsidR="003638D8" w:rsidRPr="006905BC" w:rsidRDefault="00BB2790" w:rsidP="003638D8">
      <w:pPr>
        <w:pStyle w:val="ResNo"/>
      </w:pPr>
      <w:r w:rsidRPr="006905BC">
        <w:t xml:space="preserve">RESOLUTION </w:t>
      </w:r>
      <w:r w:rsidRPr="006905BC">
        <w:rPr>
          <w:rStyle w:val="href"/>
        </w:rPr>
        <w:t>234</w:t>
      </w:r>
      <w:r w:rsidRPr="006905BC">
        <w:t xml:space="preserve"> (WRC</w:t>
      </w:r>
      <w:r w:rsidRPr="006905BC">
        <w:noBreakHyphen/>
        <w:t>12)</w:t>
      </w:r>
    </w:p>
    <w:p w:rsidR="003638D8" w:rsidRPr="006905BC" w:rsidRDefault="00BB2790" w:rsidP="00107E4A">
      <w:pPr>
        <w:pStyle w:val="Restitle"/>
      </w:pPr>
      <w:bookmarkStart w:id="9" w:name="_Toc327364424"/>
      <w:r w:rsidRPr="006905BC">
        <w:t xml:space="preserve">Additional primary allocations to the mobile-satellite service </w:t>
      </w:r>
      <w:r w:rsidRPr="006905BC">
        <w:br/>
        <w:t>within the bands from 22 GHz to 26 GHz</w:t>
      </w:r>
      <w:bookmarkEnd w:id="9"/>
    </w:p>
    <w:p w:rsidR="00211DFA" w:rsidRDefault="00211DFA">
      <w:pPr>
        <w:pStyle w:val="Reasons"/>
      </w:pPr>
    </w:p>
    <w:p w:rsidR="00BB2790" w:rsidRDefault="00BB2790" w:rsidP="00BB2790">
      <w:pPr>
        <w:pStyle w:val="Normalend"/>
        <w:jc w:val="center"/>
      </w:pPr>
      <w:r>
        <w:t>_____________</w:t>
      </w:r>
    </w:p>
    <w:sectPr w:rsidR="00BB2790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3E0DB6">
      <w:rPr>
        <w:noProof/>
        <w:lang w:val="en-US"/>
      </w:rPr>
      <w:t>C:\Users\manias\Dropbox\ProposalManagement\ProposalSharing\WRC15\Templates\WRC15-E.docx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0002C">
      <w:rPr>
        <w:noProof/>
      </w:rPr>
      <w:t>25.10.15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E0DB6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 w:rsidP="00A30305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F063C">
      <w:rPr>
        <w:lang w:val="en-US"/>
      </w:rPr>
      <w:t>P:\ENG\ITU-R\CONF-R\CMR15\100\130ADD10E.docx</w:t>
    </w:r>
    <w:r>
      <w:fldChar w:fldCharType="end"/>
    </w:r>
    <w:r w:rsidR="002F063C">
      <w:t xml:space="preserve"> (389013)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063C">
      <w:t>29.10.15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063C">
      <w:t>10.02.14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Pr="0041348E" w:rsidRDefault="00E45D05" w:rsidP="00A303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2F063C">
      <w:rPr>
        <w:lang w:val="en-US"/>
      </w:rPr>
      <w:t>P:\ENG\ITU-R\CONF-R\CMR15\100\130ADD10E.docx</w:t>
    </w:r>
    <w:r>
      <w:fldChar w:fldCharType="end"/>
    </w:r>
    <w:r w:rsidR="002F063C">
      <w:t xml:space="preserve"> (389013)</w:t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063C">
      <w:t>29.10.15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063C">
      <w:t>10.02.14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F063C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0" w:name="OLE_LINK1"/>
    <w:bookmarkStart w:id="11" w:name="OLE_LINK2"/>
    <w:bookmarkStart w:id="12" w:name="OLE_LINK3"/>
    <w:r w:rsidR="00EB55C6">
      <w:t>130(Add.10)</w:t>
    </w:r>
    <w:bookmarkEnd w:id="10"/>
    <w:bookmarkEnd w:id="11"/>
    <w:bookmarkEnd w:id="12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002C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A3080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1DFA"/>
    <w:rsid w:val="00216B6D"/>
    <w:rsid w:val="00241FA2"/>
    <w:rsid w:val="00271316"/>
    <w:rsid w:val="002B349C"/>
    <w:rsid w:val="002D58BE"/>
    <w:rsid w:val="002F063C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7246F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86266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9F4CE6"/>
    <w:rsid w:val="00A066F1"/>
    <w:rsid w:val="00A141AF"/>
    <w:rsid w:val="00A16D29"/>
    <w:rsid w:val="00A264EB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B639E9"/>
    <w:rsid w:val="00B817CD"/>
    <w:rsid w:val="00B81A7D"/>
    <w:rsid w:val="00B94AD0"/>
    <w:rsid w:val="00BB279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71F47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20E90933-6C4C-4329-AAE4-C44C36B8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7A181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R15-WRC15-C-0130!A10!MSW-E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2710-EECC-41EB-9095-34EDCFFEA593}">
  <ds:schemaRefs>
    <ds:schemaRef ds:uri="http://purl.org/dc/dcmitype/"/>
    <ds:schemaRef ds:uri="http://purl.org/dc/elements/1.1/"/>
    <ds:schemaRef ds:uri="http://schemas.openxmlformats.org/package/2006/metadata/core-properties"/>
    <ds:schemaRef ds:uri="996b2e75-67fd-4955-a3b0-5ab9934cb50b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EA71D3-4D20-4E73-AA0B-5129D37B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4</TotalTime>
  <Pages>2</Pages>
  <Words>366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R15-WRC15-C-0130!A10!MSW-E</vt:lpstr>
    </vt:vector>
  </TitlesOfParts>
  <Manager>General Secretariat - Pool</Manager>
  <Company>International Telecommunication Union (ITU)</Company>
  <LinksUpToDate>false</LinksUpToDate>
  <CharactersWithSpaces>2714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R15-WRC15-C-0130!A10!MSW-E</dc:title>
  <dc:subject>World Radiocommunication Conference - 2015</dc:subject>
  <dc:creator>Documents Proposals Manager (DPM)</dc:creator>
  <cp:keywords>DPM_v5.2015.10.220_prod</cp:keywords>
  <dc:description>Uploaded on 2015.07.06</dc:description>
  <cp:lastModifiedBy>Meshkurti, Ana Maria</cp:lastModifiedBy>
  <cp:revision>5</cp:revision>
  <cp:lastPrinted>2014-02-10T09:49:00Z</cp:lastPrinted>
  <dcterms:created xsi:type="dcterms:W3CDTF">2015-10-25T14:33:00Z</dcterms:created>
  <dcterms:modified xsi:type="dcterms:W3CDTF">2015-10-29T17:45:00Z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