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671EFC">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671EFC">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671EFC">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71EFC">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671EFC">
            <w:pPr>
              <w:rPr>
                <w:rFonts w:ascii="Verdana" w:hAnsi="Verdana"/>
                <w:b/>
                <w:bCs/>
                <w:sz w:val="20"/>
              </w:rPr>
            </w:pPr>
          </w:p>
        </w:tc>
        <w:tc>
          <w:tcPr>
            <w:tcW w:w="3120" w:type="dxa"/>
            <w:tcBorders>
              <w:top w:val="single" w:sz="12" w:space="0" w:color="auto"/>
            </w:tcBorders>
          </w:tcPr>
          <w:p w:rsidR="00622560" w:rsidRPr="00CB4E5A" w:rsidRDefault="00622560" w:rsidP="00671EFC">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671EFC">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671EFC">
            <w:pPr>
              <w:spacing w:before="0"/>
              <w:rPr>
                <w:rFonts w:ascii="Verdana" w:hAnsi="Verdana"/>
                <w:sz w:val="20"/>
              </w:rPr>
            </w:pPr>
            <w:proofErr w:type="spellStart"/>
            <w:r>
              <w:rPr>
                <w:rFonts w:ascii="Verdana" w:hAnsi="Verdana" w:cs="Traditional Arabic"/>
                <w:b/>
                <w:sz w:val="20"/>
              </w:rPr>
              <w:t>文件</w:t>
            </w:r>
            <w:proofErr w:type="spellEnd"/>
            <w:r w:rsidR="00AF7DA6">
              <w:rPr>
                <w:rFonts w:ascii="Verdana" w:hAnsi="Verdana" w:cs="Traditional Arabic"/>
                <w:b/>
                <w:sz w:val="20"/>
              </w:rPr>
              <w:t xml:space="preserve"> 130</w:t>
            </w:r>
            <w:r>
              <w:rPr>
                <w:rFonts w:ascii="Verdana" w:hAnsi="Verdana" w:cs="Traditional Arabic"/>
                <w:b/>
                <w:sz w:val="20"/>
              </w:rPr>
              <w:t>(Add.10)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671EFC">
            <w:pPr>
              <w:spacing w:before="0"/>
              <w:rPr>
                <w:rFonts w:ascii="Verdana" w:hAnsi="Verdana"/>
                <w:b/>
                <w:smallCaps/>
                <w:sz w:val="20"/>
              </w:rPr>
            </w:pPr>
          </w:p>
        </w:tc>
        <w:tc>
          <w:tcPr>
            <w:tcW w:w="3120" w:type="dxa"/>
            <w:shd w:val="clear" w:color="auto" w:fill="auto"/>
          </w:tcPr>
          <w:p w:rsidR="008221A4" w:rsidRPr="00622560" w:rsidRDefault="008221A4" w:rsidP="00671EFC">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671EFC">
            <w:pPr>
              <w:spacing w:before="0"/>
              <w:rPr>
                <w:rFonts w:ascii="Verdana" w:hAnsi="Verdana"/>
                <w:b/>
                <w:bCs/>
                <w:sz w:val="20"/>
              </w:rPr>
            </w:pPr>
          </w:p>
        </w:tc>
        <w:tc>
          <w:tcPr>
            <w:tcW w:w="3120" w:type="dxa"/>
          </w:tcPr>
          <w:p w:rsidR="008221A4" w:rsidRPr="00622560" w:rsidRDefault="008221A4" w:rsidP="00671EFC">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671EFC">
            <w:pPr>
              <w:spacing w:before="0"/>
              <w:rPr>
                <w:rFonts w:ascii="Verdana" w:hAnsi="Verdana"/>
                <w:b/>
                <w:bCs/>
                <w:sz w:val="20"/>
              </w:rPr>
            </w:pPr>
          </w:p>
        </w:tc>
      </w:tr>
      <w:tr w:rsidR="008221A4">
        <w:trPr>
          <w:cantSplit/>
        </w:trPr>
        <w:tc>
          <w:tcPr>
            <w:tcW w:w="10031" w:type="dxa"/>
            <w:gridSpan w:val="2"/>
          </w:tcPr>
          <w:p w:rsidR="008221A4" w:rsidRDefault="008221A4" w:rsidP="00671EFC">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sidR="009441F3">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007869B8">
              <w:rPr>
                <w:lang w:eastAsia="zh-CN"/>
              </w:rPr>
              <w:br/>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007869B8">
              <w:rPr>
                <w:lang w:eastAsia="zh-CN"/>
              </w:rPr>
              <w:br/>
            </w:r>
            <w:r w:rsidRPr="000273B7">
              <w:rPr>
                <w:lang w:eastAsia="zh-CN"/>
              </w:rPr>
              <w:t>斯威士兰（王国）</w:t>
            </w:r>
            <w:r w:rsidRPr="000273B7">
              <w:rPr>
                <w:lang w:eastAsia="zh-CN"/>
              </w:rPr>
              <w:t>/</w:t>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007869B8">
              <w:rPr>
                <w:lang w:eastAsia="zh-CN"/>
              </w:rPr>
              <w:br/>
            </w:r>
            <w:r w:rsidRPr="000273B7">
              <w:rPr>
                <w:lang w:eastAsia="zh-CN"/>
              </w:rPr>
              <w:t>津巴布韦（共和国）</w:t>
            </w:r>
          </w:p>
        </w:tc>
      </w:tr>
      <w:tr w:rsidR="00AF7DA6">
        <w:trPr>
          <w:cantSplit/>
        </w:trPr>
        <w:tc>
          <w:tcPr>
            <w:tcW w:w="10031" w:type="dxa"/>
            <w:gridSpan w:val="2"/>
          </w:tcPr>
          <w:p w:rsidR="00AF7DA6" w:rsidRDefault="00AF7DA6" w:rsidP="00671EFC">
            <w:pPr>
              <w:pStyle w:val="Title1"/>
              <w:rPr>
                <w:lang w:eastAsia="zh-CN"/>
              </w:rPr>
            </w:pPr>
            <w:bookmarkStart w:id="5" w:name="dtitle1" w:colFirst="0" w:colLast="0"/>
            <w:bookmarkEnd w:id="4"/>
            <w:r>
              <w:rPr>
                <w:rFonts w:hint="eastAsia"/>
                <w:lang w:eastAsia="zh-CN"/>
              </w:rPr>
              <w:t>有关大会工作的提案</w:t>
            </w:r>
          </w:p>
        </w:tc>
      </w:tr>
      <w:tr w:rsidR="00AF7DA6">
        <w:trPr>
          <w:cantSplit/>
        </w:trPr>
        <w:tc>
          <w:tcPr>
            <w:tcW w:w="10031" w:type="dxa"/>
            <w:gridSpan w:val="2"/>
          </w:tcPr>
          <w:p w:rsidR="00AF7DA6" w:rsidRDefault="00AF7DA6" w:rsidP="00671EFC">
            <w:pPr>
              <w:pStyle w:val="Title2"/>
              <w:rPr>
                <w:lang w:eastAsia="zh-CN"/>
              </w:rPr>
            </w:pPr>
            <w:bookmarkStart w:id="6" w:name="dtitle2" w:colFirst="0" w:colLast="0"/>
            <w:bookmarkEnd w:id="5"/>
          </w:p>
        </w:tc>
      </w:tr>
      <w:tr w:rsidR="00AF7DA6">
        <w:trPr>
          <w:cantSplit/>
        </w:trPr>
        <w:tc>
          <w:tcPr>
            <w:tcW w:w="10031" w:type="dxa"/>
            <w:gridSpan w:val="2"/>
          </w:tcPr>
          <w:p w:rsidR="00AF7DA6" w:rsidRDefault="00AF7DA6" w:rsidP="00671EFC">
            <w:pPr>
              <w:pStyle w:val="Agendaitem"/>
            </w:pPr>
            <w:bookmarkStart w:id="7" w:name="dtitle3" w:colFirst="0" w:colLast="0"/>
            <w:bookmarkEnd w:id="6"/>
            <w:r w:rsidRPr="000273B7">
              <w:t>议项</w:t>
            </w:r>
            <w:r w:rsidRPr="000273B7">
              <w:t>1.10</w:t>
            </w:r>
          </w:p>
        </w:tc>
      </w:tr>
    </w:tbl>
    <w:bookmarkEnd w:id="7"/>
    <w:p w:rsidR="008B60D0" w:rsidRPr="00D42E4F" w:rsidRDefault="00633514" w:rsidP="00671EFC">
      <w:pPr>
        <w:pStyle w:val="Normalaftertitle0"/>
        <w:rPr>
          <w:lang w:eastAsia="zh-CN"/>
        </w:rPr>
      </w:pPr>
      <w:r w:rsidRPr="009C33AA">
        <w:rPr>
          <w:lang w:eastAsia="zh-CN"/>
        </w:rPr>
        <w:t>1.10</w:t>
      </w:r>
      <w:r w:rsidRPr="009C33AA">
        <w:rPr>
          <w:lang w:eastAsia="zh-CN"/>
        </w:rPr>
        <w:tab/>
      </w:r>
      <w:r w:rsidRPr="009C33AA">
        <w:rPr>
          <w:rFonts w:hint="eastAsia"/>
          <w:lang w:eastAsia="zh-CN"/>
        </w:rPr>
        <w:t>根据第</w:t>
      </w:r>
      <w:r w:rsidRPr="009C33AA">
        <w:rPr>
          <w:b/>
          <w:bCs/>
          <w:lang w:eastAsia="zh-CN"/>
        </w:rPr>
        <w:t>234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22 GHz</w:t>
      </w:r>
      <w:r w:rsidRPr="009C33AA">
        <w:rPr>
          <w:rFonts w:hint="eastAsia"/>
          <w:lang w:eastAsia="zh-CN"/>
        </w:rPr>
        <w:t>至</w:t>
      </w:r>
      <w:r w:rsidRPr="009C33AA">
        <w:rPr>
          <w:lang w:eastAsia="zh-CN"/>
        </w:rPr>
        <w:t>26 GHz</w:t>
      </w:r>
      <w:r w:rsidRPr="009C33AA">
        <w:rPr>
          <w:rFonts w:hint="eastAsia"/>
          <w:lang w:eastAsia="zh-CN"/>
        </w:rPr>
        <w:t>的频率范围内卫星移动业务地对空和空对地方向（包括涵盖国际移动通信（</w:t>
      </w:r>
      <w:r w:rsidRPr="009C33AA">
        <w:rPr>
          <w:lang w:eastAsia="zh-CN"/>
        </w:rPr>
        <w:t>IMT</w:t>
      </w:r>
      <w:r w:rsidRPr="009C33AA">
        <w:rPr>
          <w:rFonts w:hint="eastAsia"/>
          <w:lang w:eastAsia="zh-CN"/>
        </w:rPr>
        <w:t>）的宽带应用的卫星部分）的频谱需求并考虑做出可能的附加频谱划分；</w:t>
      </w:r>
    </w:p>
    <w:p w:rsidR="00622560" w:rsidRDefault="00622560" w:rsidP="00671EFC">
      <w:pPr>
        <w:rPr>
          <w:lang w:eastAsia="zh-CN"/>
        </w:rPr>
      </w:pPr>
    </w:p>
    <w:p w:rsidR="000C6E6C" w:rsidRPr="009F4CE6" w:rsidRDefault="00D50075" w:rsidP="00671EFC">
      <w:pPr>
        <w:pStyle w:val="Headingb"/>
        <w:rPr>
          <w:lang w:val="en-US" w:eastAsia="zh-CN"/>
        </w:rPr>
      </w:pPr>
      <w:r>
        <w:rPr>
          <w:rFonts w:hint="eastAsia"/>
          <w:lang w:val="en-US" w:eastAsia="zh-CN"/>
        </w:rPr>
        <w:t>引言</w:t>
      </w:r>
    </w:p>
    <w:p w:rsidR="004845BD" w:rsidRPr="004845BD" w:rsidRDefault="004845BD" w:rsidP="00671EFC">
      <w:pPr>
        <w:ind w:firstLineChars="200" w:firstLine="480"/>
        <w:rPr>
          <w:rFonts w:asciiTheme="majorBidi" w:eastAsiaTheme="majorEastAsia" w:hAnsiTheme="majorBidi" w:cstheme="majorBidi"/>
          <w:lang w:eastAsia="zh-CN"/>
        </w:rPr>
      </w:pPr>
      <w:r>
        <w:rPr>
          <w:rFonts w:asciiTheme="majorBidi" w:eastAsiaTheme="majorEastAsia" w:hAnsiTheme="majorBidi" w:cstheme="majorBidi"/>
          <w:lang w:eastAsia="zh-CN"/>
        </w:rPr>
        <w:t>WRC-15</w:t>
      </w:r>
      <w:r>
        <w:rPr>
          <w:rFonts w:asciiTheme="majorBidi" w:eastAsiaTheme="majorEastAsia" w:hAnsiTheme="majorBidi" w:cstheme="majorBidi" w:hint="eastAsia"/>
          <w:lang w:eastAsia="zh-CN"/>
        </w:rPr>
        <w:t>的议项</w:t>
      </w:r>
      <w:r>
        <w:rPr>
          <w:rFonts w:asciiTheme="majorBidi" w:eastAsiaTheme="majorEastAsia" w:hAnsiTheme="majorBidi" w:cstheme="majorBidi"/>
          <w:lang w:eastAsia="zh-CN"/>
        </w:rPr>
        <w:t>1.10</w:t>
      </w:r>
      <w:r>
        <w:rPr>
          <w:rFonts w:asciiTheme="majorBidi" w:eastAsiaTheme="majorEastAsia" w:hAnsiTheme="majorBidi" w:cstheme="majorBidi" w:hint="eastAsia"/>
          <w:lang w:eastAsia="zh-CN"/>
        </w:rPr>
        <w:t>，</w:t>
      </w:r>
      <w:r w:rsidRPr="004845BD">
        <w:rPr>
          <w:rFonts w:asciiTheme="majorBidi" w:eastAsiaTheme="majorEastAsia" w:hAnsiTheme="majorBidi" w:cstheme="majorBidi" w:hint="eastAsia"/>
          <w:lang w:eastAsia="zh-CN"/>
        </w:rPr>
        <w:t>根据</w:t>
      </w:r>
      <w:r w:rsidRPr="004845BD">
        <w:rPr>
          <w:rFonts w:asciiTheme="majorBidi" w:eastAsiaTheme="majorEastAsia" w:hAnsiTheme="majorBidi" w:cstheme="majorBidi" w:hint="eastAsia"/>
          <w:lang w:eastAsia="zh-CN" w:bidi="th-TH"/>
        </w:rPr>
        <w:t>第</w:t>
      </w:r>
      <w:r w:rsidRPr="004845BD">
        <w:rPr>
          <w:rFonts w:asciiTheme="majorBidi" w:eastAsiaTheme="majorEastAsia" w:hAnsiTheme="majorBidi" w:cstheme="majorBidi"/>
          <w:lang w:eastAsia="zh-CN" w:bidi="th-TH"/>
        </w:rPr>
        <w:t>234</w:t>
      </w:r>
      <w:r w:rsidRPr="004845BD">
        <w:rPr>
          <w:rFonts w:asciiTheme="majorBidi" w:eastAsiaTheme="majorEastAsia" w:hAnsiTheme="majorBidi" w:cstheme="majorBidi" w:hint="eastAsia"/>
          <w:lang w:eastAsia="zh-CN" w:bidi="th-TH"/>
        </w:rPr>
        <w:t>号决议（</w:t>
      </w:r>
      <w:r w:rsidRPr="004845BD">
        <w:rPr>
          <w:rFonts w:asciiTheme="majorBidi" w:eastAsiaTheme="majorEastAsia" w:hAnsiTheme="majorBidi" w:cstheme="majorBidi"/>
          <w:lang w:eastAsia="zh-CN" w:bidi="th-TH"/>
        </w:rPr>
        <w:t>WRC-12</w:t>
      </w:r>
      <w:r w:rsidRPr="004845BD">
        <w:rPr>
          <w:rFonts w:asciiTheme="majorBidi" w:eastAsiaTheme="majorEastAsia" w:hAnsiTheme="majorBidi" w:cstheme="majorBidi" w:hint="eastAsia"/>
          <w:lang w:eastAsia="zh-CN" w:bidi="th-TH"/>
        </w:rPr>
        <w:t>）</w:t>
      </w:r>
      <w:r w:rsidRPr="004845BD">
        <w:rPr>
          <w:rFonts w:asciiTheme="majorBidi" w:eastAsiaTheme="majorEastAsia" w:hAnsiTheme="majorBidi" w:cstheme="majorBidi" w:hint="eastAsia"/>
          <w:lang w:eastAsia="zh-CN"/>
        </w:rPr>
        <w:t>在考虑到</w:t>
      </w:r>
      <w:r w:rsidRPr="004845BD">
        <w:rPr>
          <w:rFonts w:asciiTheme="majorBidi" w:eastAsiaTheme="majorEastAsia" w:hAnsiTheme="majorBidi" w:cstheme="majorBidi"/>
          <w:lang w:eastAsia="zh-CN" w:bidi="th-TH"/>
        </w:rPr>
        <w:t>ITU-R</w:t>
      </w:r>
      <w:r w:rsidRPr="004845BD">
        <w:rPr>
          <w:rFonts w:asciiTheme="majorBidi" w:eastAsiaTheme="majorEastAsia" w:hAnsiTheme="majorBidi" w:cstheme="majorBidi" w:hint="eastAsia"/>
          <w:lang w:eastAsia="zh-CN" w:bidi="th-TH"/>
        </w:rPr>
        <w:t>各项研究的基础上审议对</w:t>
      </w:r>
      <w:r w:rsidRPr="004845BD">
        <w:rPr>
          <w:rFonts w:asciiTheme="majorBidi" w:eastAsiaTheme="majorEastAsia" w:hAnsiTheme="majorBidi" w:cstheme="majorBidi"/>
          <w:lang w:eastAsia="zh-CN" w:bidi="th-TH"/>
        </w:rPr>
        <w:t>MSS</w:t>
      </w:r>
      <w:r w:rsidRPr="004845BD">
        <w:rPr>
          <w:rFonts w:asciiTheme="majorBidi" w:eastAsiaTheme="majorEastAsia" w:hAnsiTheme="majorBidi" w:cstheme="majorBidi" w:hint="eastAsia"/>
          <w:lang w:eastAsia="zh-CN" w:bidi="th-TH"/>
        </w:rPr>
        <w:t>的附加划分。第</w:t>
      </w:r>
      <w:r w:rsidRPr="004845BD">
        <w:rPr>
          <w:rFonts w:asciiTheme="majorBidi" w:eastAsiaTheme="majorEastAsia" w:hAnsiTheme="majorBidi" w:cstheme="majorBidi"/>
          <w:lang w:eastAsia="zh-CN" w:bidi="th-TH"/>
        </w:rPr>
        <w:t>234</w:t>
      </w:r>
      <w:r w:rsidRPr="004845BD">
        <w:rPr>
          <w:rFonts w:asciiTheme="majorBidi" w:eastAsiaTheme="majorEastAsia" w:hAnsiTheme="majorBidi" w:cstheme="majorBidi" w:hint="eastAsia"/>
          <w:lang w:eastAsia="zh-CN" w:bidi="th-TH"/>
        </w:rPr>
        <w:t>号决议（</w:t>
      </w:r>
      <w:r w:rsidRPr="004845BD">
        <w:rPr>
          <w:rFonts w:asciiTheme="majorBidi" w:eastAsiaTheme="majorEastAsia" w:hAnsiTheme="majorBidi" w:cstheme="majorBidi"/>
          <w:lang w:eastAsia="zh-CN" w:bidi="th-TH"/>
        </w:rPr>
        <w:t>WRC-12</w:t>
      </w:r>
      <w:r w:rsidRPr="004845BD">
        <w:rPr>
          <w:rFonts w:asciiTheme="majorBidi" w:eastAsiaTheme="majorEastAsia" w:hAnsiTheme="majorBidi" w:cstheme="majorBidi" w:hint="eastAsia"/>
          <w:lang w:eastAsia="zh-CN" w:bidi="th-TH"/>
        </w:rPr>
        <w:t>）</w:t>
      </w:r>
      <w:r w:rsidRPr="004845BD">
        <w:rPr>
          <w:rFonts w:asciiTheme="majorBidi" w:eastAsiaTheme="majorEastAsia" w:hAnsiTheme="majorBidi" w:cstheme="majorBidi" w:hint="eastAsia"/>
          <w:lang w:eastAsia="zh-CN"/>
        </w:rPr>
        <w:t>请</w:t>
      </w:r>
      <w:r w:rsidRPr="004845BD">
        <w:rPr>
          <w:rFonts w:asciiTheme="majorBidi" w:eastAsiaTheme="majorEastAsia" w:hAnsiTheme="majorBidi" w:cstheme="majorBidi"/>
          <w:lang w:eastAsia="zh-CN"/>
        </w:rPr>
        <w:t>ITU-R</w:t>
      </w:r>
      <w:r w:rsidRPr="004845BD">
        <w:rPr>
          <w:rFonts w:asciiTheme="majorBidi" w:eastAsiaTheme="majorEastAsia" w:hAnsiTheme="majorBidi" w:cstheme="majorBidi" w:hint="eastAsia"/>
          <w:lang w:eastAsia="zh-CN"/>
        </w:rPr>
        <w:t>在</w:t>
      </w:r>
      <w:r w:rsidRPr="004845BD">
        <w:rPr>
          <w:rFonts w:asciiTheme="majorBidi" w:eastAsiaTheme="majorEastAsia" w:hAnsiTheme="majorBidi" w:cstheme="majorBidi"/>
          <w:lang w:eastAsia="zh-CN"/>
        </w:rPr>
        <w:t>WRC-15</w:t>
      </w:r>
      <w:r w:rsidRPr="004845BD">
        <w:rPr>
          <w:rFonts w:asciiTheme="majorBidi" w:eastAsiaTheme="majorEastAsia" w:hAnsiTheme="majorBidi" w:cstheme="majorBidi" w:hint="eastAsia"/>
          <w:lang w:eastAsia="zh-CN"/>
        </w:rPr>
        <w:t>之前完成旨在实现在</w:t>
      </w:r>
      <w:r w:rsidRPr="004845BD">
        <w:rPr>
          <w:rFonts w:asciiTheme="majorBidi" w:eastAsiaTheme="majorEastAsia" w:hAnsiTheme="majorBidi" w:cstheme="majorBidi"/>
          <w:szCs w:val="24"/>
          <w:lang w:eastAsia="zh-CN"/>
        </w:rPr>
        <w:t>22 GHz</w:t>
      </w:r>
      <w:r w:rsidRPr="004845BD">
        <w:rPr>
          <w:rFonts w:asciiTheme="majorBidi" w:eastAsiaTheme="majorEastAsia" w:hAnsiTheme="majorBidi" w:cstheme="majorBidi" w:hint="eastAsia"/>
          <w:szCs w:val="24"/>
          <w:lang w:eastAsia="zh-CN"/>
        </w:rPr>
        <w:t>至</w:t>
      </w:r>
      <w:r w:rsidRPr="004845BD">
        <w:rPr>
          <w:rFonts w:asciiTheme="majorBidi" w:eastAsiaTheme="majorEastAsia" w:hAnsiTheme="majorBidi" w:cstheme="majorBidi"/>
          <w:szCs w:val="24"/>
          <w:lang w:eastAsia="zh-CN"/>
        </w:rPr>
        <w:t>26 GHz</w:t>
      </w:r>
      <w:r w:rsidRPr="004845BD">
        <w:rPr>
          <w:rFonts w:asciiTheme="majorBidi" w:eastAsiaTheme="majorEastAsia" w:hAnsiTheme="majorBidi" w:cstheme="majorBidi" w:hint="eastAsia"/>
          <w:szCs w:val="24"/>
          <w:lang w:eastAsia="zh-CN"/>
        </w:rPr>
        <w:t>部分</w:t>
      </w:r>
      <w:r w:rsidRPr="004845BD">
        <w:rPr>
          <w:rFonts w:asciiTheme="majorBidi" w:eastAsiaTheme="majorEastAsia" w:hAnsiTheme="majorBidi" w:cstheme="majorBidi" w:hint="eastAsia"/>
          <w:lang w:eastAsia="zh-CN"/>
        </w:rPr>
        <w:t>频段内为地对空和空对地方向卫星移动业务增加划分的共用和兼容性研究，并在确保对这些频段内现有业务的保护的同时考虑到</w:t>
      </w:r>
      <w:r w:rsidR="00671EFC">
        <w:rPr>
          <w:rFonts w:asciiTheme="majorBidi" w:eastAsiaTheme="majorEastAsia" w:hAnsiTheme="majorBidi" w:cstheme="majorBidi" w:hint="eastAsia"/>
          <w:lang w:eastAsia="zh-CN"/>
        </w:rPr>
        <w:t>《</w:t>
      </w:r>
      <w:r w:rsidR="00671EFC">
        <w:rPr>
          <w:rFonts w:asciiTheme="majorBidi" w:eastAsiaTheme="majorEastAsia" w:hAnsiTheme="majorBidi" w:cstheme="majorBidi"/>
          <w:lang w:eastAsia="zh-CN"/>
        </w:rPr>
        <w:t>无线电规则》</w:t>
      </w:r>
      <w:r w:rsidRPr="004845BD">
        <w:rPr>
          <w:rFonts w:asciiTheme="majorBidi" w:eastAsiaTheme="majorEastAsia" w:hAnsiTheme="majorBidi" w:cstheme="majorBidi" w:hint="eastAsia"/>
          <w:lang w:eastAsia="zh-CN"/>
        </w:rPr>
        <w:t>第</w:t>
      </w:r>
      <w:r w:rsidRPr="004845BD">
        <w:rPr>
          <w:rFonts w:asciiTheme="majorBidi" w:eastAsiaTheme="majorEastAsia" w:hAnsiTheme="majorBidi" w:cstheme="majorBidi"/>
          <w:lang w:eastAsia="zh-CN"/>
        </w:rPr>
        <w:t>5.340</w:t>
      </w:r>
      <w:r w:rsidRPr="004845BD">
        <w:rPr>
          <w:rFonts w:asciiTheme="majorBidi" w:eastAsiaTheme="majorEastAsia" w:hAnsiTheme="majorBidi" w:cstheme="majorBidi" w:hint="eastAsia"/>
          <w:lang w:eastAsia="zh-CN"/>
        </w:rPr>
        <w:t>和</w:t>
      </w:r>
      <w:r w:rsidRPr="004845BD">
        <w:rPr>
          <w:rFonts w:asciiTheme="majorBidi" w:eastAsiaTheme="majorEastAsia" w:hAnsiTheme="majorBidi" w:cstheme="majorBidi"/>
          <w:lang w:eastAsia="zh-CN"/>
        </w:rPr>
        <w:t>5.149</w:t>
      </w:r>
      <w:r w:rsidRPr="004845BD">
        <w:rPr>
          <w:rFonts w:asciiTheme="majorBidi" w:eastAsiaTheme="majorEastAsia" w:hAnsiTheme="majorBidi" w:cstheme="majorBidi" w:hint="eastAsia"/>
          <w:lang w:eastAsia="zh-CN"/>
        </w:rPr>
        <w:t>款。</w:t>
      </w:r>
    </w:p>
    <w:p w:rsidR="000C6E6C" w:rsidRPr="00611653" w:rsidRDefault="000C6E6C" w:rsidP="00671EFC">
      <w:pPr>
        <w:ind w:firstLineChars="200" w:firstLine="480"/>
        <w:rPr>
          <w:lang w:val="en-US" w:eastAsia="zh-CN"/>
        </w:rPr>
      </w:pPr>
      <w:r w:rsidRPr="00611653">
        <w:rPr>
          <w:lang w:eastAsia="zh-CN"/>
        </w:rPr>
        <w:t>22-26</w:t>
      </w:r>
      <w:r w:rsidR="00671EFC">
        <w:rPr>
          <w:lang w:eastAsia="zh-CN"/>
        </w:rPr>
        <w:t xml:space="preserve"> </w:t>
      </w:r>
      <w:r w:rsidRPr="00611653">
        <w:rPr>
          <w:lang w:eastAsia="zh-CN"/>
        </w:rPr>
        <w:t>GHz</w:t>
      </w:r>
      <w:r w:rsidR="00D50075">
        <w:rPr>
          <w:rFonts w:hint="eastAsia"/>
          <w:lang w:eastAsia="zh-CN"/>
        </w:rPr>
        <w:t>频段已划分给一系列无线电通信业务，其中固定、射电天文、空间研究和卫星地球探测为南部非洲发展共同体（</w:t>
      </w:r>
      <w:r w:rsidR="00D50075">
        <w:rPr>
          <w:lang w:eastAsia="zh-CN"/>
        </w:rPr>
        <w:t>SADC</w:t>
      </w:r>
      <w:r w:rsidR="00D50075">
        <w:rPr>
          <w:rFonts w:hint="eastAsia"/>
          <w:lang w:eastAsia="zh-CN"/>
        </w:rPr>
        <w:t>）成员国使用的主要业务。</w:t>
      </w:r>
      <w:r>
        <w:rPr>
          <w:lang w:eastAsia="zh-CN"/>
        </w:rPr>
        <w:t>SADC</w:t>
      </w:r>
      <w:r w:rsidR="00D50075">
        <w:rPr>
          <w:rFonts w:hint="eastAsia"/>
          <w:lang w:eastAsia="zh-CN"/>
        </w:rPr>
        <w:t>成员国认为任何为卫星移动业务（</w:t>
      </w:r>
      <w:r w:rsidR="00D50075">
        <w:rPr>
          <w:rFonts w:hint="eastAsia"/>
          <w:lang w:eastAsia="zh-CN"/>
        </w:rPr>
        <w:t>MSS</w:t>
      </w:r>
      <w:r w:rsidR="00D50075">
        <w:rPr>
          <w:rFonts w:hint="eastAsia"/>
          <w:lang w:eastAsia="zh-CN"/>
        </w:rPr>
        <w:t>）提供的拟议划分均不得给现有业务的操作或部署造成负面影响。</w:t>
      </w:r>
    </w:p>
    <w:p w:rsidR="000C6E6C" w:rsidRDefault="000C6E6C" w:rsidP="00671EFC">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eastAsia="zh-CN"/>
        </w:rPr>
      </w:pPr>
      <w:r>
        <w:rPr>
          <w:lang w:val="en-US" w:eastAsia="zh-CN"/>
        </w:rPr>
        <w:br w:type="page"/>
      </w:r>
    </w:p>
    <w:p w:rsidR="000C6E6C" w:rsidRPr="00C71F47" w:rsidRDefault="00040586" w:rsidP="00671EFC">
      <w:pPr>
        <w:pStyle w:val="Headingb"/>
        <w:rPr>
          <w:lang w:val="en-US" w:eastAsia="zh-CN"/>
        </w:rPr>
      </w:pPr>
      <w:r>
        <w:rPr>
          <w:rFonts w:hint="eastAsia"/>
          <w:lang w:val="en-US" w:eastAsia="zh-CN"/>
        </w:rPr>
        <w:lastRenderedPageBreak/>
        <w:t>提案</w:t>
      </w:r>
    </w:p>
    <w:p w:rsidR="000C6E6C" w:rsidRPr="0047246F" w:rsidRDefault="000C6E6C" w:rsidP="00671EFC">
      <w:pPr>
        <w:ind w:firstLineChars="200" w:firstLine="480"/>
        <w:rPr>
          <w:lang w:eastAsia="zh-CN"/>
        </w:rPr>
      </w:pPr>
      <w:r>
        <w:rPr>
          <w:lang w:eastAsia="zh-CN"/>
        </w:rPr>
        <w:t>SADC</w:t>
      </w:r>
      <w:r w:rsidR="00D50075">
        <w:rPr>
          <w:rFonts w:hint="eastAsia"/>
          <w:lang w:eastAsia="zh-CN"/>
        </w:rPr>
        <w:t>成员国支持</w:t>
      </w:r>
      <w:r w:rsidR="00D50075">
        <w:rPr>
          <w:rFonts w:hint="eastAsia"/>
          <w:lang w:eastAsia="zh-CN"/>
        </w:rPr>
        <w:t>CPM</w:t>
      </w:r>
      <w:r w:rsidR="00D50075">
        <w:rPr>
          <w:rFonts w:hint="eastAsia"/>
          <w:lang w:eastAsia="zh-CN"/>
        </w:rPr>
        <w:t>报告的方法</w:t>
      </w:r>
      <w:r w:rsidR="00D50075">
        <w:rPr>
          <w:rFonts w:hint="eastAsia"/>
          <w:lang w:eastAsia="zh-CN"/>
        </w:rPr>
        <w:t>A</w:t>
      </w:r>
      <w:r w:rsidR="00D50075">
        <w:rPr>
          <w:rFonts w:hint="eastAsia"/>
          <w:lang w:eastAsia="zh-CN"/>
        </w:rPr>
        <w:t>，该方法建议</w:t>
      </w:r>
      <w:r w:rsidR="004845BD">
        <w:rPr>
          <w:rFonts w:asciiTheme="majorBidi" w:hAnsiTheme="majorBidi" w:cstheme="majorBidi" w:hint="eastAsia"/>
          <w:color w:val="222222"/>
          <w:szCs w:val="24"/>
          <w:lang w:eastAsia="zh-CN"/>
        </w:rPr>
        <w:t>在</w:t>
      </w:r>
      <w:r w:rsidR="004845BD">
        <w:rPr>
          <w:rFonts w:asciiTheme="majorBidi" w:hAnsiTheme="majorBidi" w:cstheme="majorBidi"/>
          <w:color w:val="222222"/>
          <w:szCs w:val="24"/>
          <w:lang w:eastAsia="zh-CN"/>
        </w:rPr>
        <w:t xml:space="preserve">22-26 </w:t>
      </w:r>
      <w:r w:rsidR="004845BD">
        <w:rPr>
          <w:rStyle w:val="hps"/>
          <w:rFonts w:asciiTheme="majorBidi" w:hAnsiTheme="majorBidi" w:cstheme="majorBidi"/>
          <w:color w:val="222222"/>
          <w:szCs w:val="24"/>
          <w:lang w:eastAsia="zh-CN"/>
        </w:rPr>
        <w:t>GHz</w:t>
      </w:r>
      <w:r w:rsidR="004845BD">
        <w:rPr>
          <w:rStyle w:val="hps"/>
          <w:rFonts w:asciiTheme="majorBidi" w:hAnsiTheme="majorBidi" w:cstheme="majorBidi" w:hint="eastAsia"/>
          <w:color w:val="222222"/>
          <w:szCs w:val="24"/>
          <w:lang w:eastAsia="zh-CN"/>
        </w:rPr>
        <w:t>频段</w:t>
      </w:r>
      <w:r w:rsidR="004845BD">
        <w:rPr>
          <w:rFonts w:asciiTheme="majorBidi" w:hAnsiTheme="majorBidi" w:cstheme="majorBidi" w:hint="eastAsia"/>
          <w:color w:val="222222"/>
          <w:szCs w:val="24"/>
          <w:lang w:eastAsia="zh-CN"/>
        </w:rPr>
        <w:t>内对</w:t>
      </w:r>
      <w:r w:rsidR="004845BD">
        <w:rPr>
          <w:rFonts w:asciiTheme="majorBidi" w:hAnsiTheme="majorBidi" w:cstheme="majorBidi"/>
          <w:color w:val="222222"/>
          <w:szCs w:val="24"/>
          <w:lang w:eastAsia="zh-CN"/>
        </w:rPr>
        <w:t>MSS</w:t>
      </w:r>
      <w:r w:rsidR="004845BD">
        <w:rPr>
          <w:rFonts w:asciiTheme="majorBidi" w:hAnsiTheme="majorBidi" w:cstheme="majorBidi" w:hint="eastAsia"/>
          <w:color w:val="222222"/>
          <w:szCs w:val="24"/>
          <w:lang w:eastAsia="zh-CN"/>
        </w:rPr>
        <w:t>不做划分，因此不《无线电规则》</w:t>
      </w:r>
      <w:r w:rsidR="00D50075">
        <w:rPr>
          <w:rFonts w:asciiTheme="majorBidi" w:hAnsiTheme="majorBidi" w:cstheme="majorBidi" w:hint="eastAsia"/>
          <w:color w:val="222222"/>
          <w:szCs w:val="24"/>
          <w:lang w:eastAsia="zh-CN"/>
        </w:rPr>
        <w:t>做修改</w:t>
      </w:r>
      <w:r w:rsidR="004845BD">
        <w:rPr>
          <w:rFonts w:asciiTheme="majorBidi" w:hAnsiTheme="majorBidi" w:cstheme="majorBidi" w:hint="eastAsia"/>
          <w:color w:val="222222"/>
          <w:szCs w:val="24"/>
          <w:lang w:eastAsia="zh-CN"/>
        </w:rPr>
        <w:t>。</w:t>
      </w:r>
      <w:r w:rsidR="00D50075">
        <w:rPr>
          <w:rFonts w:asciiTheme="majorBidi" w:hAnsiTheme="majorBidi" w:cstheme="majorBidi" w:hint="eastAsia"/>
          <w:color w:val="222222"/>
          <w:szCs w:val="24"/>
          <w:lang w:eastAsia="zh-CN"/>
        </w:rPr>
        <w:t>此外，</w:t>
      </w:r>
      <w:r w:rsidRPr="0047246F">
        <w:rPr>
          <w:lang w:eastAsia="zh-CN"/>
        </w:rPr>
        <w:t>SADC</w:t>
      </w:r>
      <w:r w:rsidR="00D50075">
        <w:rPr>
          <w:rFonts w:hint="eastAsia"/>
          <w:lang w:eastAsia="zh-CN"/>
        </w:rPr>
        <w:t>成员国建议废止第</w:t>
      </w:r>
      <w:r w:rsidR="00D50075">
        <w:rPr>
          <w:rFonts w:hint="eastAsia"/>
          <w:lang w:eastAsia="zh-CN"/>
        </w:rPr>
        <w:t>234</w:t>
      </w:r>
      <w:r w:rsidR="00D50075">
        <w:rPr>
          <w:rFonts w:hint="eastAsia"/>
          <w:lang w:eastAsia="zh-CN"/>
        </w:rPr>
        <w:t>号决议（</w:t>
      </w:r>
      <w:r w:rsidR="00D50075" w:rsidRPr="0047246F">
        <w:rPr>
          <w:lang w:eastAsia="zh-CN"/>
        </w:rPr>
        <w:t>WRC-12</w:t>
      </w:r>
      <w:r w:rsidR="00D50075">
        <w:rPr>
          <w:rFonts w:hint="eastAsia"/>
          <w:lang w:eastAsia="zh-CN"/>
        </w:rPr>
        <w:t>）。</w:t>
      </w:r>
    </w:p>
    <w:p w:rsidR="000C6E6C" w:rsidRDefault="007031D1" w:rsidP="004A3350">
      <w:pPr>
        <w:rPr>
          <w:lang w:eastAsia="zh-CN"/>
        </w:rPr>
      </w:pPr>
      <w:r>
        <w:rPr>
          <w:b/>
          <w:lang w:eastAsia="zh-CN"/>
        </w:rPr>
        <w:t>理由：</w:t>
      </w:r>
      <w:r>
        <w:rPr>
          <w:lang w:eastAsia="zh-CN"/>
        </w:rPr>
        <w:tab/>
      </w:r>
      <w:r w:rsidR="00D50075">
        <w:rPr>
          <w:rFonts w:hint="eastAsia"/>
          <w:lang w:eastAsia="zh-CN"/>
        </w:rPr>
        <w:t>考虑到现有划分的广泛使用和与现有业务的不兼容性，</w:t>
      </w:r>
      <w:r w:rsidR="000C6E6C" w:rsidRPr="00232A11">
        <w:rPr>
          <w:lang w:eastAsia="zh-CN"/>
        </w:rPr>
        <w:t>SADC</w:t>
      </w:r>
      <w:r w:rsidR="00D50075">
        <w:rPr>
          <w:rFonts w:hint="eastAsia"/>
          <w:lang w:eastAsia="zh-CN"/>
        </w:rPr>
        <w:t>成员国不支持在</w:t>
      </w:r>
      <w:r w:rsidR="00D50075" w:rsidRPr="00232A11">
        <w:rPr>
          <w:lang w:eastAsia="zh-CN"/>
        </w:rPr>
        <w:t>22</w:t>
      </w:r>
      <w:r w:rsidR="00D50075">
        <w:rPr>
          <w:rFonts w:hint="eastAsia"/>
          <w:lang w:eastAsia="zh-CN"/>
        </w:rPr>
        <w:t>至</w:t>
      </w:r>
      <w:r w:rsidR="00D50075" w:rsidRPr="00232A11">
        <w:rPr>
          <w:lang w:eastAsia="zh-CN"/>
        </w:rPr>
        <w:t>26 GHz</w:t>
      </w:r>
      <w:r w:rsidR="00D50075">
        <w:rPr>
          <w:rFonts w:hint="eastAsia"/>
          <w:lang w:eastAsia="zh-CN"/>
        </w:rPr>
        <w:t>频率范围内增加</w:t>
      </w:r>
      <w:r w:rsidR="000C6E6C" w:rsidRPr="00232A11">
        <w:rPr>
          <w:lang w:eastAsia="zh-CN"/>
        </w:rPr>
        <w:t>MSS</w:t>
      </w:r>
      <w:r w:rsidR="00D50075">
        <w:rPr>
          <w:rFonts w:hint="eastAsia"/>
          <w:lang w:eastAsia="zh-CN"/>
        </w:rPr>
        <w:t>划分。</w:t>
      </w:r>
    </w:p>
    <w:p w:rsidR="00B0103A" w:rsidRDefault="00633514" w:rsidP="00794A0E">
      <w:pPr>
        <w:pStyle w:val="Proposal"/>
      </w:pPr>
      <w:r>
        <w:t>SUP</w:t>
      </w:r>
      <w:r>
        <w:tab/>
        <w:t>AGL/BOT/LSO/MDG/MWI/MAU/M</w:t>
      </w:r>
      <w:bookmarkStart w:id="8" w:name="_GoBack"/>
      <w:bookmarkEnd w:id="8"/>
      <w:r>
        <w:t>OZ/NMB/COD/SEY/AFS/SWZ/TZA/ZMB/</w:t>
      </w:r>
      <w:r w:rsidR="00794A0E">
        <w:br/>
      </w:r>
      <w:r w:rsidR="002645AC">
        <w:tab/>
      </w:r>
      <w:r>
        <w:t>ZWE/130A10/1</w:t>
      </w:r>
    </w:p>
    <w:p w:rsidR="00F24DDE" w:rsidRPr="00E4139D" w:rsidRDefault="00633514" w:rsidP="00671EFC">
      <w:pPr>
        <w:pStyle w:val="ResNo"/>
        <w:rPr>
          <w:lang w:eastAsia="zh-CN"/>
        </w:rPr>
      </w:pPr>
      <w:bookmarkStart w:id="9" w:name="_Toc328053082"/>
      <w:r w:rsidRPr="00510604">
        <w:rPr>
          <w:rFonts w:hint="eastAsia"/>
          <w:lang w:eastAsia="zh-CN"/>
        </w:rPr>
        <w:t>第</w:t>
      </w:r>
      <w:r w:rsidRPr="00501F21">
        <w:rPr>
          <w:rStyle w:val="href"/>
          <w:rFonts w:hint="eastAsia"/>
          <w:lang w:eastAsia="zh-CN"/>
        </w:rPr>
        <w:t>234</w:t>
      </w:r>
      <w:r w:rsidRPr="00510604">
        <w:rPr>
          <w:rFonts w:hint="eastAsia"/>
          <w:lang w:eastAsia="zh-CN"/>
        </w:rPr>
        <w:t>号决议</w:t>
      </w:r>
      <w:r>
        <w:rPr>
          <w:rFonts w:hint="eastAsia"/>
          <w:lang w:eastAsia="zh-CN"/>
        </w:rPr>
        <w:t>（</w:t>
      </w:r>
      <w:r>
        <w:rPr>
          <w:lang w:eastAsia="zh-CN"/>
        </w:rPr>
        <w:t>WRC-12</w:t>
      </w:r>
      <w:r>
        <w:rPr>
          <w:rFonts w:hint="eastAsia"/>
          <w:lang w:eastAsia="zh-CN"/>
        </w:rPr>
        <w:t>）</w:t>
      </w:r>
      <w:bookmarkEnd w:id="9"/>
    </w:p>
    <w:p w:rsidR="00F24DDE" w:rsidRPr="00593CC2" w:rsidRDefault="00633514" w:rsidP="00671EFC">
      <w:pPr>
        <w:pStyle w:val="Restitle"/>
        <w:rPr>
          <w:rFonts w:ascii="Times New Roman" w:hAnsi="Times New Roman"/>
          <w:lang w:eastAsia="zh-CN"/>
        </w:rPr>
      </w:pPr>
      <w:bookmarkStart w:id="10" w:name="_Toc328053083"/>
      <w:r w:rsidRPr="00593CC2">
        <w:rPr>
          <w:rFonts w:ascii="Times New Roman" w:hint="eastAsia"/>
          <w:lang w:eastAsia="zh-CN"/>
        </w:rPr>
        <w:t>在</w:t>
      </w:r>
      <w:r>
        <w:rPr>
          <w:rFonts w:hint="eastAsia"/>
          <w:lang w:eastAsia="zh-CN"/>
        </w:rPr>
        <w:t>22</w:t>
      </w:r>
      <w:r w:rsidRPr="00274E84">
        <w:rPr>
          <w:lang w:eastAsia="zh-CN"/>
        </w:rPr>
        <w:t xml:space="preserve"> GHz</w:t>
      </w:r>
      <w:r>
        <w:rPr>
          <w:rFonts w:hint="eastAsia"/>
          <w:lang w:eastAsia="zh-CN"/>
        </w:rPr>
        <w:t>至</w:t>
      </w:r>
      <w:r>
        <w:rPr>
          <w:rFonts w:hint="eastAsia"/>
          <w:lang w:eastAsia="zh-CN"/>
        </w:rPr>
        <w:t>26 GHz</w:t>
      </w:r>
      <w:r>
        <w:rPr>
          <w:rFonts w:ascii="Times New Roman" w:hAnsi="Times New Roman" w:hint="eastAsia"/>
          <w:lang w:eastAsia="zh-CN"/>
        </w:rPr>
        <w:t>频段内增加</w:t>
      </w:r>
      <w:r w:rsidRPr="00593CC2">
        <w:rPr>
          <w:rFonts w:ascii="Times New Roman" w:hint="eastAsia"/>
          <w:lang w:eastAsia="zh-CN"/>
        </w:rPr>
        <w:t>卫星移动业务</w:t>
      </w:r>
      <w:r>
        <w:rPr>
          <w:rFonts w:ascii="Times New Roman"/>
          <w:lang w:eastAsia="zh-CN"/>
        </w:rPr>
        <w:br/>
      </w:r>
      <w:r>
        <w:rPr>
          <w:rFonts w:ascii="Times New Roman" w:hAnsi="Times New Roman" w:hint="eastAsia"/>
          <w:lang w:eastAsia="zh-CN"/>
        </w:rPr>
        <w:t>主要业务</w:t>
      </w:r>
      <w:r w:rsidRPr="00593CC2">
        <w:rPr>
          <w:rFonts w:ascii="Times New Roman" w:hint="eastAsia"/>
          <w:lang w:eastAsia="zh-CN"/>
        </w:rPr>
        <w:t>的划分</w:t>
      </w:r>
      <w:bookmarkEnd w:id="10"/>
    </w:p>
    <w:p w:rsidR="000C6E6C" w:rsidRDefault="000C6E6C" w:rsidP="00671EFC">
      <w:pPr>
        <w:pStyle w:val="Reasons"/>
        <w:rPr>
          <w:lang w:eastAsia="zh-CN"/>
        </w:rPr>
      </w:pPr>
    </w:p>
    <w:p w:rsidR="000C6E6C" w:rsidRDefault="000C6E6C" w:rsidP="00671EFC">
      <w:pPr>
        <w:jc w:val="center"/>
      </w:pPr>
      <w:r>
        <w:t>______________</w:t>
      </w:r>
    </w:p>
    <w:sectPr w:rsidR="000C6E6C">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040586" w:rsidRDefault="00040586" w:rsidP="00040586">
    <w:pPr>
      <w:pStyle w:val="Footer"/>
      <w:rPr>
        <w:lang w:val="en-US"/>
      </w:rPr>
    </w:pPr>
    <w:r>
      <w:fldChar w:fldCharType="begin"/>
    </w:r>
    <w:r w:rsidRPr="00DA0469">
      <w:rPr>
        <w:lang w:val="en-US"/>
      </w:rPr>
      <w:instrText xml:space="preserve"> FILENAME \p \* MERGEFORMAT </w:instrText>
    </w:r>
    <w:r>
      <w:fldChar w:fldCharType="separate"/>
    </w:r>
    <w:r w:rsidR="00BA5697">
      <w:rPr>
        <w:lang w:val="en-US"/>
      </w:rPr>
      <w:t>P:\CHI\ITU-R\CONF-R\CMR15\100\130ADD10C.docx</w:t>
    </w:r>
    <w:r>
      <w:fldChar w:fldCharType="end"/>
    </w:r>
    <w:r>
      <w:t xml:space="preserve"> (389013)</w:t>
    </w:r>
    <w:r w:rsidRPr="00DA0469">
      <w:rPr>
        <w:lang w:val="en-US"/>
      </w:rPr>
      <w:tab/>
    </w:r>
    <w:r>
      <w:fldChar w:fldCharType="begin"/>
    </w:r>
    <w:r>
      <w:instrText xml:space="preserve"> savedate \@ dd.MM.yy </w:instrText>
    </w:r>
    <w:r>
      <w:fldChar w:fldCharType="separate"/>
    </w:r>
    <w:r w:rsidR="00BA5697">
      <w:t>30.10.15</w:t>
    </w:r>
    <w:r>
      <w:fldChar w:fldCharType="end"/>
    </w:r>
    <w:r w:rsidRPr="00DA0469">
      <w:rPr>
        <w:lang w:val="en-US"/>
      </w:rPr>
      <w:tab/>
    </w:r>
    <w:r>
      <w:fldChar w:fldCharType="begin"/>
    </w:r>
    <w:r>
      <w:instrText xml:space="preserve"> printdate \@ dd.MM.yy </w:instrText>
    </w:r>
    <w:r>
      <w:fldChar w:fldCharType="separate"/>
    </w:r>
    <w:r w:rsidR="00BA5697">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A5697">
      <w:rPr>
        <w:lang w:val="en-US"/>
      </w:rPr>
      <w:t>P:\CHI\ITU-R\CONF-R\CMR15\100\130ADD10C.docx</w:t>
    </w:r>
    <w:r>
      <w:fldChar w:fldCharType="end"/>
    </w:r>
    <w:r w:rsidR="00040586">
      <w:t xml:space="preserve"> (389013)</w:t>
    </w:r>
    <w:r w:rsidRPr="00DA0469">
      <w:rPr>
        <w:lang w:val="en-US"/>
      </w:rPr>
      <w:tab/>
    </w:r>
    <w:r>
      <w:fldChar w:fldCharType="begin"/>
    </w:r>
    <w:r>
      <w:instrText xml:space="preserve"> savedate \@ dd.MM.yy </w:instrText>
    </w:r>
    <w:r>
      <w:fldChar w:fldCharType="separate"/>
    </w:r>
    <w:r w:rsidR="00BA5697">
      <w:t>30.10.15</w:t>
    </w:r>
    <w:r>
      <w:fldChar w:fldCharType="end"/>
    </w:r>
    <w:r w:rsidRPr="00DA0469">
      <w:rPr>
        <w:lang w:val="en-US"/>
      </w:rPr>
      <w:tab/>
    </w:r>
    <w:r>
      <w:fldChar w:fldCharType="begin"/>
    </w:r>
    <w:r>
      <w:instrText xml:space="preserve"> printdate \@ dd.MM.yy </w:instrText>
    </w:r>
    <w:r>
      <w:fldChar w:fldCharType="separate"/>
    </w:r>
    <w:r w:rsidR="00BA5697">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A569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130(Add.10)-</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0651"/>
    <w:rsid w:val="00037C90"/>
    <w:rsid w:val="00040586"/>
    <w:rsid w:val="000C09BA"/>
    <w:rsid w:val="000C1F1E"/>
    <w:rsid w:val="000C6AA7"/>
    <w:rsid w:val="000C6E6C"/>
    <w:rsid w:val="000E26F6"/>
    <w:rsid w:val="00123C07"/>
    <w:rsid w:val="00166859"/>
    <w:rsid w:val="001765EC"/>
    <w:rsid w:val="001853E8"/>
    <w:rsid w:val="001B6360"/>
    <w:rsid w:val="001F4EA6"/>
    <w:rsid w:val="00214959"/>
    <w:rsid w:val="002260A6"/>
    <w:rsid w:val="002645AC"/>
    <w:rsid w:val="002742B3"/>
    <w:rsid w:val="002A4C9C"/>
    <w:rsid w:val="002B509B"/>
    <w:rsid w:val="002E2A59"/>
    <w:rsid w:val="002E4507"/>
    <w:rsid w:val="00305254"/>
    <w:rsid w:val="003169D2"/>
    <w:rsid w:val="003B4BEF"/>
    <w:rsid w:val="003C6B45"/>
    <w:rsid w:val="0041282E"/>
    <w:rsid w:val="00437869"/>
    <w:rsid w:val="00465A34"/>
    <w:rsid w:val="004845BD"/>
    <w:rsid w:val="004A3350"/>
    <w:rsid w:val="004C4554"/>
    <w:rsid w:val="004D2DEC"/>
    <w:rsid w:val="004D5223"/>
    <w:rsid w:val="004F2BE6"/>
    <w:rsid w:val="00527E8A"/>
    <w:rsid w:val="00542E85"/>
    <w:rsid w:val="00555EF5"/>
    <w:rsid w:val="00562479"/>
    <w:rsid w:val="00576849"/>
    <w:rsid w:val="005A0ACB"/>
    <w:rsid w:val="005E08D2"/>
    <w:rsid w:val="005E7FD8"/>
    <w:rsid w:val="00622560"/>
    <w:rsid w:val="00633514"/>
    <w:rsid w:val="00644391"/>
    <w:rsid w:val="00647712"/>
    <w:rsid w:val="006546A1"/>
    <w:rsid w:val="00662E12"/>
    <w:rsid w:val="00671EFC"/>
    <w:rsid w:val="00681E42"/>
    <w:rsid w:val="00691142"/>
    <w:rsid w:val="006B67CE"/>
    <w:rsid w:val="006C38ED"/>
    <w:rsid w:val="006E6182"/>
    <w:rsid w:val="006F3C60"/>
    <w:rsid w:val="007031D1"/>
    <w:rsid w:val="00736415"/>
    <w:rsid w:val="00770D2A"/>
    <w:rsid w:val="007864F6"/>
    <w:rsid w:val="007869B8"/>
    <w:rsid w:val="00794A0E"/>
    <w:rsid w:val="007B7C4B"/>
    <w:rsid w:val="007F0FC5"/>
    <w:rsid w:val="007F5C36"/>
    <w:rsid w:val="008047DB"/>
    <w:rsid w:val="008129A9"/>
    <w:rsid w:val="008221A4"/>
    <w:rsid w:val="00824BD6"/>
    <w:rsid w:val="0083672D"/>
    <w:rsid w:val="00844734"/>
    <w:rsid w:val="00865DFB"/>
    <w:rsid w:val="008A0DB3"/>
    <w:rsid w:val="008A7416"/>
    <w:rsid w:val="008B6852"/>
    <w:rsid w:val="008C26FF"/>
    <w:rsid w:val="008D1D14"/>
    <w:rsid w:val="008E1785"/>
    <w:rsid w:val="008E7127"/>
    <w:rsid w:val="008E7C8E"/>
    <w:rsid w:val="00912959"/>
    <w:rsid w:val="009441F3"/>
    <w:rsid w:val="009657F9"/>
    <w:rsid w:val="0099525B"/>
    <w:rsid w:val="009C72B7"/>
    <w:rsid w:val="00A0052C"/>
    <w:rsid w:val="00A31B14"/>
    <w:rsid w:val="00A323DC"/>
    <w:rsid w:val="00A466E6"/>
    <w:rsid w:val="00A72383"/>
    <w:rsid w:val="00A815BE"/>
    <w:rsid w:val="00AA5DA1"/>
    <w:rsid w:val="00AE369F"/>
    <w:rsid w:val="00AF7DA6"/>
    <w:rsid w:val="00B0103A"/>
    <w:rsid w:val="00B026CB"/>
    <w:rsid w:val="00B711CC"/>
    <w:rsid w:val="00B851D4"/>
    <w:rsid w:val="00B868FC"/>
    <w:rsid w:val="00B95072"/>
    <w:rsid w:val="00BA5697"/>
    <w:rsid w:val="00BB26CD"/>
    <w:rsid w:val="00BD7574"/>
    <w:rsid w:val="00C07239"/>
    <w:rsid w:val="00C364B1"/>
    <w:rsid w:val="00C47D87"/>
    <w:rsid w:val="00C627F9"/>
    <w:rsid w:val="00C6584D"/>
    <w:rsid w:val="00C929E0"/>
    <w:rsid w:val="00CA5CD2"/>
    <w:rsid w:val="00CB4E5A"/>
    <w:rsid w:val="00CC73D7"/>
    <w:rsid w:val="00CF0AD7"/>
    <w:rsid w:val="00CF0BE1"/>
    <w:rsid w:val="00D50075"/>
    <w:rsid w:val="00D52A14"/>
    <w:rsid w:val="00D6206A"/>
    <w:rsid w:val="00D65487"/>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F0D92C-1474-4157-8FE2-7EA30F70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hps">
    <w:name w:val="hps"/>
    <w:basedOn w:val="DefaultParagraphFont"/>
    <w:rsid w:val="0048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R15-WRC15-C-0130!A10!MSW-C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CB9602-F290-470C-B30A-B82E39A3C276}">
  <ds:schemaRefs>
    <ds:schemaRef ds:uri="http://schemas.microsoft.com/office/2006/documentManagement/types"/>
    <ds:schemaRef ds:uri="32a1a8c5-2265-4ebc-b7a0-2071e2c5c9bb"/>
    <ds:schemaRef ds:uri="996b2e75-67fd-4955-a3b0-5ab9934cb50b"/>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682</Words>
  <Characters>923</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R15-WRC15-C-0130!A10!MSW-C</vt:lpstr>
    </vt:vector>
  </TitlesOfParts>
  <Manager>General Secretariat - Pool</Manager>
  <Company>International Telecommunication Union (ITU)</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R15-WRC15-C-0130!A10!MSW-C</dc:title>
  <dc:subject>World Radiocommunication Conference - 2015</dc:subject>
  <dc:creator>Documents Proposals Manager (DPM)</dc:creator>
  <cp:keywords>DPM_v5.2015.10.230_prod</cp:keywords>
  <dc:description/>
  <cp:lastModifiedBy>Zhang, Lan'ou</cp:lastModifiedBy>
  <cp:revision>12</cp:revision>
  <cp:lastPrinted>2015-10-30T09:28:00Z</cp:lastPrinted>
  <dcterms:created xsi:type="dcterms:W3CDTF">2015-10-29T22:31:00Z</dcterms:created>
  <dcterms:modified xsi:type="dcterms:W3CDTF">2015-10-30T09:28:00Z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