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8E247C" w:rsidRDefault="003E1608" w:rsidP="008E247C">
            <w:pPr>
              <w:pStyle w:val="Adress"/>
              <w:framePr w:hSpace="0" w:wrap="auto" w:xAlign="left" w:yAlign="inline"/>
              <w:rPr>
                <w:rtl/>
              </w:rPr>
            </w:pPr>
            <w:r w:rsidRPr="008E247C">
              <w:rPr>
                <w:rtl/>
              </w:rPr>
              <w:t xml:space="preserve">الإضافة </w:t>
            </w:r>
            <w:r w:rsidRPr="008E247C">
              <w:t>10</w:t>
            </w:r>
            <w:r w:rsidRPr="008E247C">
              <w:br/>
            </w:r>
            <w:r w:rsidRPr="008E247C">
              <w:rPr>
                <w:rtl/>
              </w:rPr>
              <w:t xml:space="preserve">للوثيقة </w:t>
            </w:r>
            <w:r w:rsidRPr="008E247C">
              <w:t>130-</w:t>
            </w:r>
            <w:r w:rsidR="008E247C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8E247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8E247C">
              <w:rPr>
                <w:rFonts w:eastAsia="SimSun"/>
              </w:rPr>
              <w:t>16</w:t>
            </w:r>
            <w:r w:rsidRPr="008E247C">
              <w:rPr>
                <w:rFonts w:eastAsia="SimSun"/>
                <w:rtl/>
              </w:rPr>
              <w:t xml:space="preserve"> أكتوبر </w:t>
            </w:r>
            <w:r w:rsidRPr="008E247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8E247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8E247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أنغولا/جمهورية بوتسوانا/مملكة ليسوتو/جمهورية مدغشقر/ملاوي/جمهورية موريشيوس/جمهورية موزامبيق/جمهورية ناميبيا/جمهورية الكونغو الديمقراطية/جمهورية سيشيل/جمهورية جنوب إفريقيا/مملكة سوازيلاند/جمهورية تنـزانيا المتحدة/جمهورية زامبيا/جمهورية زيمبابوي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8E247C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20683A">
              <w:rPr>
                <w:rFonts w:hint="cs"/>
                <w:rtl/>
              </w:rPr>
              <w:t>ال</w:t>
            </w:r>
            <w:r w:rsidR="00CF10E4">
              <w:rPr>
                <w:rFonts w:hint="cs"/>
                <w:rtl/>
              </w:rPr>
              <w:t>‍</w:t>
            </w:r>
            <w:r w:rsidR="0020683A">
              <w:rPr>
                <w:rFonts w:hint="cs"/>
                <w:rtl/>
              </w:rPr>
              <w:t>مؤت</w:t>
            </w:r>
            <w:r w:rsidR="00CF10E4">
              <w:rPr>
                <w:rFonts w:hint="cs"/>
                <w:rtl/>
              </w:rPr>
              <w:t>‍</w:t>
            </w:r>
            <w:r w:rsidR="0020683A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8E247C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8E247C">
              <w:t>10.1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F961F5" w:rsidP="0067107D">
      <w:pPr>
        <w:pStyle w:val="Normalaftertitle"/>
        <w:rPr>
          <w:rFonts w:eastAsia="SimSun"/>
        </w:rPr>
      </w:pPr>
      <w:r w:rsidRPr="00431196">
        <w:rPr>
          <w:rFonts w:eastAsia="SimSun"/>
        </w:rPr>
        <w:t>10.1</w:t>
      </w:r>
      <w:r w:rsidRPr="00431196">
        <w:rPr>
          <w:rFonts w:eastAsia="SimSun" w:hint="cs"/>
          <w:rtl/>
        </w:rPr>
        <w:tab/>
        <w:t>النظر في المتطلبات</w:t>
      </w:r>
      <w:r w:rsidRPr="00431196">
        <w:rPr>
          <w:rFonts w:eastAsia="SimSun"/>
          <w:rtl/>
        </w:rPr>
        <w:t xml:space="preserve"> من الطيف وتوزيعات الطيف الإضافية الممكنة </w:t>
      </w:r>
      <w:r w:rsidRPr="00431196">
        <w:rPr>
          <w:rFonts w:eastAsia="SimSun" w:hint="cs"/>
          <w:rtl/>
          <w:lang w:bidi="ar-AE"/>
        </w:rPr>
        <w:t>ل</w:t>
      </w:r>
      <w:r w:rsidRPr="00431196">
        <w:rPr>
          <w:rFonts w:eastAsia="SimSun" w:hint="cs"/>
          <w:rtl/>
        </w:rPr>
        <w:t>ل</w:t>
      </w:r>
      <w:r w:rsidRPr="00431196">
        <w:rPr>
          <w:rFonts w:eastAsia="SimSun"/>
          <w:rtl/>
        </w:rPr>
        <w:t>خدمة</w:t>
      </w:r>
      <w:r w:rsidRPr="00431196">
        <w:rPr>
          <w:rFonts w:eastAsia="SimSun" w:hint="cs"/>
          <w:rtl/>
        </w:rPr>
        <w:t xml:space="preserve"> المتنقلة الساتلية في الاتجاهين</w:t>
      </w:r>
      <w:r w:rsidRPr="00431196">
        <w:rPr>
          <w:rFonts w:eastAsia="SimSun"/>
          <w:rtl/>
        </w:rPr>
        <w:t xml:space="preserve"> أرض-</w:t>
      </w:r>
      <w:r w:rsidR="004453D6">
        <w:rPr>
          <w:rFonts w:eastAsia="SimSun" w:hint="cs"/>
          <w:rtl/>
        </w:rPr>
        <w:t> </w:t>
      </w:r>
      <w:r w:rsidRPr="00431196">
        <w:rPr>
          <w:rFonts w:eastAsia="SimSun"/>
          <w:rtl/>
        </w:rPr>
        <w:t>فضاء</w:t>
      </w:r>
      <w:r w:rsidRPr="00431196">
        <w:rPr>
          <w:rFonts w:eastAsia="SimSun" w:hint="cs"/>
          <w:rtl/>
        </w:rPr>
        <w:t xml:space="preserve"> وفضاء</w:t>
      </w:r>
      <w:r w:rsidRPr="00431196">
        <w:rPr>
          <w:rFonts w:eastAsia="SimSun"/>
          <w:rtl/>
        </w:rPr>
        <w:t>-</w:t>
      </w:r>
      <w:r w:rsidRPr="00431196">
        <w:rPr>
          <w:rFonts w:eastAsia="SimSun" w:hint="cs"/>
          <w:rtl/>
        </w:rPr>
        <w:t>أرض، بما في ذلك المكون الساتلي لتطبيقات النطاق العريض، بما فيها الاتصالا</w:t>
      </w:r>
      <w:r w:rsidRPr="00431196">
        <w:rPr>
          <w:rFonts w:eastAsia="SimSun" w:hint="eastAsia"/>
          <w:rtl/>
        </w:rPr>
        <w:t>ت</w:t>
      </w:r>
      <w:r w:rsidRPr="00431196">
        <w:rPr>
          <w:rFonts w:eastAsia="SimSun" w:hint="cs"/>
          <w:rtl/>
        </w:rPr>
        <w:t xml:space="preserve"> المتنقلة الدولية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(IMT)</w:t>
      </w:r>
      <w:r w:rsidRPr="00431196">
        <w:rPr>
          <w:rFonts w:eastAsia="SimSun" w:hint="cs"/>
          <w:rtl/>
        </w:rPr>
        <w:t>، في مدى الترددات من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GHz 22</w:t>
      </w:r>
      <w:r w:rsidRPr="00431196">
        <w:rPr>
          <w:rFonts w:eastAsia="SimSun" w:hint="cs"/>
          <w:rtl/>
        </w:rPr>
        <w:t xml:space="preserve"> </w:t>
      </w:r>
      <w:r w:rsidRPr="00431196">
        <w:rPr>
          <w:rFonts w:eastAsia="SimSun" w:hint="cs"/>
          <w:rtl/>
          <w:lang w:bidi="ar-SY"/>
        </w:rPr>
        <w:t xml:space="preserve">إلى </w:t>
      </w:r>
      <w:r w:rsidRPr="00431196">
        <w:rPr>
          <w:rFonts w:eastAsia="SimSun"/>
          <w:lang w:bidi="ar-SY"/>
        </w:rPr>
        <w:t>GHz 26</w:t>
      </w:r>
      <w:r w:rsidRPr="00431196">
        <w:rPr>
          <w:rFonts w:eastAsia="SimSun" w:hint="cs"/>
          <w:rtl/>
          <w:lang w:bidi="ar-SY"/>
        </w:rPr>
        <w:t xml:space="preserve">، </w:t>
      </w:r>
      <w:r w:rsidRPr="00431196">
        <w:rPr>
          <w:rFonts w:eastAsia="SimSun" w:hint="cs"/>
          <w:rtl/>
        </w:rPr>
        <w:t>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234 (WRC-12)</w:t>
      </w:r>
      <w:r w:rsidRPr="00431196">
        <w:rPr>
          <w:rFonts w:eastAsia="SimSun" w:hint="cs"/>
          <w:rtl/>
        </w:rPr>
        <w:t>؛</w:t>
      </w:r>
    </w:p>
    <w:p w:rsidR="008E247C" w:rsidRPr="0020683A" w:rsidRDefault="008E247C" w:rsidP="008E247C">
      <w:pPr>
        <w:pStyle w:val="Headingb"/>
      </w:pPr>
      <w:r w:rsidRPr="0020683A">
        <w:rPr>
          <w:rFonts w:hint="cs"/>
          <w:rtl/>
        </w:rPr>
        <w:t>مقدمة</w:t>
      </w:r>
    </w:p>
    <w:p w:rsidR="008E247C" w:rsidRDefault="0020683A" w:rsidP="0020683A">
      <w:pPr>
        <w:rPr>
          <w:rtl/>
          <w:lang w:bidi="ar-EG"/>
        </w:rPr>
      </w:pPr>
      <w:r>
        <w:rPr>
          <w:rFonts w:hint="cs"/>
          <w:rtl/>
        </w:rPr>
        <w:t xml:space="preserve">يتناول </w:t>
      </w:r>
      <w:r w:rsidR="008E247C" w:rsidRPr="0020683A">
        <w:rPr>
          <w:rFonts w:hint="cs"/>
          <w:rtl/>
        </w:rPr>
        <w:t xml:space="preserve">البند </w:t>
      </w:r>
      <w:r w:rsidR="008E247C" w:rsidRPr="0020683A">
        <w:rPr>
          <w:lang w:bidi="ar-SY"/>
        </w:rPr>
        <w:t>10.1</w:t>
      </w:r>
      <w:r w:rsidR="008E247C" w:rsidRPr="0020683A">
        <w:rPr>
          <w:rFonts w:hint="cs"/>
          <w:rtl/>
        </w:rPr>
        <w:t xml:space="preserve"> من جدول أعمال المؤتمر العالمي للاتصالات الراديوية لعام</w:t>
      </w:r>
      <w:r w:rsidR="008E247C" w:rsidRPr="0020683A">
        <w:rPr>
          <w:rFonts w:hint="eastAsia"/>
          <w:rtl/>
        </w:rPr>
        <w:t> </w:t>
      </w:r>
      <w:r w:rsidR="008E247C" w:rsidRPr="0020683A">
        <w:rPr>
          <w:lang w:bidi="ar-SY"/>
        </w:rPr>
        <w:t>2015</w:t>
      </w:r>
      <w:r w:rsidR="008E247C" w:rsidRPr="0020683A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8E247C" w:rsidRPr="0020683A">
        <w:rPr>
          <w:rFonts w:hint="cs"/>
          <w:rtl/>
        </w:rPr>
        <w:t>لنظر في </w:t>
      </w:r>
      <w:r>
        <w:rPr>
          <w:rFonts w:hint="cs"/>
          <w:rtl/>
        </w:rPr>
        <w:t xml:space="preserve">منح </w:t>
      </w:r>
      <w:r w:rsidR="008E247C" w:rsidRPr="0020683A">
        <w:rPr>
          <w:rFonts w:hint="cs"/>
          <w:rtl/>
        </w:rPr>
        <w:t>توزيعات إضافية للخدمة المتنقلة الساتلية، آخذاً في الاعتبار دراسات قطاع الاتصالات الراديوية وفقاً للقرار</w:t>
      </w:r>
      <w:r w:rsidR="008E247C" w:rsidRPr="0020683A">
        <w:rPr>
          <w:rFonts w:hint="eastAsia"/>
          <w:rtl/>
        </w:rPr>
        <w:t> </w:t>
      </w:r>
      <w:r w:rsidR="008E247C" w:rsidRPr="0020683A">
        <w:rPr>
          <w:lang w:bidi="ar-SY"/>
        </w:rPr>
        <w:t>234 (WRC</w:t>
      </w:r>
      <w:r w:rsidR="008E247C" w:rsidRPr="0020683A">
        <w:rPr>
          <w:lang w:bidi="ar-SY"/>
        </w:rPr>
        <w:noBreakHyphen/>
        <w:t>12)</w:t>
      </w:r>
      <w:r w:rsidR="008E247C" w:rsidRPr="0020683A">
        <w:rPr>
          <w:rFonts w:hint="cs"/>
          <w:rtl/>
        </w:rPr>
        <w:t>. ويدعو القرار</w:t>
      </w:r>
      <w:r w:rsidR="0067107D" w:rsidRPr="0020683A">
        <w:rPr>
          <w:rFonts w:hint="eastAsia"/>
          <w:rtl/>
        </w:rPr>
        <w:t> </w:t>
      </w:r>
      <w:r w:rsidR="008E247C" w:rsidRPr="0020683A">
        <w:rPr>
          <w:lang w:bidi="ar-SY"/>
        </w:rPr>
        <w:t>234 (WRC</w:t>
      </w:r>
      <w:r w:rsidR="008E247C" w:rsidRPr="0020683A">
        <w:rPr>
          <w:lang w:bidi="ar-SY"/>
        </w:rPr>
        <w:noBreakHyphen/>
        <w:t>12)</w:t>
      </w:r>
      <w:r w:rsidR="008E247C" w:rsidRPr="0020683A">
        <w:rPr>
          <w:rFonts w:hint="cs"/>
          <w:rtl/>
        </w:rPr>
        <w:t xml:space="preserve"> قطاع الاتصالات الراديوية إلى أن يقوم، من أجل المؤتمر العالمي للاتصالات الراديوية لعام </w:t>
      </w:r>
      <w:r w:rsidR="008E247C" w:rsidRPr="0020683A">
        <w:t>2015</w:t>
      </w:r>
      <w:r w:rsidR="008E247C" w:rsidRPr="0020683A">
        <w:rPr>
          <w:rFonts w:hint="cs"/>
          <w:rtl/>
          <w:lang w:bidi="ar-SY"/>
        </w:rPr>
        <w:t xml:space="preserve">، باستكمال </w:t>
      </w:r>
      <w:r w:rsidR="008E247C" w:rsidRPr="0020683A">
        <w:rPr>
          <w:rFonts w:hint="cs"/>
          <w:rtl/>
        </w:rPr>
        <w:t>دراسات التقاسم والتوافق، المتعلقة ب</w:t>
      </w:r>
      <w:r>
        <w:rPr>
          <w:rFonts w:hint="cs"/>
          <w:rtl/>
        </w:rPr>
        <w:t xml:space="preserve">منح </w:t>
      </w:r>
      <w:r w:rsidR="008E247C" w:rsidRPr="0020683A">
        <w:rPr>
          <w:rFonts w:hint="cs"/>
          <w:rtl/>
        </w:rPr>
        <w:t>توزيعات إضافية للخدمة المتنقلة الساتلية في الاتجاهين أرض</w:t>
      </w:r>
      <w:r w:rsidR="0067107D" w:rsidRPr="0020683A">
        <w:rPr>
          <w:rtl/>
        </w:rPr>
        <w:noBreakHyphen/>
      </w:r>
      <w:r w:rsidR="008E247C" w:rsidRPr="0020683A">
        <w:rPr>
          <w:rFonts w:hint="cs"/>
          <w:rtl/>
        </w:rPr>
        <w:t xml:space="preserve">فضاء وفضاء-أرض، في أجزاء من النطاقات بين </w:t>
      </w:r>
      <w:r w:rsidR="008E247C" w:rsidRPr="0020683A">
        <w:t>GHz </w:t>
      </w:r>
      <w:r w:rsidR="008E247C" w:rsidRPr="0020683A">
        <w:rPr>
          <w:lang w:bidi="ar-SY"/>
        </w:rPr>
        <w:t>22</w:t>
      </w:r>
      <w:r w:rsidR="008E247C" w:rsidRPr="0020683A">
        <w:rPr>
          <w:rFonts w:hint="cs"/>
          <w:rtl/>
        </w:rPr>
        <w:t xml:space="preserve"> و</w:t>
      </w:r>
      <w:r w:rsidR="008E247C" w:rsidRPr="0020683A">
        <w:t>GHz </w:t>
      </w:r>
      <w:r w:rsidR="008E247C" w:rsidRPr="0020683A">
        <w:rPr>
          <w:lang w:bidi="ar-SY"/>
        </w:rPr>
        <w:t>26</w:t>
      </w:r>
      <w:r w:rsidR="008E247C" w:rsidRPr="0020683A">
        <w:rPr>
          <w:rFonts w:hint="cs"/>
          <w:rtl/>
        </w:rPr>
        <w:t>، مع ضمان توفير الحماية للخدمات الحالية في مدى التردد</w:t>
      </w:r>
      <w:r>
        <w:rPr>
          <w:rFonts w:hint="cs"/>
          <w:rtl/>
        </w:rPr>
        <w:t>ات</w:t>
      </w:r>
      <w:r w:rsidR="008E247C" w:rsidRPr="0020683A">
        <w:rPr>
          <w:rFonts w:hint="cs"/>
          <w:rtl/>
        </w:rPr>
        <w:t xml:space="preserve"> هذا، بالإضافة إلى مراعاة الرقمين </w:t>
      </w:r>
      <w:r w:rsidR="008E247C" w:rsidRPr="0020683A">
        <w:rPr>
          <w:lang w:bidi="ar-SY"/>
        </w:rPr>
        <w:t>340.5</w:t>
      </w:r>
      <w:r w:rsidR="008E247C" w:rsidRPr="0020683A">
        <w:rPr>
          <w:rFonts w:hint="cs"/>
          <w:rtl/>
        </w:rPr>
        <w:t xml:space="preserve"> و</w:t>
      </w:r>
      <w:r w:rsidR="008E247C" w:rsidRPr="0020683A">
        <w:rPr>
          <w:lang w:bidi="ar-SY"/>
        </w:rPr>
        <w:t>149.5</w:t>
      </w:r>
      <w:r w:rsidR="008E247C" w:rsidRPr="0020683A">
        <w:rPr>
          <w:rFonts w:hint="cs"/>
          <w:rtl/>
        </w:rPr>
        <w:t xml:space="preserve"> من لوائح الراديو.</w:t>
      </w:r>
    </w:p>
    <w:p w:rsidR="0020683A" w:rsidRDefault="0020683A" w:rsidP="0008456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ويوزع نطاق التردد </w:t>
      </w:r>
      <w:r>
        <w:rPr>
          <w:lang w:bidi="ar-EG"/>
        </w:rPr>
        <w:t>GHz 26</w:t>
      </w:r>
      <w:r>
        <w:rPr>
          <w:lang w:bidi="ar-EG"/>
        </w:rPr>
        <w:noBreakHyphen/>
        <w:t>22</w:t>
      </w:r>
      <w:r>
        <w:rPr>
          <w:rFonts w:hint="cs"/>
          <w:rtl/>
          <w:lang w:bidi="ar-EG"/>
        </w:rPr>
        <w:t xml:space="preserve"> على عدد من الاتصالات الراديوية، تمثل منها الخدمة الثابتة وخدمة الفلك الراديوي وخدمة الأبحاث الفضائية وخدمة استكشاف الأرض الساتلية خدمات رئيسية في </w:t>
      </w:r>
      <w:r w:rsidRPr="0020683A">
        <w:rPr>
          <w:rtl/>
        </w:rPr>
        <w:t xml:space="preserve">الدول الأعضاء في الجماعة الإنمائية للجنوب </w:t>
      </w:r>
      <w:r w:rsidRPr="0020683A">
        <w:rPr>
          <w:rtl/>
        </w:rPr>
        <w:lastRenderedPageBreak/>
        <w:t>الإفريقي</w:t>
      </w:r>
      <w:r>
        <w:rPr>
          <w:rFonts w:hint="eastAsia"/>
          <w:rtl/>
        </w:rPr>
        <w:t> </w:t>
      </w:r>
      <w:r>
        <w:t>(SADC)</w:t>
      </w:r>
      <w:r>
        <w:rPr>
          <w:rFonts w:hint="cs"/>
          <w:rtl/>
          <w:lang w:bidi="ar-EG"/>
        </w:rPr>
        <w:t xml:space="preserve">. وترى الدول الأعضاء في </w:t>
      </w:r>
      <w:r>
        <w:rPr>
          <w:lang w:bidi="ar-EG"/>
        </w:rPr>
        <w:t>SADC</w:t>
      </w:r>
      <w:r>
        <w:rPr>
          <w:rFonts w:hint="cs"/>
          <w:rtl/>
          <w:lang w:bidi="ar-EG"/>
        </w:rPr>
        <w:t xml:space="preserve"> أن أي توزيع مقترح للخدمة المتنقلة الساتلية ينبغي ألا يؤثر سلباً على</w:t>
      </w:r>
      <w:r w:rsidR="00084561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تشغيل الخدمات القائمة أو نشرها.</w:t>
      </w:r>
    </w:p>
    <w:p w:rsidR="008E247C" w:rsidRPr="0020683A" w:rsidRDefault="0067107D" w:rsidP="0067107D">
      <w:pPr>
        <w:pStyle w:val="Headingb"/>
        <w:rPr>
          <w:rtl/>
        </w:rPr>
      </w:pPr>
      <w:r w:rsidRPr="0020683A">
        <w:rPr>
          <w:rFonts w:hint="cs"/>
          <w:rtl/>
        </w:rPr>
        <w:t>المقترح</w:t>
      </w:r>
    </w:p>
    <w:p w:rsidR="0067107D" w:rsidRPr="007F766B" w:rsidRDefault="0020683A" w:rsidP="00084561">
      <w:pPr>
        <w:rPr>
          <w:spacing w:val="-6"/>
          <w:rtl/>
        </w:rPr>
      </w:pPr>
      <w:r>
        <w:rPr>
          <w:rFonts w:hint="cs"/>
          <w:rtl/>
          <w:lang w:bidi="ar-EG"/>
        </w:rPr>
        <w:t xml:space="preserve">تؤيد الدول الأعضاء في </w:t>
      </w:r>
      <w:r>
        <w:rPr>
          <w:lang w:bidi="ar-EG"/>
        </w:rPr>
        <w:t>SADC</w:t>
      </w:r>
      <w:r>
        <w:rPr>
          <w:rFonts w:hint="cs"/>
          <w:rtl/>
          <w:lang w:bidi="ar-EG"/>
        </w:rPr>
        <w:t xml:space="preserve"> </w:t>
      </w:r>
      <w:r w:rsidR="0067107D" w:rsidRPr="0020683A">
        <w:rPr>
          <w:rFonts w:hint="cs"/>
          <w:rtl/>
        </w:rPr>
        <w:t xml:space="preserve">الأسلوب </w:t>
      </w:r>
      <w:r w:rsidR="0067107D" w:rsidRPr="0020683A">
        <w:rPr>
          <w:rFonts w:hint="cs"/>
        </w:rPr>
        <w:t>A</w:t>
      </w:r>
      <w:r>
        <w:rPr>
          <w:rFonts w:hint="cs"/>
          <w:rtl/>
          <w:lang w:bidi="ar-EG"/>
        </w:rPr>
        <w:t xml:space="preserve"> من تقرير الاجتماع التحضيري للمؤتمر الذي يقترح</w:t>
      </w:r>
      <w:r w:rsidR="007F766B">
        <w:rPr>
          <w:rFonts w:hint="cs"/>
          <w:rtl/>
          <w:lang w:bidi="ar-EG"/>
        </w:rPr>
        <w:t xml:space="preserve"> </w:t>
      </w:r>
      <w:r w:rsidR="007F766B">
        <w:rPr>
          <w:rFonts w:hint="cs"/>
          <w:rtl/>
        </w:rPr>
        <w:t>عدم منح</w:t>
      </w:r>
      <w:r w:rsidR="0067107D" w:rsidRPr="0020683A">
        <w:rPr>
          <w:rFonts w:hint="cs"/>
          <w:spacing w:val="-6"/>
          <w:rtl/>
        </w:rPr>
        <w:t xml:space="preserve"> توزيع للخدمة المتنقلة الساتلية في النطاق </w:t>
      </w:r>
      <w:r w:rsidR="0067107D" w:rsidRPr="0020683A">
        <w:rPr>
          <w:rFonts w:hint="cs"/>
          <w:spacing w:val="-6"/>
        </w:rPr>
        <w:t>GHz</w:t>
      </w:r>
      <w:r w:rsidR="0067107D" w:rsidRPr="0020683A">
        <w:rPr>
          <w:rFonts w:hint="eastAsia"/>
          <w:spacing w:val="-6"/>
        </w:rPr>
        <w:t> 26-22</w:t>
      </w:r>
      <w:r w:rsidR="0067107D" w:rsidRPr="0020683A">
        <w:rPr>
          <w:rFonts w:hint="cs"/>
          <w:spacing w:val="-6"/>
          <w:rtl/>
        </w:rPr>
        <w:t>، وبالتالي لا</w:t>
      </w:r>
      <w:r w:rsidR="0067107D" w:rsidRPr="0020683A">
        <w:rPr>
          <w:rFonts w:hint="eastAsia"/>
          <w:spacing w:val="-6"/>
          <w:rtl/>
        </w:rPr>
        <w:t> </w:t>
      </w:r>
      <w:r w:rsidR="0067107D" w:rsidRPr="0020683A">
        <w:rPr>
          <w:rFonts w:hint="cs"/>
          <w:spacing w:val="-6"/>
          <w:rtl/>
        </w:rPr>
        <w:t>تغيير في</w:t>
      </w:r>
      <w:r w:rsidR="0067107D" w:rsidRPr="0020683A">
        <w:rPr>
          <w:rFonts w:hint="eastAsia"/>
          <w:spacing w:val="-6"/>
          <w:rtl/>
        </w:rPr>
        <w:t> </w:t>
      </w:r>
      <w:r w:rsidR="0067107D" w:rsidRPr="0020683A">
        <w:rPr>
          <w:rFonts w:hint="cs"/>
          <w:spacing w:val="-6"/>
          <w:rtl/>
        </w:rPr>
        <w:t>لوائح الراديو.</w:t>
      </w:r>
      <w:r w:rsidR="007F766B">
        <w:rPr>
          <w:rFonts w:hint="cs"/>
          <w:spacing w:val="-6"/>
          <w:rtl/>
        </w:rPr>
        <w:t xml:space="preserve"> وبالإضافة إلى ذلك، تقترح </w:t>
      </w:r>
      <w:r w:rsidR="007F766B">
        <w:rPr>
          <w:rFonts w:hint="cs"/>
          <w:rtl/>
          <w:lang w:bidi="ar-EG"/>
        </w:rPr>
        <w:t>الدول الأعضاء في</w:t>
      </w:r>
      <w:r w:rsidR="00084561">
        <w:rPr>
          <w:rFonts w:hint="eastAsia"/>
          <w:rtl/>
          <w:lang w:bidi="ar-EG"/>
        </w:rPr>
        <w:t> </w:t>
      </w:r>
      <w:r w:rsidR="007F766B">
        <w:rPr>
          <w:lang w:bidi="ar-EG"/>
        </w:rPr>
        <w:t>SADC</w:t>
      </w:r>
      <w:r w:rsidR="007F766B">
        <w:rPr>
          <w:rFonts w:hint="cs"/>
          <w:rtl/>
          <w:lang w:bidi="ar-EG"/>
        </w:rPr>
        <w:t xml:space="preserve"> إلغاء</w:t>
      </w:r>
      <w:r w:rsidR="00084561">
        <w:rPr>
          <w:rFonts w:hint="eastAsia"/>
          <w:rtl/>
          <w:lang w:bidi="ar-EG"/>
        </w:rPr>
        <w:t> </w:t>
      </w:r>
      <w:r w:rsidR="007F766B" w:rsidRPr="0020683A">
        <w:rPr>
          <w:rFonts w:hint="cs"/>
          <w:rtl/>
        </w:rPr>
        <w:t>القرار</w:t>
      </w:r>
      <w:r w:rsidR="007F766B" w:rsidRPr="0020683A">
        <w:rPr>
          <w:rFonts w:hint="eastAsia"/>
          <w:rtl/>
        </w:rPr>
        <w:t> </w:t>
      </w:r>
      <w:r w:rsidR="007F766B" w:rsidRPr="0020683A">
        <w:rPr>
          <w:lang w:bidi="ar-SY"/>
        </w:rPr>
        <w:t>234 (WRC</w:t>
      </w:r>
      <w:r w:rsidR="007F766B" w:rsidRPr="0020683A">
        <w:rPr>
          <w:lang w:bidi="ar-SY"/>
        </w:rPr>
        <w:noBreakHyphen/>
        <w:t>12)</w:t>
      </w:r>
      <w:r w:rsidR="007F766B">
        <w:rPr>
          <w:rFonts w:hint="cs"/>
          <w:spacing w:val="-6"/>
          <w:rtl/>
        </w:rPr>
        <w:t>.</w:t>
      </w:r>
    </w:p>
    <w:p w:rsidR="0067107D" w:rsidRPr="007F766B" w:rsidRDefault="0067107D" w:rsidP="00084561">
      <w:pPr>
        <w:pStyle w:val="Reasons"/>
        <w:rPr>
          <w:b w:val="0"/>
          <w:bCs w:val="0"/>
          <w:rtl/>
        </w:rPr>
      </w:pPr>
      <w:r w:rsidRPr="0020683A">
        <w:rPr>
          <w:rFonts w:hint="cs"/>
          <w:rtl/>
        </w:rPr>
        <w:t>ا</w:t>
      </w:r>
      <w:r w:rsidR="00084561">
        <w:rPr>
          <w:rFonts w:hint="cs"/>
          <w:rtl/>
        </w:rPr>
        <w:t>لأ</w:t>
      </w:r>
      <w:r w:rsidRPr="0020683A">
        <w:rPr>
          <w:rFonts w:hint="cs"/>
          <w:rtl/>
        </w:rPr>
        <w:t>سباب:</w:t>
      </w:r>
      <w:r w:rsidR="007F766B">
        <w:rPr>
          <w:rFonts w:hint="cs"/>
          <w:rtl/>
        </w:rPr>
        <w:t xml:space="preserve"> </w:t>
      </w:r>
      <w:r w:rsidR="007F766B">
        <w:rPr>
          <w:rFonts w:hint="cs"/>
          <w:b w:val="0"/>
          <w:bCs w:val="0"/>
          <w:rtl/>
        </w:rPr>
        <w:t xml:space="preserve">نظراً للاستعمال المكثف للتوزيعات الحالية وعدم التوافق مع الخدمات القائمة، لا تؤيد </w:t>
      </w:r>
      <w:r w:rsidR="007F766B" w:rsidRPr="007F766B">
        <w:rPr>
          <w:rFonts w:hint="cs"/>
          <w:b w:val="0"/>
          <w:bCs w:val="0"/>
          <w:rtl/>
          <w:lang w:bidi="ar-EG"/>
        </w:rPr>
        <w:t>الدول الأعضاء في</w:t>
      </w:r>
      <w:r w:rsidR="00084561">
        <w:rPr>
          <w:rFonts w:hint="eastAsia"/>
          <w:b w:val="0"/>
          <w:bCs w:val="0"/>
          <w:rtl/>
          <w:lang w:bidi="ar-EG"/>
        </w:rPr>
        <w:t> </w:t>
      </w:r>
      <w:r w:rsidR="007F766B" w:rsidRPr="007F766B">
        <w:rPr>
          <w:b w:val="0"/>
          <w:bCs w:val="0"/>
          <w:lang w:bidi="ar-EG"/>
        </w:rPr>
        <w:t>SADC</w:t>
      </w:r>
      <w:r w:rsidR="007F766B">
        <w:rPr>
          <w:rFonts w:hint="cs"/>
          <w:b w:val="0"/>
          <w:bCs w:val="0"/>
          <w:rtl/>
          <w:lang w:bidi="ar-EG"/>
        </w:rPr>
        <w:t xml:space="preserve"> أي توزيع إضافي في </w:t>
      </w:r>
      <w:r w:rsidR="007F766B" w:rsidRPr="007F766B">
        <w:rPr>
          <w:rFonts w:hint="cs"/>
          <w:b w:val="0"/>
          <w:bCs w:val="0"/>
          <w:spacing w:val="-6"/>
          <w:rtl/>
        </w:rPr>
        <w:t xml:space="preserve">النطاق </w:t>
      </w:r>
      <w:r w:rsidR="007F766B" w:rsidRPr="007F766B">
        <w:rPr>
          <w:rFonts w:hint="cs"/>
          <w:b w:val="0"/>
          <w:bCs w:val="0"/>
          <w:spacing w:val="-6"/>
        </w:rPr>
        <w:t>GHz</w:t>
      </w:r>
      <w:r w:rsidR="007F766B" w:rsidRPr="007F766B">
        <w:rPr>
          <w:rFonts w:hint="eastAsia"/>
          <w:b w:val="0"/>
          <w:bCs w:val="0"/>
          <w:spacing w:val="-6"/>
        </w:rPr>
        <w:t> 26-22</w:t>
      </w:r>
      <w:r w:rsidR="007F766B">
        <w:rPr>
          <w:rFonts w:hint="cs"/>
          <w:b w:val="0"/>
          <w:bCs w:val="0"/>
          <w:spacing w:val="-6"/>
          <w:rtl/>
        </w:rPr>
        <w:t>.</w:t>
      </w:r>
    </w:p>
    <w:p w:rsidR="00FF0E83" w:rsidRDefault="00F961F5" w:rsidP="004D2ECC">
      <w:pPr>
        <w:pStyle w:val="Proposal"/>
        <w:ind w:left="992" w:hanging="992"/>
      </w:pPr>
      <w:r>
        <w:t>SUP</w:t>
      </w:r>
      <w:r>
        <w:tab/>
        <w:t>AGL/BOT/LSO/MDG/MWI/MAU/MOZ/NMB/COD/SEY/AFS/SWZ/TZA/ZMB/ZWE/</w:t>
      </w:r>
      <w:r w:rsidR="004D2ECC">
        <w:rPr>
          <w:rtl/>
        </w:rPr>
        <w:br/>
      </w:r>
      <w:r>
        <w:t>130A10/1</w:t>
      </w:r>
    </w:p>
    <w:p w:rsidR="00BF7778" w:rsidRPr="001A0CA5" w:rsidRDefault="00F961F5" w:rsidP="00BF7778">
      <w:pPr>
        <w:pStyle w:val="ResNo"/>
        <w:rPr>
          <w:rtl/>
          <w:lang w:val="fr-FR"/>
        </w:rPr>
      </w:pPr>
      <w:bookmarkStart w:id="1" w:name="_Toc327956639"/>
      <w:r w:rsidRPr="00732D06">
        <w:rPr>
          <w:rtl/>
        </w:rPr>
        <w:t>القـرار</w:t>
      </w:r>
      <w:r>
        <w:rPr>
          <w:rtl/>
        </w:rPr>
        <w:t xml:space="preserve"> </w:t>
      </w:r>
      <w:r w:rsidRPr="002541A2">
        <w:t>234</w:t>
      </w:r>
      <w:r w:rsidRPr="002E7406">
        <w:rPr>
          <w:lang w:val="en-GB"/>
        </w:rPr>
        <w:t xml:space="preserve"> (WRC</w:t>
      </w:r>
      <w:r w:rsidRPr="002E7406">
        <w:rPr>
          <w:lang w:val="en-GB"/>
        </w:rPr>
        <w:noBreakHyphen/>
        <w:t>12)</w:t>
      </w:r>
      <w:bookmarkEnd w:id="1"/>
    </w:p>
    <w:p w:rsidR="00BF7778" w:rsidRPr="000A7F68" w:rsidRDefault="00F961F5" w:rsidP="00BF7778">
      <w:pPr>
        <w:pStyle w:val="Restitle"/>
      </w:pPr>
      <w:bookmarkStart w:id="2" w:name="_Toc327956640"/>
      <w:bookmarkStart w:id="3" w:name="_GoBack"/>
      <w:bookmarkEnd w:id="3"/>
      <w:r>
        <w:rPr>
          <w:rFonts w:hint="cs"/>
          <w:rtl/>
        </w:rPr>
        <w:t xml:space="preserve">توزيعات أولية إضافية للخدمة المتنقلة الساتلية </w:t>
      </w:r>
      <w:r>
        <w:rPr>
          <w:rtl/>
          <w:lang w:bidi="ar-EG"/>
        </w:rPr>
        <w:br/>
      </w:r>
      <w:r>
        <w:rPr>
          <w:rFonts w:hint="cs"/>
          <w:rtl/>
        </w:rPr>
        <w:t>في</w:t>
      </w:r>
      <w:r>
        <w:rPr>
          <w:rFonts w:hint="cs"/>
          <w:rtl/>
          <w:lang w:bidi="ar-EG"/>
        </w:rPr>
        <w:t xml:space="preserve"> النطاقات من</w:t>
      </w:r>
      <w:r>
        <w:rPr>
          <w:rFonts w:hint="eastAsia"/>
          <w:rtl/>
          <w:lang w:bidi="ar-EG"/>
        </w:rPr>
        <w:t> </w:t>
      </w:r>
      <w:r>
        <w:t>GHz 22</w:t>
      </w:r>
      <w:r>
        <w:rPr>
          <w:rFonts w:hint="cs"/>
          <w:rtl/>
        </w:rPr>
        <w:t xml:space="preserve"> إلى </w:t>
      </w:r>
      <w:r>
        <w:t>GHz 26</w:t>
      </w:r>
      <w:bookmarkEnd w:id="2"/>
    </w:p>
    <w:p w:rsidR="00FF0E83" w:rsidRDefault="00FF0E83">
      <w:pPr>
        <w:pStyle w:val="Reasons"/>
        <w:rPr>
          <w:rtl/>
        </w:rPr>
      </w:pPr>
    </w:p>
    <w:p w:rsidR="0067107D" w:rsidRPr="0067107D" w:rsidRDefault="0067107D" w:rsidP="0067107D">
      <w:pPr>
        <w:spacing w:before="600"/>
        <w:jc w:val="center"/>
      </w:pPr>
      <w:r>
        <w:rPr>
          <w:rFonts w:hint="cs"/>
          <w:rtl/>
        </w:rPr>
        <w:t>__________</w:t>
      </w:r>
    </w:p>
    <w:sectPr w:rsidR="0067107D" w:rsidRPr="0067107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67107D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4D2ECC">
      <w:rPr>
        <w:noProof/>
        <w:lang w:val="es-ES"/>
      </w:rPr>
      <w:t>P:\ARA\ITU-R\CONF-R\CMR15\100\130ADD10A.docx</w:t>
    </w:r>
    <w:r w:rsidRPr="00CB4300">
      <w:fldChar w:fldCharType="end"/>
    </w:r>
    <w:r w:rsidRPr="00CB4300">
      <w:rPr>
        <w:lang w:val="es-ES"/>
      </w:rPr>
      <w:t xml:space="preserve">  (</w:t>
    </w:r>
    <w:r w:rsidR="0067107D">
      <w:rPr>
        <w:rFonts w:hint="cs"/>
        <w:rtl/>
        <w:lang w:val="es-ES"/>
      </w:rPr>
      <w:t>389013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84561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F22AA3">
      <w:rPr>
        <w:noProof/>
      </w:rPr>
      <w:t>01.11.15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67107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D2ECC">
      <w:rPr>
        <w:noProof/>
        <w:lang w:val="es-ES"/>
      </w:rPr>
      <w:t>P:\ARA\ITU-R\CONF-R\CMR15\100\130ADD10A.docx</w:t>
    </w:r>
    <w:r>
      <w:fldChar w:fldCharType="end"/>
    </w:r>
    <w:r w:rsidRPr="00CB4300">
      <w:rPr>
        <w:lang w:val="es-ES"/>
      </w:rPr>
      <w:t xml:space="preserve">   (</w:t>
    </w:r>
    <w:r w:rsidR="0067107D">
      <w:rPr>
        <w:rFonts w:hint="cs"/>
        <w:rtl/>
        <w:lang w:val="es-ES"/>
      </w:rPr>
      <w:t>389013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84561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22AA3">
      <w:rPr>
        <w:noProof/>
      </w:rPr>
      <w:t>01.11.15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8456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130(Add.10)-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4561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3ADC"/>
    <w:rsid w:val="001E54F6"/>
    <w:rsid w:val="001E5A8C"/>
    <w:rsid w:val="00201A0A"/>
    <w:rsid w:val="0020683A"/>
    <w:rsid w:val="002075D4"/>
    <w:rsid w:val="00211B2A"/>
    <w:rsid w:val="00221126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259F"/>
    <w:rsid w:val="002A4572"/>
    <w:rsid w:val="002A7E2E"/>
    <w:rsid w:val="002B16D8"/>
    <w:rsid w:val="002D5F64"/>
    <w:rsid w:val="002D6FBF"/>
    <w:rsid w:val="002E48BF"/>
    <w:rsid w:val="002E59A0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53D6"/>
    <w:rsid w:val="00461FA7"/>
    <w:rsid w:val="00470CBD"/>
    <w:rsid w:val="0047407D"/>
    <w:rsid w:val="004909DD"/>
    <w:rsid w:val="004A05E6"/>
    <w:rsid w:val="004A6C66"/>
    <w:rsid w:val="004A7AA0"/>
    <w:rsid w:val="004C11BC"/>
    <w:rsid w:val="004D2EC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E481F"/>
    <w:rsid w:val="005F05CC"/>
    <w:rsid w:val="005F65DE"/>
    <w:rsid w:val="00613492"/>
    <w:rsid w:val="006315B5"/>
    <w:rsid w:val="00651343"/>
    <w:rsid w:val="0065562F"/>
    <w:rsid w:val="0067107D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66B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247C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80698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488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10E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2AA3"/>
    <w:rsid w:val="00F25B80"/>
    <w:rsid w:val="00F2685F"/>
    <w:rsid w:val="00F350C8"/>
    <w:rsid w:val="00F8654D"/>
    <w:rsid w:val="00F900C9"/>
    <w:rsid w:val="00F92C96"/>
    <w:rsid w:val="00F961F5"/>
    <w:rsid w:val="00FA0D4E"/>
    <w:rsid w:val="00FB0753"/>
    <w:rsid w:val="00FB5CC8"/>
    <w:rsid w:val="00FC2CD0"/>
    <w:rsid w:val="00FD0594"/>
    <w:rsid w:val="00FF0E8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A4A694E-5841-4C22-B641-8C3AA9E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A259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25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R15-WRC15-C-0130!A10!MSW-A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1C8F6-CF77-4306-870A-286A7299EAFD}">
  <ds:schemaRefs>
    <ds:schemaRef ds:uri="http://purl.org/dc/elements/1.1/"/>
    <ds:schemaRef ds:uri="http://purl.org/dc/terms/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9C8472-EA52-4D1A-AA8A-C94018C4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R15-WRC15-C-0130!A10!MSW-A</vt:lpstr>
    </vt:vector>
  </TitlesOfParts>
  <Manager>General Secretariat - Pool</Manager>
  <Company>International Telecommunication Union (ITU)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R15-WRC15-C-0130!A10!MSW-A</dc:title>
  <dc:creator>Documents Proposals Manager (DPM)</dc:creator>
  <cp:keywords>DPM_v5.2015.10.230_prod</cp:keywords>
  <cp:lastModifiedBy>Anbar, Mona</cp:lastModifiedBy>
  <cp:revision>7</cp:revision>
  <cp:lastPrinted>2015-11-01T14:20:00Z</cp:lastPrinted>
  <dcterms:created xsi:type="dcterms:W3CDTF">2015-11-01T16:52:00Z</dcterms:created>
  <dcterms:modified xsi:type="dcterms:W3CDTF">2015-11-01T18:07:00Z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