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127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19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français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D1A46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4D1A46">
              <w:rPr>
                <w:lang w:val="fr-CH"/>
              </w:rPr>
              <w:t>Algérie (République algérienne démocratique et populaire)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D1A46" w:rsidRDefault="004D1A46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4D1A46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D1A46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Pr="001A5CF7" w:rsidRDefault="00DA6328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DA6328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DA6328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DA6328" w:rsidP="0049298B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175182">
        <w:rPr>
          <w:b w:val="0"/>
          <w:bCs/>
        </w:rPr>
        <w:t>(Voir le numéro</w:t>
      </w:r>
      <w:r w:rsidRPr="00260AE5">
        <w:t xml:space="preserve"> 2.1</w:t>
      </w:r>
      <w:r w:rsidRPr="00175182">
        <w:rPr>
          <w:b w:val="0"/>
          <w:bCs/>
        </w:rPr>
        <w:t>)</w:t>
      </w:r>
    </w:p>
    <w:p w:rsidR="00A850B3" w:rsidRDefault="00DA6328">
      <w:pPr>
        <w:pStyle w:val="Proposal"/>
      </w:pPr>
      <w:r>
        <w:t>MOD</w:t>
      </w:r>
      <w:r>
        <w:tab/>
        <w:t>ALG/127/1</w:t>
      </w:r>
    </w:p>
    <w:p w:rsidR="004A6A8C" w:rsidRDefault="00DA6328" w:rsidP="00175182">
      <w:pPr>
        <w:pStyle w:val="Note"/>
      </w:pPr>
      <w:r w:rsidRPr="005D107E">
        <w:rPr>
          <w:rStyle w:val="Artdef"/>
        </w:rPr>
        <w:t>5.312</w:t>
      </w:r>
      <w:r w:rsidRPr="005D107E">
        <w:tab/>
      </w:r>
      <w:r w:rsidRPr="005D107E">
        <w:rPr>
          <w:i/>
        </w:rPr>
        <w:t>Attribution additionnelle</w:t>
      </w:r>
      <w:r w:rsidRPr="005D107E">
        <w:rPr>
          <w:iCs/>
        </w:rPr>
        <w:t>:</w:t>
      </w:r>
      <w:r w:rsidRPr="005D107E">
        <w:rPr>
          <w:i/>
        </w:rPr>
        <w:t> </w:t>
      </w:r>
      <w:r w:rsidRPr="005D107E">
        <w:t xml:space="preserve">dans les pays suivants: </w:t>
      </w:r>
      <w:ins w:id="6" w:author="Gozel, Elsa" w:date="2015-10-25T16:53:00Z">
        <w:r w:rsidR="00175182">
          <w:t xml:space="preserve">Algérie, </w:t>
        </w:r>
      </w:ins>
      <w:r w:rsidRPr="005D107E">
        <w:t>Arménie, Azerbaïdjan, Bélarus, Fédération de Russie, Géorgie, Kazakhstan, Ouzbékistan, Kirghizistan, Tadjikistan, Turkménistan et Ukraine</w:t>
      </w:r>
      <w:r w:rsidRPr="00C25F82">
        <w:t xml:space="preserve"> </w:t>
      </w:r>
      <w:r w:rsidRPr="005D107E">
        <w:t>la bande 645</w:t>
      </w:r>
      <w:r>
        <w:rPr>
          <w:b/>
        </w:rPr>
        <w:t>-</w:t>
      </w:r>
      <w:r w:rsidR="00DD2962">
        <w:t>862 </w:t>
      </w:r>
      <w:r w:rsidRPr="005D107E">
        <w:t xml:space="preserve">MHz, </w:t>
      </w:r>
      <w:r>
        <w:t xml:space="preserve">en Bulgarie les bandes </w:t>
      </w:r>
      <w:r w:rsidRPr="00E16C90">
        <w:t xml:space="preserve">646-686 MHz, 726-758 MHz, 766-814 MHz </w:t>
      </w:r>
      <w:r>
        <w:t>et</w:t>
      </w:r>
      <w:r w:rsidRPr="00E16C90">
        <w:t xml:space="preserve"> 822-862 MHz</w:t>
      </w:r>
      <w:r>
        <w:t>; e</w:t>
      </w:r>
      <w:r w:rsidRPr="00E16C90">
        <w:t>n Ro</w:t>
      </w:r>
      <w:r>
        <w:t>u</w:t>
      </w:r>
      <w:r w:rsidRPr="00E16C90">
        <w:t>mani</w:t>
      </w:r>
      <w:r>
        <w:t>e l</w:t>
      </w:r>
      <w:r w:rsidRPr="00E16C90">
        <w:t>e</w:t>
      </w:r>
      <w:r>
        <w:t>s</w:t>
      </w:r>
      <w:r w:rsidRPr="00E16C90">
        <w:t xml:space="preserve"> band</w:t>
      </w:r>
      <w:r>
        <w:t>es 830-862 MHz;</w:t>
      </w:r>
      <w:r w:rsidRPr="00E16C90">
        <w:t xml:space="preserve"> </w:t>
      </w:r>
      <w:r>
        <w:t xml:space="preserve">et en </w:t>
      </w:r>
      <w:r w:rsidRPr="00E16C90">
        <w:t>Pol</w:t>
      </w:r>
      <w:r>
        <w:t>ogne, la</w:t>
      </w:r>
      <w:r w:rsidRPr="00E16C90">
        <w:t xml:space="preserve"> band</w:t>
      </w:r>
      <w:r>
        <w:t>e</w:t>
      </w:r>
      <w:r w:rsidRPr="00E16C90">
        <w:t xml:space="preserve"> 830-860</w:t>
      </w:r>
      <w:r>
        <w:t> </w:t>
      </w:r>
      <w:r w:rsidRPr="00E16C90">
        <w:t>MHz</w:t>
      </w:r>
      <w:r>
        <w:t xml:space="preserve"> jusqu'au</w:t>
      </w:r>
      <w:r w:rsidRPr="00E16C90">
        <w:t xml:space="preserve"> 31</w:t>
      </w:r>
      <w:r>
        <w:t> décembre </w:t>
      </w:r>
      <w:r w:rsidRPr="00E16C90">
        <w:t xml:space="preserve">2012 </w:t>
      </w:r>
      <w:r>
        <w:t xml:space="preserve">et la </w:t>
      </w:r>
      <w:r w:rsidRPr="00E16C90">
        <w:t>band</w:t>
      </w:r>
      <w:r>
        <w:t>e</w:t>
      </w:r>
      <w:r w:rsidRPr="00E16C90">
        <w:t xml:space="preserve"> 860-862</w:t>
      </w:r>
      <w:r>
        <w:t> </w:t>
      </w:r>
      <w:r w:rsidRPr="00E16C90">
        <w:t>MHz</w:t>
      </w:r>
      <w:r>
        <w:t xml:space="preserve"> jusqu'au </w:t>
      </w:r>
      <w:r w:rsidRPr="00E16C90">
        <w:t>31</w:t>
      </w:r>
      <w:r>
        <w:t> décembre </w:t>
      </w:r>
      <w:r w:rsidRPr="00E16C90">
        <w:t>2017</w:t>
      </w:r>
      <w:r>
        <w:t>, sont</w:t>
      </w:r>
      <w:r w:rsidRPr="005D107E">
        <w:t xml:space="preserve">, de plus, </w:t>
      </w:r>
      <w:r w:rsidRPr="004D3208">
        <w:t>attribuées</w:t>
      </w:r>
      <w:r w:rsidRPr="005D107E">
        <w:t xml:space="preserve"> au service de radionavigation aéronautique à titre primaire.</w:t>
      </w:r>
      <w:r w:rsidRPr="005D107E">
        <w:rPr>
          <w:sz w:val="16"/>
        </w:rPr>
        <w:t>     (CMR-</w:t>
      </w:r>
      <w:del w:id="7" w:author="Gozel, Elsa" w:date="2015-10-25T16:53:00Z">
        <w:r w:rsidRPr="005D107E" w:rsidDel="00175182">
          <w:rPr>
            <w:sz w:val="16"/>
          </w:rPr>
          <w:delText>12</w:delText>
        </w:r>
      </w:del>
      <w:ins w:id="8" w:author="Gozel, Elsa" w:date="2015-10-25T16:53:00Z">
        <w:r w:rsidR="00175182">
          <w:rPr>
            <w:sz w:val="16"/>
          </w:rPr>
          <w:t>15</w:t>
        </w:r>
      </w:ins>
      <w:r w:rsidRPr="005D107E">
        <w:rPr>
          <w:sz w:val="16"/>
        </w:rPr>
        <w:t>)</w:t>
      </w:r>
    </w:p>
    <w:p w:rsidR="00396D72" w:rsidRDefault="00DA6328" w:rsidP="00396D72">
      <w:pPr>
        <w:pStyle w:val="Reasons"/>
      </w:pPr>
      <w:r>
        <w:rPr>
          <w:b/>
        </w:rPr>
        <w:t>Motifs:</w:t>
      </w:r>
    </w:p>
    <w:p w:rsidR="00396D72" w:rsidRDefault="00396D72" w:rsidP="00DA6328">
      <w:pPr>
        <w:pStyle w:val="Reasons"/>
        <w:ind w:left="1134" w:hanging="1134"/>
      </w:pPr>
      <w:r>
        <w:t>–</w:t>
      </w:r>
      <w:r>
        <w:tab/>
      </w:r>
      <w:r w:rsidRPr="00396D72">
        <w:t>L'Algérie</w:t>
      </w:r>
      <w:bookmarkStart w:id="9" w:name="_GoBack"/>
      <w:bookmarkEnd w:id="9"/>
      <w:r w:rsidRPr="00396D72">
        <w:t xml:space="preserve"> exploite sur son territoire des stations du service de la radionavigation aéronautique, fonctionnant dans la </w:t>
      </w:r>
      <w:r w:rsidR="00175182">
        <w:t>bande de fréquences 645-862 </w:t>
      </w:r>
      <w:r>
        <w:t>MHz</w:t>
      </w:r>
      <w:r w:rsidRPr="00396D72">
        <w:t>;</w:t>
      </w:r>
    </w:p>
    <w:p w:rsidR="00396D72" w:rsidRDefault="00396D72" w:rsidP="0049298B">
      <w:pPr>
        <w:pStyle w:val="Reasons"/>
        <w:ind w:left="1134" w:hanging="1134"/>
      </w:pPr>
      <w:r>
        <w:t>–</w:t>
      </w:r>
      <w:r>
        <w:tab/>
      </w:r>
      <w:r w:rsidRPr="00396D72">
        <w:t xml:space="preserve">Au titre du 1.1 de la CMR-12, l’administration algérienne a sollicité de la Conférence Mondiale des Radiocommunications, l’inclusion du nom de l’Algérie dans le renvoi </w:t>
      </w:r>
      <w:r w:rsidR="0049298B">
        <w:t xml:space="preserve">numéro </w:t>
      </w:r>
      <w:r w:rsidRPr="00396D72">
        <w:t>5.312, qui autorise les pays qui y sont inclus à exploiter à titre primaire le service de radionavigation aéronautique da</w:t>
      </w:r>
      <w:r w:rsidR="00175182">
        <w:t>ns la bande 645-862 </w:t>
      </w:r>
      <w:r w:rsidRPr="00396D72">
        <w:t>MHz;</w:t>
      </w:r>
    </w:p>
    <w:p w:rsidR="00396D72" w:rsidRDefault="00396D72" w:rsidP="00DA6328">
      <w:pPr>
        <w:pStyle w:val="Reasons"/>
        <w:ind w:left="1134" w:hanging="1134"/>
      </w:pPr>
      <w:r>
        <w:t>–</w:t>
      </w:r>
      <w:r>
        <w:tab/>
      </w:r>
      <w:r w:rsidRPr="00396D72">
        <w:t>L’administration algérienne souhaite ajouter son nom dans le renvoi 5.312 afin de protéger le service de la radionavigation aéronautique, fonctionnant dans</w:t>
      </w:r>
      <w:r w:rsidR="00175182">
        <w:t xml:space="preserve"> la bande de fréquences 645-862 </w:t>
      </w:r>
      <w:r w:rsidRPr="00396D72">
        <w:t>MHz,</w:t>
      </w:r>
      <w:r>
        <w:t xml:space="preserve"> </w:t>
      </w:r>
      <w:r w:rsidRPr="00396D72">
        <w:t>vis à vis des autres services de radiocommunications utilisant la même bande de fréquences.</w:t>
      </w:r>
    </w:p>
    <w:p w:rsidR="00396D72" w:rsidRDefault="00396D72" w:rsidP="0032202E">
      <w:pPr>
        <w:pStyle w:val="Reasons"/>
      </w:pPr>
    </w:p>
    <w:p w:rsidR="00396D72" w:rsidRDefault="00396D72" w:rsidP="00396D72">
      <w:pPr>
        <w:jc w:val="center"/>
      </w:pPr>
      <w:r>
        <w:t>______________</w:t>
      </w:r>
    </w:p>
    <w:sectPr w:rsidR="00396D7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074C97" w:rsidRDefault="00936D25">
    <w:pPr>
      <w:rPr>
        <w:lang w:val="es-ES"/>
      </w:rPr>
    </w:pPr>
    <w:r>
      <w:fldChar w:fldCharType="begin"/>
    </w:r>
    <w:r w:rsidRPr="00074C97">
      <w:rPr>
        <w:lang w:val="es-ES"/>
      </w:rPr>
      <w:instrText xml:space="preserve"> FILENAME \p  \* MERGEFORMAT </w:instrText>
    </w:r>
    <w:r>
      <w:fldChar w:fldCharType="separate"/>
    </w:r>
    <w:r w:rsidR="009806FF">
      <w:rPr>
        <w:noProof/>
        <w:lang w:val="es-ES"/>
      </w:rPr>
      <w:t>P:\FRA\ITU-R\CONF-R\CMR15\100\127F.docx</w:t>
    </w:r>
    <w:r>
      <w:fldChar w:fldCharType="end"/>
    </w:r>
    <w:r w:rsidRPr="00074C97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06FF">
      <w:rPr>
        <w:noProof/>
      </w:rPr>
      <w:t>27.10.15</w:t>
    </w:r>
    <w:r>
      <w:fldChar w:fldCharType="end"/>
    </w:r>
    <w:r w:rsidRPr="00074C97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06FF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4D1A46" w:rsidRDefault="004D1A46" w:rsidP="004D1A46">
    <w:pPr>
      <w:pStyle w:val="Footer"/>
      <w:rPr>
        <w:lang w:val="es-ES"/>
      </w:rPr>
    </w:pPr>
    <w:r>
      <w:fldChar w:fldCharType="begin"/>
    </w:r>
    <w:r w:rsidRPr="004D1A46">
      <w:rPr>
        <w:lang w:val="es-ES"/>
      </w:rPr>
      <w:instrText xml:space="preserve"> FILENAME \p  \* MERGEFORMAT </w:instrText>
    </w:r>
    <w:r>
      <w:fldChar w:fldCharType="separate"/>
    </w:r>
    <w:r w:rsidR="009806FF">
      <w:rPr>
        <w:lang w:val="es-ES"/>
      </w:rPr>
      <w:t>P:\FRA\ITU-R\CONF-R\CMR15\100\127F.docx</w:t>
    </w:r>
    <w:r>
      <w:fldChar w:fldCharType="end"/>
    </w:r>
    <w:r w:rsidRPr="004D1A46">
      <w:rPr>
        <w:lang w:val="es-ES"/>
      </w:rPr>
      <w:t xml:space="preserve"> (388936)</w:t>
    </w:r>
    <w:r w:rsidRPr="004D1A46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06FF">
      <w:t>27.10.15</w:t>
    </w:r>
    <w:r>
      <w:fldChar w:fldCharType="end"/>
    </w:r>
    <w:r w:rsidRPr="004D1A46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06FF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4D1A46" w:rsidRDefault="004D1A46" w:rsidP="004D1A46">
    <w:pPr>
      <w:pStyle w:val="Footer"/>
      <w:rPr>
        <w:lang w:val="es-ES"/>
      </w:rPr>
    </w:pPr>
    <w:r>
      <w:fldChar w:fldCharType="begin"/>
    </w:r>
    <w:r w:rsidRPr="004D1A46">
      <w:rPr>
        <w:lang w:val="es-ES"/>
      </w:rPr>
      <w:instrText xml:space="preserve"> FILENAME \p  \* MERGEFORMAT </w:instrText>
    </w:r>
    <w:r>
      <w:fldChar w:fldCharType="separate"/>
    </w:r>
    <w:r w:rsidR="009806FF">
      <w:rPr>
        <w:lang w:val="es-ES"/>
      </w:rPr>
      <w:t>P:\FRA\ITU-R\CONF-R\CMR15\100\127F.docx</w:t>
    </w:r>
    <w:r>
      <w:fldChar w:fldCharType="end"/>
    </w:r>
    <w:r w:rsidRPr="004D1A46">
      <w:rPr>
        <w:lang w:val="es-ES"/>
      </w:rPr>
      <w:t xml:space="preserve"> (388936)</w:t>
    </w:r>
    <w:r w:rsidRPr="004D1A46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06FF">
      <w:t>27.10.15</w:t>
    </w:r>
    <w:r>
      <w:fldChar w:fldCharType="end"/>
    </w:r>
    <w:r w:rsidRPr="004D1A46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06FF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806FF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127-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92D7787"/>
    <w:multiLevelType w:val="hybridMultilevel"/>
    <w:tmpl w:val="80027454"/>
    <w:lvl w:ilvl="0" w:tplc="AF3E61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zel, Elsa">
    <w15:presenceInfo w15:providerId="AD" w15:userId="S-1-5-21-8740799-900759487-1415713722-487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74C97"/>
    <w:rsid w:val="00080E2C"/>
    <w:rsid w:val="000A4755"/>
    <w:rsid w:val="000B2E0C"/>
    <w:rsid w:val="000B3D0C"/>
    <w:rsid w:val="001167B9"/>
    <w:rsid w:val="001267A0"/>
    <w:rsid w:val="0015203F"/>
    <w:rsid w:val="00160C64"/>
    <w:rsid w:val="00167A95"/>
    <w:rsid w:val="00175182"/>
    <w:rsid w:val="0018169B"/>
    <w:rsid w:val="0019352B"/>
    <w:rsid w:val="001960D0"/>
    <w:rsid w:val="001F17E8"/>
    <w:rsid w:val="00204306"/>
    <w:rsid w:val="00232FD2"/>
    <w:rsid w:val="002540AD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96D72"/>
    <w:rsid w:val="003A583E"/>
    <w:rsid w:val="003E112B"/>
    <w:rsid w:val="003E1D1C"/>
    <w:rsid w:val="003E7B05"/>
    <w:rsid w:val="00466211"/>
    <w:rsid w:val="004834A9"/>
    <w:rsid w:val="0049298B"/>
    <w:rsid w:val="004D01FC"/>
    <w:rsid w:val="004D1A46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06FF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850B3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A6328"/>
    <w:rsid w:val="00DC402B"/>
    <w:rsid w:val="00DD2962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304BF64-B79E-4FBE-896C-1CEF644F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link w:val="ReasonsChar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ReasonsChar">
    <w:name w:val="Reasons Char"/>
    <w:basedOn w:val="DefaultParagraphFont"/>
    <w:link w:val="Reasons"/>
    <w:rsid w:val="00396D72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396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R15-WRC15-C-0127!!MSW-F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41835C-C5F8-432F-806F-55C9B4A83E2F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298</Words>
  <Characters>1763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R15-WRC15-C-0127!!MSW-F</vt:lpstr>
    </vt:vector>
  </TitlesOfParts>
  <Manager>Secrétariat général - Pool</Manager>
  <Company>Union internationale des télécommunications (UIT)</Company>
  <LinksUpToDate>false</LinksUpToDate>
  <CharactersWithSpaces>2049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R15-WRC15-C-0127!!MSW-F</dc:title>
  <dc:subject>Conférence mondiale des radiocommunications - 2015</dc:subject>
  <dc:creator>Documents Proposals Manager (DPM)</dc:creator>
  <cp:keywords>DPM_v5.2015.10.230_prod</cp:keywords>
  <dc:description/>
  <cp:lastModifiedBy>Royer, Veronique</cp:lastModifiedBy>
  <cp:revision>11</cp:revision>
  <cp:lastPrinted>2015-10-27T16:29:00Z</cp:lastPrinted>
  <dcterms:created xsi:type="dcterms:W3CDTF">2015-10-25T15:47:00Z</dcterms:created>
  <dcterms:modified xsi:type="dcterms:W3CDTF">2015-10-27T16:30:00Z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