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28370B" w:rsidRDefault="00C87092" w:rsidP="003E1608">
            <w:pPr>
              <w:pStyle w:val="Committee"/>
              <w:framePr w:hSpace="0" w:wrap="auto" w:hAnchor="text" w:yAlign="inline"/>
              <w:tabs>
                <w:tab w:val="clear" w:pos="2268"/>
                <w:tab w:val="left" w:pos="2448"/>
              </w:tabs>
              <w:bidi/>
              <w:rPr>
                <w:rFonts w:ascii="Verdana" w:hAnsi="Verdana" w:cs="Traditional Arabic"/>
                <w:bCs/>
                <w:sz w:val="19"/>
                <w:szCs w:val="30"/>
                <w:rtl/>
              </w:rPr>
            </w:pPr>
            <w:r>
              <w:rPr>
                <w:rFonts w:ascii="Verdana" w:hAnsi="Verdana" w:cs="Traditional Arabic" w:hint="cs"/>
                <w:bCs/>
                <w:sz w:val="19"/>
                <w:szCs w:val="30"/>
                <w:rtl/>
                <w:lang w:val="en-US" w:bidi="ar-EG"/>
              </w:rPr>
              <w:t xml:space="preserve">اللجنة </w:t>
            </w:r>
            <w:r>
              <w:rPr>
                <w:rFonts w:ascii="Verdana" w:hAnsi="Verdana" w:cs="Traditional Arabic"/>
                <w:bCs/>
                <w:sz w:val="19"/>
                <w:szCs w:val="30"/>
                <w:lang w:val="en-US" w:bidi="ar-EG"/>
              </w:rPr>
              <w:t>5</w:t>
            </w:r>
          </w:p>
        </w:tc>
        <w:tc>
          <w:tcPr>
            <w:tcW w:w="3053" w:type="dxa"/>
            <w:shd w:val="clear" w:color="auto" w:fill="auto"/>
            <w:vAlign w:val="center"/>
          </w:tcPr>
          <w:p w:rsidR="003E1608" w:rsidRPr="0028370B" w:rsidRDefault="00C87092" w:rsidP="00F87309">
            <w:pPr>
              <w:pStyle w:val="Adress"/>
              <w:framePr w:hSpace="0" w:wrap="auto" w:xAlign="left" w:yAlign="inline"/>
              <w:rPr>
                <w:rFonts w:ascii="Verdana" w:hAnsi="Verdana"/>
                <w:rtl/>
              </w:rPr>
            </w:pPr>
            <w:r>
              <w:rPr>
                <w:rFonts w:ascii="Verdana" w:hAnsi="Verdana" w:hint="cs"/>
                <w:rtl/>
              </w:rPr>
              <w:t xml:space="preserve">المراجعة </w:t>
            </w:r>
            <w:r w:rsidR="00F87309">
              <w:rPr>
                <w:rFonts w:ascii="Verdana" w:hAnsi="Verdana"/>
              </w:rPr>
              <w:t>2</w:t>
            </w:r>
            <w:r>
              <w:rPr>
                <w:rFonts w:ascii="Verdana" w:hAnsi="Verdana"/>
                <w:rtl/>
              </w:rPr>
              <w:br/>
            </w:r>
            <w:r>
              <w:rPr>
                <w:rFonts w:ascii="Verdana" w:hAnsi="Verdana" w:hint="cs"/>
                <w:rtl/>
              </w:rPr>
              <w:t>ل</w:t>
            </w:r>
            <w:r w:rsidR="003E1608" w:rsidRPr="0028370B">
              <w:rPr>
                <w:rFonts w:ascii="Verdana" w:hAnsi="Verdana"/>
                <w:rtl/>
              </w:rPr>
              <w:t xml:space="preserve">لوثيقة </w:t>
            </w:r>
            <w:r w:rsidR="003E1608" w:rsidRPr="0028370B">
              <w:rPr>
                <w:rFonts w:ascii="Verdana" w:hAnsi="Verdana"/>
              </w:rPr>
              <w:t>119-</w:t>
            </w:r>
            <w:r w:rsidR="000A6038" w:rsidRPr="0028370B">
              <w:rPr>
                <w:rFonts w:ascii="Verdana" w:hAnsi="Verdana"/>
              </w:rPr>
              <w:t>A</w:t>
            </w:r>
          </w:p>
        </w:tc>
      </w:tr>
      <w:tr w:rsidR="00764079" w:rsidTr="003E1608">
        <w:trPr>
          <w:cantSplit/>
        </w:trPr>
        <w:tc>
          <w:tcPr>
            <w:tcW w:w="6619" w:type="dxa"/>
            <w:shd w:val="clear" w:color="auto" w:fill="auto"/>
          </w:tcPr>
          <w:p w:rsidR="00764079" w:rsidRPr="0028370B"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28370B" w:rsidRDefault="00C87092" w:rsidP="00C87092">
            <w:pPr>
              <w:pStyle w:val="Adress"/>
              <w:framePr w:hSpace="0" w:wrap="auto" w:xAlign="left" w:yAlign="inline"/>
              <w:rPr>
                <w:rFonts w:ascii="Verdana" w:hAnsi="Verdana"/>
                <w:rtl/>
              </w:rPr>
            </w:pPr>
            <w:r>
              <w:rPr>
                <w:rFonts w:ascii="Verdana" w:eastAsia="SimSun" w:hAnsi="Verdana"/>
              </w:rPr>
              <w:t>10</w:t>
            </w:r>
            <w:r w:rsidR="00764079" w:rsidRPr="0028370B">
              <w:rPr>
                <w:rFonts w:ascii="Verdana" w:eastAsia="SimSun" w:hAnsi="Verdana"/>
                <w:rtl/>
              </w:rPr>
              <w:t xml:space="preserve"> </w:t>
            </w:r>
            <w:r>
              <w:rPr>
                <w:rFonts w:ascii="Verdana" w:eastAsia="SimSun" w:hAnsi="Verdana" w:hint="cs"/>
                <w:rtl/>
              </w:rPr>
              <w:t>نوفمبر</w:t>
            </w:r>
            <w:r w:rsidR="00764079" w:rsidRPr="0028370B">
              <w:rPr>
                <w:rFonts w:ascii="Verdana" w:eastAsia="SimSun" w:hAnsi="Verdana"/>
                <w:rtl/>
              </w:rPr>
              <w:t xml:space="preserve"> </w:t>
            </w:r>
            <w:r w:rsidR="00764079" w:rsidRPr="0028370B">
              <w:rPr>
                <w:rFonts w:ascii="Verdana" w:eastAsia="SimSun" w:hAnsi="Verdana"/>
              </w:rPr>
              <w:t>2015</w:t>
            </w:r>
          </w:p>
        </w:tc>
      </w:tr>
      <w:tr w:rsidR="00764079" w:rsidTr="003E1608">
        <w:trPr>
          <w:cantSplit/>
        </w:trPr>
        <w:tc>
          <w:tcPr>
            <w:tcW w:w="6619" w:type="dxa"/>
          </w:tcPr>
          <w:p w:rsidR="00764079" w:rsidRPr="0028370B" w:rsidRDefault="00764079" w:rsidP="00D44350">
            <w:pPr>
              <w:pStyle w:val="Adress"/>
              <w:framePr w:hSpace="0" w:wrap="auto" w:xAlign="left" w:yAlign="inline"/>
              <w:rPr>
                <w:rFonts w:ascii="Verdana" w:eastAsia="SimSun" w:hAnsi="Verdana"/>
                <w:rtl/>
              </w:rPr>
            </w:pPr>
          </w:p>
        </w:tc>
        <w:tc>
          <w:tcPr>
            <w:tcW w:w="3053" w:type="dxa"/>
            <w:vAlign w:val="center"/>
          </w:tcPr>
          <w:p w:rsidR="00764079" w:rsidRPr="0028370B" w:rsidRDefault="00764079" w:rsidP="00D44350">
            <w:pPr>
              <w:pStyle w:val="Adress"/>
              <w:framePr w:hSpace="0" w:wrap="auto" w:xAlign="left" w:yAlign="inline"/>
              <w:rPr>
                <w:rFonts w:ascii="Verdana" w:eastAsia="SimSun" w:hAnsi="Verdana"/>
              </w:rPr>
            </w:pPr>
            <w:r w:rsidRPr="0028370B">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F87309" w:rsidP="00843F93">
            <w:pPr>
              <w:pStyle w:val="Source"/>
              <w:rPr>
                <w:rtl/>
              </w:rPr>
            </w:pPr>
            <w:r w:rsidRPr="008204AC">
              <w:rPr>
                <w:rtl/>
              </w:rPr>
              <w:t>النمسا/بلجيكا/الدانمارك/جمهورية إستونيا/فرنسا/إيطاليا/جمهورية لاتفيا/</w:t>
            </w:r>
            <w:r>
              <w:br/>
            </w:r>
            <w:r w:rsidRPr="008204AC">
              <w:rPr>
                <w:rtl/>
              </w:rPr>
              <w:t>إمارة ليختنشتاين/جمهورية ليت</w:t>
            </w:r>
            <w:bookmarkStart w:id="1" w:name="_GoBack"/>
            <w:bookmarkEnd w:id="1"/>
            <w:r w:rsidRPr="008204AC">
              <w:rPr>
                <w:rtl/>
              </w:rPr>
              <w:t xml:space="preserve">وانيا/جمهورية بولندا/رومانيا/المملكة المتحدة لبريطانيا العظمى </w:t>
            </w:r>
            <w:proofErr w:type="spellStart"/>
            <w:r w:rsidRPr="008204AC">
              <w:rPr>
                <w:rtl/>
              </w:rPr>
              <w:t>وأيرلندا</w:t>
            </w:r>
            <w:proofErr w:type="spellEnd"/>
            <w:r w:rsidRPr="008204AC">
              <w:rPr>
                <w:rtl/>
              </w:rPr>
              <w:t xml:space="preserve"> الشمالية</w:t>
            </w:r>
          </w:p>
        </w:tc>
      </w:tr>
      <w:tr w:rsidR="00764079" w:rsidTr="003E1608">
        <w:trPr>
          <w:cantSplit/>
        </w:trPr>
        <w:tc>
          <w:tcPr>
            <w:tcW w:w="9672" w:type="dxa"/>
            <w:gridSpan w:val="2"/>
          </w:tcPr>
          <w:p w:rsidR="00764079" w:rsidRPr="00BD6EF3" w:rsidRDefault="000A6038" w:rsidP="00D44350">
            <w:pPr>
              <w:pStyle w:val="Title1"/>
              <w:spacing w:before="240"/>
              <w:rPr>
                <w:rtl/>
              </w:rPr>
            </w:pPr>
            <w:r>
              <w:rPr>
                <w:rtl/>
              </w:rPr>
              <w:t xml:space="preserve">مقترحات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50B63">
            <w:pPr>
              <w:pStyle w:val="Agendaitem"/>
              <w:spacing w:before="240" w:line="192" w:lineRule="auto"/>
            </w:pPr>
            <w:r w:rsidRPr="008204AC">
              <w:rPr>
                <w:rtl/>
              </w:rPr>
              <w:t>البنـد</w:t>
            </w:r>
            <w:r w:rsidR="000A6038">
              <w:t>6.1</w:t>
            </w:r>
            <w:r w:rsidR="009A1CA4">
              <w:rPr>
                <w:lang w:val="en-US"/>
              </w:rPr>
              <w:t xml:space="preserve"> </w:t>
            </w:r>
            <w:r w:rsidRPr="008204AC">
              <w:rPr>
                <w:rtl/>
              </w:rPr>
              <w:t xml:space="preserve"> من جدول الأعمال</w:t>
            </w:r>
          </w:p>
        </w:tc>
      </w:tr>
    </w:tbl>
    <w:p w:rsidR="001D597A" w:rsidRPr="00431196" w:rsidRDefault="00D62E17" w:rsidP="0094453E">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5E3E1E" w:rsidRPr="00431196" w:rsidRDefault="005E3E1E" w:rsidP="005E3E1E">
      <w:pPr>
        <w:keepNext/>
        <w:keepLines/>
        <w:rPr>
          <w:rFonts w:eastAsia="SimSun"/>
          <w:rtl/>
        </w:rPr>
      </w:pPr>
      <w:r w:rsidRPr="00431196">
        <w:rPr>
          <w:rFonts w:eastAsia="SimSun"/>
        </w:rPr>
        <w:t>1.6.1</w:t>
      </w:r>
      <w:r w:rsidRPr="00431196">
        <w:rPr>
          <w:rFonts w:eastAsia="SimSun" w:hint="cs"/>
          <w:rtl/>
        </w:rPr>
        <w:tab/>
      </w:r>
      <w:r w:rsidRPr="00431196">
        <w:rPr>
          <w:rFonts w:eastAsia="SimSun"/>
          <w:rtl/>
        </w:rPr>
        <w:t>للخدمة الثابتة الساتلية (أرض-فضاء</w:t>
      </w:r>
      <w:r w:rsidRPr="00431196">
        <w:rPr>
          <w:rFonts w:eastAsia="SimSun" w:hint="cs"/>
          <w:rtl/>
        </w:rPr>
        <w:t xml:space="preserve"> وفضاء-أرض</w:t>
      </w:r>
      <w:r w:rsidRPr="00431196">
        <w:rPr>
          <w:rFonts w:eastAsia="SimSun"/>
          <w:rtl/>
        </w:rPr>
        <w:t xml:space="preserve">) </w:t>
      </w:r>
      <w:r w:rsidRPr="00431196">
        <w:rPr>
          <w:rFonts w:eastAsia="SimSun" w:hint="cs"/>
          <w:rtl/>
        </w:rPr>
        <w:t xml:space="preserve">بمقدار </w:t>
      </w:r>
      <w:r w:rsidRPr="00431196">
        <w:rPr>
          <w:rFonts w:eastAsia="SimSun"/>
        </w:rPr>
        <w:t>MHz 250</w:t>
      </w:r>
      <w:r w:rsidRPr="00431196">
        <w:rPr>
          <w:rFonts w:eastAsia="SimSun" w:hint="cs"/>
          <w:rtl/>
        </w:rPr>
        <w:t xml:space="preserve"> في المدى بين </w:t>
      </w:r>
      <w:r w:rsidRPr="00431196">
        <w:rPr>
          <w:rFonts w:eastAsia="SimSun"/>
        </w:rPr>
        <w:t>GHz 10</w:t>
      </w:r>
      <w:r w:rsidRPr="00431196">
        <w:rPr>
          <w:rFonts w:eastAsia="SimSun" w:hint="cs"/>
          <w:rtl/>
          <w:lang w:bidi="ar-SY"/>
        </w:rPr>
        <w:t xml:space="preserve"> و</w:t>
      </w:r>
      <w:r w:rsidRPr="00431196">
        <w:rPr>
          <w:rFonts w:eastAsia="SimSun"/>
        </w:rPr>
        <w:t>GHz 17</w:t>
      </w:r>
      <w:r w:rsidRPr="00431196">
        <w:rPr>
          <w:rFonts w:eastAsia="SimSun" w:hint="cs"/>
          <w:rtl/>
        </w:rPr>
        <w:t xml:space="preserve"> في الإقليم</w:t>
      </w:r>
      <w:r w:rsidRPr="00431196">
        <w:rPr>
          <w:rFonts w:eastAsia="SimSun" w:hint="eastAsia"/>
          <w:rtl/>
        </w:rPr>
        <w:t> </w:t>
      </w:r>
      <w:r w:rsidRPr="00431196">
        <w:rPr>
          <w:rFonts w:eastAsia="SimSun"/>
        </w:rPr>
        <w:t>1</w:t>
      </w:r>
      <w:r w:rsidRPr="00431196">
        <w:rPr>
          <w:rFonts w:eastAsia="SimSun" w:hint="cs"/>
          <w:rtl/>
        </w:rPr>
        <w:t>؛</w:t>
      </w:r>
    </w:p>
    <w:p w:rsidR="001D597A" w:rsidRPr="00431196" w:rsidRDefault="00D62E17" w:rsidP="001D597A">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002D69DC">
        <w:rPr>
          <w:rFonts w:eastAsia="SimSun" w:hint="cs"/>
          <w:rtl/>
        </w:rPr>
        <w:t xml:space="preserve"> و</w:t>
      </w:r>
      <w:r w:rsidRPr="00431196">
        <w:rPr>
          <w:rFonts w:eastAsia="SimSun"/>
        </w:rPr>
        <w:t>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1D597A" w:rsidRPr="00431196" w:rsidRDefault="00D62E17" w:rsidP="00565B39">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w:t>
      </w:r>
      <w:r w:rsidR="00565B39">
        <w:rPr>
          <w:rFonts w:eastAsia="SimSun" w:hint="eastAsia"/>
          <w:rtl/>
        </w:rPr>
        <w:t> </w:t>
      </w:r>
      <w:r w:rsidRPr="00431196">
        <w:rPr>
          <w:rFonts w:eastAsia="SimSun" w:hint="cs"/>
          <w:rtl/>
        </w:rPr>
        <w:t>التوالي؛</w:t>
      </w:r>
    </w:p>
    <w:p w:rsidR="00F16602" w:rsidRDefault="005E3E1E" w:rsidP="005E3E1E">
      <w:pPr>
        <w:pStyle w:val="Headingb"/>
        <w:rPr>
          <w:rtl/>
        </w:rPr>
      </w:pPr>
      <w:r>
        <w:rPr>
          <w:rFonts w:hint="cs"/>
          <w:rtl/>
        </w:rPr>
        <w:t>مقدمة</w:t>
      </w:r>
    </w:p>
    <w:p w:rsidR="005E3E1E" w:rsidRDefault="00050B63" w:rsidP="006E0623">
      <w:pPr>
        <w:rPr>
          <w:rtl/>
          <w:lang w:bidi="ar-EG"/>
        </w:rPr>
      </w:pPr>
      <w:r>
        <w:rPr>
          <w:rFonts w:hint="cs"/>
          <w:rtl/>
          <w:lang w:bidi="ar-EG"/>
        </w:rPr>
        <w:t xml:space="preserve">يتماشى هذا المقترح مع أهداف المقترح </w:t>
      </w:r>
      <w:r w:rsidR="007A3C3C">
        <w:rPr>
          <w:rFonts w:hint="cs"/>
          <w:rtl/>
          <w:lang w:bidi="ar-EG"/>
        </w:rPr>
        <w:t>ال</w:t>
      </w:r>
      <w:r>
        <w:rPr>
          <w:rFonts w:hint="cs"/>
          <w:rtl/>
          <w:lang w:bidi="ar-EG"/>
        </w:rPr>
        <w:t xml:space="preserve">متعدد البلدان </w:t>
      </w:r>
      <w:r w:rsidR="007A3C3C">
        <w:t>[79]</w:t>
      </w:r>
      <w:r w:rsidR="007A3C3C">
        <w:rPr>
          <w:rFonts w:hint="cs"/>
          <w:rtl/>
        </w:rPr>
        <w:t>-</w:t>
      </w:r>
      <w:r w:rsidR="009A1CA4">
        <w:rPr>
          <w:rFonts w:hint="cs"/>
          <w:rtl/>
        </w:rPr>
        <w:t xml:space="preserve">مقترحات بشأن </w:t>
      </w:r>
      <w:r w:rsidR="007A3C3C">
        <w:rPr>
          <w:rFonts w:hint="cs"/>
          <w:rtl/>
        </w:rPr>
        <w:t>أعمال المؤتمر</w:t>
      </w:r>
      <w:r w:rsidR="009A1CA4">
        <w:rPr>
          <w:rFonts w:hint="cs"/>
          <w:rtl/>
        </w:rPr>
        <w:t>-</w:t>
      </w:r>
      <w:r w:rsidR="007A3C3C">
        <w:rPr>
          <w:rFonts w:hint="cs"/>
          <w:rtl/>
        </w:rPr>
        <w:t xml:space="preserve"> </w:t>
      </w:r>
      <w:r w:rsidR="009A1CA4" w:rsidRPr="008204AC">
        <w:rPr>
          <w:rtl/>
        </w:rPr>
        <w:t>البنـد</w:t>
      </w:r>
      <w:r w:rsidR="009A1CA4">
        <w:t xml:space="preserve">6.1 </w:t>
      </w:r>
      <w:r w:rsidR="009A1CA4" w:rsidRPr="008204AC">
        <w:rPr>
          <w:rtl/>
        </w:rPr>
        <w:t xml:space="preserve"> من جدول الأعمال</w:t>
      </w:r>
      <w:r w:rsidR="009A1CA4">
        <w:rPr>
          <w:rFonts w:hint="cs"/>
          <w:rtl/>
          <w:lang w:bidi="ar-EG"/>
        </w:rPr>
        <w:t xml:space="preserve"> ويرمي إلى </w:t>
      </w:r>
      <w:r w:rsidR="006E0623">
        <w:rPr>
          <w:rFonts w:hint="cs"/>
          <w:rtl/>
          <w:lang w:bidi="ar-EG"/>
        </w:rPr>
        <w:t>إدراج</w:t>
      </w:r>
      <w:r w:rsidR="009A1CA4">
        <w:rPr>
          <w:rFonts w:hint="cs"/>
          <w:rtl/>
          <w:lang w:bidi="ar-EG"/>
        </w:rPr>
        <w:t xml:space="preserve"> اعتبارات إضافية </w:t>
      </w:r>
      <w:r w:rsidR="006E0623">
        <w:rPr>
          <w:rFonts w:hint="cs"/>
          <w:rtl/>
          <w:lang w:bidi="ar-EG"/>
        </w:rPr>
        <w:t xml:space="preserve">في </w:t>
      </w:r>
      <w:r w:rsidR="009A1CA4">
        <w:rPr>
          <w:rFonts w:hint="cs"/>
          <w:rtl/>
          <w:lang w:bidi="ar-EG"/>
        </w:rPr>
        <w:t xml:space="preserve">هذه الوثيقة. </w:t>
      </w:r>
    </w:p>
    <w:p w:rsidR="005E3E1E" w:rsidRPr="005A675C" w:rsidRDefault="009A1CA4" w:rsidP="005A675C">
      <w:pPr>
        <w:rPr>
          <w:spacing w:val="2"/>
          <w:rtl/>
          <w:lang w:bidi="ar-EG"/>
        </w:rPr>
      </w:pPr>
      <w:r w:rsidRPr="005A675C">
        <w:rPr>
          <w:rFonts w:hint="cs"/>
          <w:spacing w:val="2"/>
          <w:rtl/>
          <w:lang w:bidi="ar-EG"/>
        </w:rPr>
        <w:t xml:space="preserve">وأجريت دراسات بشأن نطاقات التردد الممكنة لمنح توزيع إضافي أولي بمقدار </w:t>
      </w:r>
      <w:r w:rsidRPr="005A675C">
        <w:rPr>
          <w:rFonts w:eastAsia="SimSun"/>
          <w:spacing w:val="2"/>
        </w:rPr>
        <w:t>MHz 250</w:t>
      </w:r>
      <w:r w:rsidRPr="005A675C">
        <w:rPr>
          <w:rFonts w:eastAsia="SimSun" w:hint="cs"/>
          <w:spacing w:val="2"/>
          <w:rtl/>
        </w:rPr>
        <w:t xml:space="preserve"> </w:t>
      </w:r>
      <w:r w:rsidRPr="005A675C">
        <w:rPr>
          <w:rFonts w:eastAsia="SimSun"/>
          <w:spacing w:val="2"/>
          <w:rtl/>
        </w:rPr>
        <w:t>للخدمة الثابتة الساتلية</w:t>
      </w:r>
      <w:r w:rsidRPr="005A675C">
        <w:rPr>
          <w:rFonts w:eastAsia="SimSun" w:hint="cs"/>
          <w:spacing w:val="2"/>
          <w:rtl/>
        </w:rPr>
        <w:t xml:space="preserve"> في</w:t>
      </w:r>
      <w:r w:rsidR="00565B39">
        <w:rPr>
          <w:rFonts w:eastAsia="SimSun" w:hint="eastAsia"/>
          <w:rtl/>
        </w:rPr>
        <w:t> </w:t>
      </w:r>
      <w:r w:rsidRPr="005A675C">
        <w:rPr>
          <w:rFonts w:eastAsia="SimSun" w:hint="cs"/>
          <w:spacing w:val="2"/>
          <w:rtl/>
        </w:rPr>
        <w:t xml:space="preserve">الاتجاه أرض-فضاء في مدى التردد بين </w:t>
      </w:r>
      <w:r w:rsidRPr="005A675C">
        <w:rPr>
          <w:rFonts w:eastAsia="SimSun"/>
          <w:spacing w:val="2"/>
        </w:rPr>
        <w:t>GHz 10</w:t>
      </w:r>
      <w:r w:rsidRPr="005A675C">
        <w:rPr>
          <w:rFonts w:eastAsia="SimSun" w:hint="cs"/>
          <w:spacing w:val="2"/>
          <w:rtl/>
        </w:rPr>
        <w:t xml:space="preserve"> </w:t>
      </w:r>
      <w:r w:rsidRPr="005A675C">
        <w:rPr>
          <w:rFonts w:eastAsia="SimSun" w:hint="cs"/>
          <w:spacing w:val="2"/>
          <w:rtl/>
          <w:lang w:bidi="ar-SY"/>
        </w:rPr>
        <w:t>و</w:t>
      </w:r>
      <w:r w:rsidRPr="005A675C">
        <w:rPr>
          <w:rFonts w:eastAsia="SimSun"/>
          <w:spacing w:val="2"/>
        </w:rPr>
        <w:t>GHz 17</w:t>
      </w:r>
      <w:r w:rsidRPr="005A675C">
        <w:rPr>
          <w:rFonts w:eastAsia="SimSun" w:hint="cs"/>
          <w:spacing w:val="2"/>
          <w:rtl/>
        </w:rPr>
        <w:t xml:space="preserve"> في الإقليم</w:t>
      </w:r>
      <w:r w:rsidRPr="005A675C">
        <w:rPr>
          <w:rFonts w:eastAsia="SimSun" w:hint="eastAsia"/>
          <w:spacing w:val="2"/>
          <w:rtl/>
        </w:rPr>
        <w:t> </w:t>
      </w:r>
      <w:r w:rsidRPr="005A675C">
        <w:rPr>
          <w:rFonts w:eastAsia="SimSun"/>
          <w:spacing w:val="2"/>
        </w:rPr>
        <w:t>1</w:t>
      </w:r>
      <w:r w:rsidRPr="005A675C">
        <w:rPr>
          <w:rFonts w:eastAsia="SimSun" w:hint="cs"/>
          <w:spacing w:val="2"/>
          <w:rtl/>
        </w:rPr>
        <w:t xml:space="preserve">، وفي مدى التردد </w:t>
      </w:r>
      <w:r w:rsidR="00896A3C" w:rsidRPr="005A675C">
        <w:rPr>
          <w:rFonts w:eastAsia="SimSun" w:hint="cs"/>
          <w:spacing w:val="2"/>
          <w:rtl/>
        </w:rPr>
        <w:t>بين </w:t>
      </w:r>
      <w:r w:rsidR="00896A3C" w:rsidRPr="005A675C">
        <w:rPr>
          <w:rFonts w:eastAsia="SimSun"/>
          <w:spacing w:val="2"/>
        </w:rPr>
        <w:t>GHz 13</w:t>
      </w:r>
      <w:r w:rsidR="00896A3C" w:rsidRPr="005A675C">
        <w:rPr>
          <w:rFonts w:eastAsia="SimSun" w:hint="cs"/>
          <w:spacing w:val="2"/>
          <w:rtl/>
          <w:lang w:bidi="ar-SY"/>
        </w:rPr>
        <w:t xml:space="preserve"> و</w:t>
      </w:r>
      <w:r w:rsidR="00896A3C" w:rsidRPr="005A675C">
        <w:rPr>
          <w:rFonts w:eastAsia="SimSun"/>
          <w:spacing w:val="2"/>
        </w:rPr>
        <w:t>GHz 17</w:t>
      </w:r>
      <w:r w:rsidR="00896A3C" w:rsidRPr="005A675C">
        <w:rPr>
          <w:rFonts w:eastAsia="SimSun" w:hint="cs"/>
          <w:spacing w:val="2"/>
          <w:rtl/>
        </w:rPr>
        <w:t xml:space="preserve"> في</w:t>
      </w:r>
      <w:r w:rsidR="00565B39">
        <w:rPr>
          <w:rFonts w:eastAsia="SimSun" w:hint="eastAsia"/>
          <w:rtl/>
        </w:rPr>
        <w:t> </w:t>
      </w:r>
      <w:r w:rsidR="00896A3C" w:rsidRPr="005A675C">
        <w:rPr>
          <w:rFonts w:eastAsia="SimSun" w:hint="cs"/>
          <w:spacing w:val="2"/>
          <w:rtl/>
        </w:rPr>
        <w:t>الإقليمين</w:t>
      </w:r>
      <w:r w:rsidR="00565B39">
        <w:rPr>
          <w:rFonts w:eastAsia="SimSun" w:hint="eastAsia"/>
          <w:rtl/>
        </w:rPr>
        <w:t> </w:t>
      </w:r>
      <w:r w:rsidR="00896A3C" w:rsidRPr="005A675C">
        <w:rPr>
          <w:rFonts w:eastAsia="SimSun"/>
          <w:spacing w:val="2"/>
        </w:rPr>
        <w:t>2</w:t>
      </w:r>
      <w:r w:rsidR="00896A3C" w:rsidRPr="005A675C">
        <w:rPr>
          <w:rFonts w:eastAsia="SimSun" w:hint="cs"/>
          <w:spacing w:val="2"/>
          <w:rtl/>
        </w:rPr>
        <w:t xml:space="preserve"> </w:t>
      </w:r>
      <w:r w:rsidR="00896A3C" w:rsidRPr="005A675C">
        <w:rPr>
          <w:rFonts w:eastAsia="SimSun" w:hint="cs"/>
          <w:spacing w:val="2"/>
          <w:rtl/>
        </w:rPr>
        <w:lastRenderedPageBreak/>
        <w:t>و</w:t>
      </w:r>
      <w:r w:rsidR="00896A3C" w:rsidRPr="005A675C">
        <w:rPr>
          <w:rFonts w:eastAsia="SimSun"/>
          <w:spacing w:val="2"/>
        </w:rPr>
        <w:t>3</w:t>
      </w:r>
      <w:r w:rsidR="00896A3C" w:rsidRPr="005A675C">
        <w:rPr>
          <w:rFonts w:eastAsia="SimSun" w:hint="cs"/>
          <w:spacing w:val="2"/>
          <w:rtl/>
          <w:lang w:bidi="ar-EG"/>
        </w:rPr>
        <w:t xml:space="preserve">، وشملت هذه الدراسات اعتبارات تقنية وتشغيلية وتنظيمية بشأن هذا الموضوع، وفقاً للقرارين </w:t>
      </w:r>
      <w:r w:rsidR="00896A3C" w:rsidRPr="005A675C">
        <w:rPr>
          <w:spacing w:val="2"/>
        </w:rPr>
        <w:t>151</w:t>
      </w:r>
      <w:r w:rsidR="005A675C">
        <w:rPr>
          <w:spacing w:val="2"/>
        </w:rPr>
        <w:t> </w:t>
      </w:r>
      <w:r w:rsidR="00896A3C" w:rsidRPr="005A675C">
        <w:rPr>
          <w:spacing w:val="2"/>
        </w:rPr>
        <w:t>(WRC-12)</w:t>
      </w:r>
      <w:r w:rsidR="00896A3C" w:rsidRPr="005A675C">
        <w:rPr>
          <w:rFonts w:hint="cs"/>
          <w:spacing w:val="2"/>
          <w:rtl/>
        </w:rPr>
        <w:t xml:space="preserve"> و</w:t>
      </w:r>
      <w:r w:rsidR="00896A3C" w:rsidRPr="005A675C">
        <w:rPr>
          <w:spacing w:val="2"/>
        </w:rPr>
        <w:t>152</w:t>
      </w:r>
      <w:r w:rsidR="005A675C">
        <w:rPr>
          <w:spacing w:val="2"/>
        </w:rPr>
        <w:t> </w:t>
      </w:r>
      <w:r w:rsidR="00896A3C" w:rsidRPr="005A675C">
        <w:rPr>
          <w:spacing w:val="2"/>
        </w:rPr>
        <w:t>(WRC-12)</w:t>
      </w:r>
      <w:r w:rsidR="00896A3C" w:rsidRPr="005A675C">
        <w:rPr>
          <w:rFonts w:hint="cs"/>
          <w:spacing w:val="2"/>
          <w:rtl/>
        </w:rPr>
        <w:t xml:space="preserve">. </w:t>
      </w:r>
      <w:r w:rsidR="006E0623" w:rsidRPr="005A675C">
        <w:rPr>
          <w:rFonts w:hint="cs"/>
          <w:spacing w:val="2"/>
          <w:rtl/>
        </w:rPr>
        <w:t>وفيما يلي بالخصوص:</w:t>
      </w:r>
    </w:p>
    <w:p w:rsidR="002919E1" w:rsidRPr="00C25AA0" w:rsidRDefault="005E3E1E" w:rsidP="00C25AA0">
      <w:pPr>
        <w:pStyle w:val="enumlev1"/>
        <w:rPr>
          <w:noProof/>
          <w:spacing w:val="-4"/>
          <w:rtl/>
        </w:rPr>
      </w:pPr>
      <w:r w:rsidRPr="00C25AA0">
        <w:rPr>
          <w:noProof/>
          <w:spacing w:val="-4"/>
        </w:rPr>
        <w:sym w:font="Symbol" w:char="F0B7"/>
      </w:r>
      <w:r w:rsidR="00896A3C" w:rsidRPr="00C25AA0">
        <w:rPr>
          <w:noProof/>
          <w:spacing w:val="-4"/>
          <w:rtl/>
        </w:rPr>
        <w:tab/>
      </w:r>
      <w:r w:rsidR="00896A3C" w:rsidRPr="00C25AA0">
        <w:rPr>
          <w:rFonts w:hint="cs"/>
          <w:noProof/>
          <w:spacing w:val="-4"/>
          <w:rtl/>
        </w:rPr>
        <w:t xml:space="preserve">التقرير النهائي </w:t>
      </w:r>
      <w:r w:rsidR="00583472" w:rsidRPr="00C25AA0">
        <w:rPr>
          <w:rFonts w:hint="cs"/>
          <w:noProof/>
          <w:spacing w:val="-4"/>
          <w:rtl/>
        </w:rPr>
        <w:t>المقد</w:t>
      </w:r>
      <w:r w:rsidR="00FA5DFB" w:rsidRPr="00C25AA0">
        <w:rPr>
          <w:rFonts w:hint="cs"/>
          <w:noProof/>
          <w:spacing w:val="-4"/>
          <w:rtl/>
        </w:rPr>
        <w:t>َّ</w:t>
      </w:r>
      <w:r w:rsidR="00583472" w:rsidRPr="00C25AA0">
        <w:rPr>
          <w:rFonts w:hint="cs"/>
          <w:noProof/>
          <w:spacing w:val="-4"/>
          <w:rtl/>
        </w:rPr>
        <w:t>م من ا</w:t>
      </w:r>
      <w:r w:rsidR="00896A3C" w:rsidRPr="00C25AA0">
        <w:rPr>
          <w:rFonts w:hint="cs"/>
          <w:noProof/>
          <w:spacing w:val="-4"/>
          <w:rtl/>
        </w:rPr>
        <w:t xml:space="preserve">لاجتماع التحضيري للمؤتمر </w:t>
      </w:r>
      <w:r w:rsidR="00583472" w:rsidRPr="00C25AA0">
        <w:rPr>
          <w:rFonts w:hint="cs"/>
          <w:noProof/>
          <w:spacing w:val="-4"/>
          <w:rtl/>
        </w:rPr>
        <w:t>إلى المؤتمر العالمي للاتصالات الراديوية لعام</w:t>
      </w:r>
      <w:r w:rsidR="00565B39">
        <w:rPr>
          <w:rFonts w:eastAsia="SimSun" w:hint="eastAsia"/>
          <w:rtl/>
        </w:rPr>
        <w:t> </w:t>
      </w:r>
      <w:r w:rsidR="00583472" w:rsidRPr="00C25AA0">
        <w:rPr>
          <w:noProof/>
          <w:spacing w:val="-4"/>
        </w:rPr>
        <w:t>2015</w:t>
      </w:r>
      <w:r w:rsidR="00583472" w:rsidRPr="00C25AA0">
        <w:rPr>
          <w:rFonts w:hint="cs"/>
          <w:noProof/>
          <w:spacing w:val="-4"/>
          <w:rtl/>
          <w:lang w:bidi="ar-EG"/>
        </w:rPr>
        <w:t xml:space="preserve">، </w:t>
      </w:r>
      <w:r w:rsidR="00583472" w:rsidRPr="00C25AA0">
        <w:rPr>
          <w:rFonts w:hint="cs"/>
          <w:noProof/>
          <w:spacing w:val="-4"/>
          <w:rtl/>
        </w:rPr>
        <w:t>في</w:t>
      </w:r>
      <w:r w:rsidR="00565B39">
        <w:rPr>
          <w:rFonts w:eastAsia="SimSun" w:hint="eastAsia"/>
          <w:rtl/>
        </w:rPr>
        <w:t> </w:t>
      </w:r>
      <w:r w:rsidR="00F64E4A" w:rsidRPr="00C25AA0">
        <w:rPr>
          <w:rFonts w:hint="cs"/>
          <w:noProof/>
          <w:spacing w:val="-4"/>
          <w:rtl/>
        </w:rPr>
        <w:t>أجزائه</w:t>
      </w:r>
      <w:r w:rsidR="00565B39">
        <w:rPr>
          <w:rFonts w:eastAsia="SimSun" w:hint="eastAsia"/>
          <w:rtl/>
        </w:rPr>
        <w:t> </w:t>
      </w:r>
      <w:r w:rsidR="00F64E4A" w:rsidRPr="00C25AA0">
        <w:rPr>
          <w:rFonts w:hint="cs"/>
          <w:noProof/>
          <w:spacing w:val="-4"/>
          <w:rtl/>
        </w:rPr>
        <w:t>التالية</w:t>
      </w:r>
      <w:r w:rsidR="00FA5DFB" w:rsidRPr="00C25AA0">
        <w:rPr>
          <w:rFonts w:hint="cs"/>
          <w:noProof/>
          <w:spacing w:val="-4"/>
          <w:rtl/>
        </w:rPr>
        <w:t>:</w:t>
      </w:r>
    </w:p>
    <w:p w:rsidR="005E3E1E" w:rsidRDefault="006C7479" w:rsidP="00FA5DFB">
      <w:pPr>
        <w:pStyle w:val="enumlev2"/>
        <w:rPr>
          <w:noProof/>
          <w:rtl/>
        </w:rPr>
      </w:pPr>
      <w:r>
        <w:rPr>
          <w:rFonts w:hint="cs"/>
          <w:noProof/>
          <w:rtl/>
        </w:rPr>
        <w:t>-</w:t>
      </w:r>
      <w:r w:rsidR="005E3E1E">
        <w:rPr>
          <w:noProof/>
          <w:rtl/>
        </w:rPr>
        <w:tab/>
      </w:r>
      <w:r w:rsidR="00583472">
        <w:rPr>
          <w:rFonts w:hint="cs"/>
          <w:noProof/>
          <w:rtl/>
        </w:rPr>
        <w:t xml:space="preserve">الفصل الفرعي </w:t>
      </w:r>
      <w:r w:rsidR="00583472">
        <w:t>4</w:t>
      </w:r>
      <w:r w:rsidR="00FA5DFB">
        <w:rPr>
          <w:rFonts w:hint="cs"/>
          <w:rtl/>
        </w:rPr>
        <w:t>.</w:t>
      </w:r>
      <w:r w:rsidR="00583472">
        <w:t>1</w:t>
      </w:r>
      <w:r w:rsidR="00583472">
        <w:rPr>
          <w:rFonts w:hint="cs"/>
          <w:rtl/>
        </w:rPr>
        <w:t xml:space="preserve">، القسم </w:t>
      </w:r>
      <w:r w:rsidR="00583472">
        <w:t>4</w:t>
      </w:r>
      <w:r w:rsidR="00583472">
        <w:rPr>
          <w:rFonts w:hint="cs"/>
          <w:rtl/>
        </w:rPr>
        <w:t>.</w:t>
      </w:r>
      <w:r w:rsidR="00583472">
        <w:t>1</w:t>
      </w:r>
      <w:r w:rsidR="00583472">
        <w:rPr>
          <w:rFonts w:hint="cs"/>
          <w:rtl/>
        </w:rPr>
        <w:t>/</w:t>
      </w:r>
      <w:r w:rsidR="00583472">
        <w:t>1</w:t>
      </w:r>
      <w:r w:rsidR="00583472">
        <w:rPr>
          <w:rFonts w:hint="cs"/>
          <w:rtl/>
        </w:rPr>
        <w:t>.</w:t>
      </w:r>
      <w:r w:rsidR="00583472">
        <w:t>6</w:t>
      </w:r>
      <w:r w:rsidR="00583472">
        <w:rPr>
          <w:rFonts w:hint="cs"/>
          <w:rtl/>
        </w:rPr>
        <w:t>.</w:t>
      </w:r>
      <w:r w:rsidR="00583472">
        <w:t>1</w:t>
      </w:r>
      <w:r w:rsidR="00FA5DFB">
        <w:rPr>
          <w:rFonts w:hint="cs"/>
          <w:rtl/>
        </w:rPr>
        <w:t xml:space="preserve"> (</w:t>
      </w:r>
      <w:r w:rsidR="00220BA4">
        <w:rPr>
          <w:rFonts w:hint="cs"/>
          <w:rtl/>
        </w:rPr>
        <w:t>وما يلي ذلك</w:t>
      </w:r>
      <w:r w:rsidR="00FA5DFB">
        <w:rPr>
          <w:rFonts w:hint="cs"/>
          <w:rtl/>
        </w:rPr>
        <w:t xml:space="preserve">)، بشأن البند </w:t>
      </w:r>
      <w:r w:rsidR="00FA5DFB">
        <w:t>1.6.1</w:t>
      </w:r>
      <w:r w:rsidR="00FA5DFB">
        <w:rPr>
          <w:rFonts w:hint="cs"/>
          <w:rtl/>
        </w:rPr>
        <w:t xml:space="preserve"> من جدول</w:t>
      </w:r>
      <w:r w:rsidR="00565B39">
        <w:rPr>
          <w:rFonts w:eastAsia="SimSun" w:hint="eastAsia"/>
          <w:rtl/>
        </w:rPr>
        <w:t> </w:t>
      </w:r>
      <w:r w:rsidR="00FA5DFB">
        <w:rPr>
          <w:rFonts w:hint="cs"/>
          <w:rtl/>
        </w:rPr>
        <w:t xml:space="preserve">الأعمال، </w:t>
      </w:r>
    </w:p>
    <w:p w:rsidR="005E3E1E" w:rsidRDefault="006C7479" w:rsidP="0028370B">
      <w:pPr>
        <w:pStyle w:val="enumlev2"/>
        <w:rPr>
          <w:noProof/>
          <w:rtl/>
        </w:rPr>
      </w:pPr>
      <w:r>
        <w:rPr>
          <w:rFonts w:hint="cs"/>
          <w:noProof/>
          <w:rtl/>
        </w:rPr>
        <w:t>-</w:t>
      </w:r>
      <w:r w:rsidR="005E3E1E">
        <w:rPr>
          <w:noProof/>
          <w:rtl/>
        </w:rPr>
        <w:tab/>
      </w:r>
      <w:r w:rsidR="00FA5DFB">
        <w:rPr>
          <w:rFonts w:hint="cs"/>
          <w:noProof/>
          <w:rtl/>
        </w:rPr>
        <w:t xml:space="preserve">الفصل الفرعي </w:t>
      </w:r>
      <w:r w:rsidR="00FA5DFB">
        <w:t>4</w:t>
      </w:r>
      <w:r w:rsidR="00FA5DFB">
        <w:rPr>
          <w:rFonts w:hint="cs"/>
          <w:rtl/>
        </w:rPr>
        <w:t>.</w:t>
      </w:r>
      <w:r w:rsidR="00FA5DFB">
        <w:t>1</w:t>
      </w:r>
      <w:r w:rsidR="00FA5DFB">
        <w:rPr>
          <w:rFonts w:hint="cs"/>
          <w:rtl/>
        </w:rPr>
        <w:t xml:space="preserve">، القسم </w:t>
      </w:r>
      <w:r w:rsidR="00FA5DFB">
        <w:t>4</w:t>
      </w:r>
      <w:r w:rsidR="00FA5DFB">
        <w:rPr>
          <w:rFonts w:hint="cs"/>
          <w:rtl/>
        </w:rPr>
        <w:t>.</w:t>
      </w:r>
      <w:r w:rsidR="00FA5DFB">
        <w:t>1</w:t>
      </w:r>
      <w:r w:rsidR="00FA5DFB">
        <w:rPr>
          <w:rFonts w:hint="cs"/>
          <w:rtl/>
        </w:rPr>
        <w:t>/</w:t>
      </w:r>
      <w:r w:rsidR="00FA5DFB">
        <w:t>1</w:t>
      </w:r>
      <w:r w:rsidR="00FA5DFB">
        <w:rPr>
          <w:rFonts w:hint="cs"/>
          <w:rtl/>
        </w:rPr>
        <w:t>.</w:t>
      </w:r>
      <w:r w:rsidR="00FA5DFB">
        <w:t>6</w:t>
      </w:r>
      <w:r w:rsidR="00FA5DFB">
        <w:rPr>
          <w:rFonts w:hint="cs"/>
          <w:rtl/>
        </w:rPr>
        <w:t>.</w:t>
      </w:r>
      <w:r w:rsidR="00FA5DFB">
        <w:t>2</w:t>
      </w:r>
      <w:r w:rsidR="00FA5DFB">
        <w:rPr>
          <w:rFonts w:hint="cs"/>
          <w:rtl/>
        </w:rPr>
        <w:t xml:space="preserve"> (</w:t>
      </w:r>
      <w:r w:rsidR="00220BA4">
        <w:rPr>
          <w:rFonts w:hint="cs"/>
          <w:rtl/>
        </w:rPr>
        <w:t>وما يلي ذلك</w:t>
      </w:r>
      <w:r w:rsidR="00FA5DFB">
        <w:rPr>
          <w:rFonts w:hint="cs"/>
          <w:rtl/>
        </w:rPr>
        <w:t xml:space="preserve">)، بشأن البند </w:t>
      </w:r>
      <w:r w:rsidR="00FA5DFB">
        <w:t>2.6.1</w:t>
      </w:r>
      <w:r w:rsidR="00FA5DFB">
        <w:rPr>
          <w:rFonts w:hint="cs"/>
          <w:rtl/>
        </w:rPr>
        <w:t xml:space="preserve"> من جدول</w:t>
      </w:r>
      <w:r w:rsidR="00565B39">
        <w:rPr>
          <w:rFonts w:eastAsia="SimSun" w:hint="eastAsia"/>
          <w:rtl/>
        </w:rPr>
        <w:t> </w:t>
      </w:r>
      <w:r w:rsidR="00FA5DFB">
        <w:rPr>
          <w:rFonts w:hint="cs"/>
          <w:rtl/>
        </w:rPr>
        <w:t xml:space="preserve">الأعمال، </w:t>
      </w:r>
    </w:p>
    <w:p w:rsidR="005E3E1E" w:rsidRDefault="005E3E1E" w:rsidP="00DA6EB7">
      <w:pPr>
        <w:pStyle w:val="enumlev1"/>
        <w:rPr>
          <w:noProof/>
          <w:rtl/>
          <w:lang w:bidi="ar-EG"/>
        </w:rPr>
      </w:pPr>
      <w:r>
        <w:rPr>
          <w:noProof/>
        </w:rPr>
        <w:sym w:font="Symbol" w:char="F0B7"/>
      </w:r>
      <w:r>
        <w:rPr>
          <w:noProof/>
          <w:rtl/>
        </w:rPr>
        <w:tab/>
      </w:r>
      <w:r w:rsidR="00FA5DFB">
        <w:rPr>
          <w:rFonts w:hint="cs"/>
          <w:noProof/>
          <w:rtl/>
          <w:lang w:bidi="ar-EG"/>
        </w:rPr>
        <w:t xml:space="preserve">التقرير </w:t>
      </w:r>
      <w:r w:rsidR="00FA5DFB">
        <w:t>ITU-R S.2365</w:t>
      </w:r>
      <w:r w:rsidR="00FA5DFB">
        <w:rPr>
          <w:rFonts w:hint="cs"/>
          <w:rtl/>
        </w:rPr>
        <w:t xml:space="preserve"> (الوثيقة </w:t>
      </w:r>
      <w:r w:rsidR="00FA5DFB">
        <w:t>4/112</w:t>
      </w:r>
      <w:r w:rsidR="00220BA4">
        <w:rPr>
          <w:rFonts w:hint="cs"/>
          <w:rtl/>
        </w:rPr>
        <w:t>) في أقسامه</w:t>
      </w:r>
      <w:r w:rsidR="00FA5DFB">
        <w:rPr>
          <w:rFonts w:hint="cs"/>
          <w:rtl/>
        </w:rPr>
        <w:t xml:space="preserve"> التالية:</w:t>
      </w:r>
    </w:p>
    <w:p w:rsidR="005E3E1E" w:rsidRDefault="006C7479" w:rsidP="00220BA4">
      <w:pPr>
        <w:pStyle w:val="enumlev2"/>
        <w:rPr>
          <w:noProof/>
          <w:rtl/>
        </w:rPr>
      </w:pPr>
      <w:r>
        <w:rPr>
          <w:rFonts w:hint="cs"/>
          <w:noProof/>
          <w:rtl/>
        </w:rPr>
        <w:t>-</w:t>
      </w:r>
      <w:r w:rsidR="005E3E1E">
        <w:rPr>
          <w:noProof/>
          <w:rtl/>
        </w:rPr>
        <w:tab/>
      </w:r>
      <w:r w:rsidR="00220BA4">
        <w:t>10</w:t>
      </w:r>
      <w:r w:rsidR="00220BA4">
        <w:rPr>
          <w:rFonts w:hint="cs"/>
          <w:rtl/>
        </w:rPr>
        <w:t>.</w:t>
      </w:r>
      <w:r w:rsidR="00220BA4">
        <w:t>2.3</w:t>
      </w:r>
      <w:r w:rsidR="002D69DC">
        <w:rPr>
          <w:rFonts w:hint="cs"/>
          <w:rtl/>
        </w:rPr>
        <w:t xml:space="preserve"> و</w:t>
      </w:r>
      <w:r w:rsidR="00220BA4">
        <w:t>10</w:t>
      </w:r>
      <w:r w:rsidR="00220BA4">
        <w:rPr>
          <w:rFonts w:hint="cs"/>
          <w:rtl/>
        </w:rPr>
        <w:t>.</w:t>
      </w:r>
      <w:r w:rsidR="00220BA4">
        <w:t>3</w:t>
      </w:r>
      <w:r w:rsidR="00220BA4">
        <w:rPr>
          <w:rFonts w:hint="cs"/>
          <w:rtl/>
        </w:rPr>
        <w:t xml:space="preserve"> فيما يتعلق بالنطاق </w:t>
      </w:r>
      <w:r w:rsidR="00220BA4" w:rsidRPr="00220BA4">
        <w:t>GHz 14,8</w:t>
      </w:r>
      <w:r w:rsidR="00220BA4" w:rsidRPr="00220BA4">
        <w:noBreakHyphen/>
        <w:t>14,5</w:t>
      </w:r>
      <w:r w:rsidR="00220BA4">
        <w:rPr>
          <w:rFonts w:hint="cs"/>
          <w:rtl/>
        </w:rPr>
        <w:t xml:space="preserve">، </w:t>
      </w:r>
    </w:p>
    <w:p w:rsidR="005E3E1E" w:rsidRDefault="006C7479" w:rsidP="00220BA4">
      <w:pPr>
        <w:pStyle w:val="enumlev2"/>
        <w:rPr>
          <w:noProof/>
          <w:rtl/>
        </w:rPr>
      </w:pPr>
      <w:r>
        <w:rPr>
          <w:rFonts w:hint="cs"/>
          <w:noProof/>
          <w:rtl/>
        </w:rPr>
        <w:t>-</w:t>
      </w:r>
      <w:r w:rsidR="005E3E1E">
        <w:rPr>
          <w:noProof/>
          <w:rtl/>
        </w:rPr>
        <w:tab/>
      </w:r>
      <w:r w:rsidR="00220BA4">
        <w:t>11</w:t>
      </w:r>
      <w:r w:rsidR="00220BA4">
        <w:rPr>
          <w:rFonts w:hint="cs"/>
          <w:rtl/>
        </w:rPr>
        <w:t>.</w:t>
      </w:r>
      <w:r w:rsidR="00220BA4">
        <w:t>2</w:t>
      </w:r>
      <w:r w:rsidR="00220BA4">
        <w:rPr>
          <w:rFonts w:hint="cs"/>
          <w:rtl/>
        </w:rPr>
        <w:t>.</w:t>
      </w:r>
      <w:r w:rsidR="00220BA4">
        <w:t>3</w:t>
      </w:r>
      <w:r w:rsidR="002D69DC">
        <w:rPr>
          <w:rFonts w:hint="cs"/>
          <w:rtl/>
        </w:rPr>
        <w:t xml:space="preserve"> و</w:t>
      </w:r>
      <w:r w:rsidR="00220BA4">
        <w:t>11</w:t>
      </w:r>
      <w:r w:rsidR="00220BA4">
        <w:rPr>
          <w:rFonts w:hint="cs"/>
          <w:rtl/>
        </w:rPr>
        <w:t>.</w:t>
      </w:r>
      <w:r w:rsidR="00220BA4">
        <w:t>3</w:t>
      </w:r>
      <w:r w:rsidR="00220BA4">
        <w:rPr>
          <w:rFonts w:hint="cs"/>
          <w:rtl/>
        </w:rPr>
        <w:t xml:space="preserve"> فيما يتعلق بالنطاق </w:t>
      </w:r>
      <w:r w:rsidR="00220BA4" w:rsidRPr="00220BA4">
        <w:t>GHz 1</w:t>
      </w:r>
      <w:r w:rsidR="00220BA4">
        <w:t>5</w:t>
      </w:r>
      <w:r w:rsidR="00220BA4" w:rsidRPr="00220BA4">
        <w:t>,</w:t>
      </w:r>
      <w:r w:rsidR="00220BA4">
        <w:t>35</w:t>
      </w:r>
      <w:r w:rsidR="00220BA4" w:rsidRPr="00220BA4">
        <w:noBreakHyphen/>
        <w:t>14,</w:t>
      </w:r>
      <w:r w:rsidR="00220BA4">
        <w:t>8</w:t>
      </w:r>
    </w:p>
    <w:p w:rsidR="005E3E1E" w:rsidRDefault="005E3E1E" w:rsidP="00DA6EB7">
      <w:pPr>
        <w:pStyle w:val="enumlev1"/>
        <w:rPr>
          <w:noProof/>
          <w:rtl/>
          <w:lang w:bidi="ar-EG"/>
        </w:rPr>
      </w:pPr>
      <w:r>
        <w:rPr>
          <w:noProof/>
        </w:rPr>
        <w:sym w:font="Symbol" w:char="F0B7"/>
      </w:r>
      <w:r>
        <w:rPr>
          <w:noProof/>
          <w:rtl/>
        </w:rPr>
        <w:tab/>
      </w:r>
      <w:r w:rsidR="00F64E4A">
        <w:rPr>
          <w:rFonts w:hint="cs"/>
          <w:noProof/>
          <w:rtl/>
          <w:lang w:bidi="ar-EG"/>
        </w:rPr>
        <w:t xml:space="preserve">مشروع التقرير الجديد </w:t>
      </w:r>
      <w:r w:rsidR="00F64E4A">
        <w:t xml:space="preserve">ITU-R S.[R2R3.FSS] </w:t>
      </w:r>
      <w:r w:rsidR="00F64E4A">
        <w:rPr>
          <w:rFonts w:hint="cs"/>
          <w:rtl/>
        </w:rPr>
        <w:t xml:space="preserve"> </w:t>
      </w:r>
      <w:r w:rsidR="00F64E4A">
        <w:rPr>
          <w:rFonts w:hint="cs"/>
          <w:noProof/>
          <w:rtl/>
          <w:lang w:bidi="ar-EG"/>
        </w:rPr>
        <w:t xml:space="preserve">لفرقة العمل </w:t>
      </w:r>
      <w:r w:rsidR="00F64E4A">
        <w:t>4A</w:t>
      </w:r>
      <w:r w:rsidR="00F64E4A">
        <w:rPr>
          <w:rFonts w:hint="cs"/>
          <w:rtl/>
        </w:rPr>
        <w:t xml:space="preserve"> (الوثيقة </w:t>
      </w:r>
      <w:r w:rsidR="00F64E4A">
        <w:t>4/115</w:t>
      </w:r>
      <w:r w:rsidR="00F64E4A">
        <w:rPr>
          <w:rFonts w:hint="cs"/>
          <w:rtl/>
        </w:rPr>
        <w:t>) في أقسامه</w:t>
      </w:r>
      <w:r w:rsidR="00565B39">
        <w:rPr>
          <w:rFonts w:hint="eastAsia"/>
          <w:rtl/>
        </w:rPr>
        <w:t> </w:t>
      </w:r>
      <w:r w:rsidR="00F64E4A">
        <w:rPr>
          <w:rFonts w:hint="cs"/>
          <w:rtl/>
        </w:rPr>
        <w:t xml:space="preserve">التالية: </w:t>
      </w:r>
    </w:p>
    <w:p w:rsidR="005E3E1E" w:rsidRDefault="006C7479" w:rsidP="00F64E4A">
      <w:pPr>
        <w:pStyle w:val="enumlev2"/>
        <w:rPr>
          <w:noProof/>
          <w:rtl/>
        </w:rPr>
      </w:pPr>
      <w:r>
        <w:rPr>
          <w:rFonts w:hint="cs"/>
          <w:noProof/>
          <w:rtl/>
        </w:rPr>
        <w:t>-</w:t>
      </w:r>
      <w:r w:rsidR="005E3E1E">
        <w:rPr>
          <w:noProof/>
          <w:rtl/>
        </w:rPr>
        <w:tab/>
      </w:r>
      <w:r w:rsidR="00F64E4A">
        <w:t>8</w:t>
      </w:r>
      <w:r w:rsidR="00F64E4A">
        <w:rPr>
          <w:rFonts w:hint="cs"/>
          <w:rtl/>
        </w:rPr>
        <w:t>.</w:t>
      </w:r>
      <w:r w:rsidR="00F64E4A">
        <w:t>2</w:t>
      </w:r>
      <w:r w:rsidR="00F64E4A">
        <w:rPr>
          <w:rFonts w:hint="cs"/>
          <w:rtl/>
        </w:rPr>
        <w:t>.</w:t>
      </w:r>
      <w:r w:rsidR="00F64E4A">
        <w:t>3</w:t>
      </w:r>
      <w:r w:rsidR="002D69DC">
        <w:rPr>
          <w:rFonts w:hint="cs"/>
          <w:rtl/>
        </w:rPr>
        <w:t xml:space="preserve"> و</w:t>
      </w:r>
      <w:r w:rsidR="00F64E4A">
        <w:t>8</w:t>
      </w:r>
      <w:r w:rsidR="00F64E4A">
        <w:rPr>
          <w:rFonts w:hint="cs"/>
          <w:rtl/>
        </w:rPr>
        <w:t>.</w:t>
      </w:r>
      <w:r w:rsidR="00F64E4A">
        <w:t>3</w:t>
      </w:r>
      <w:r w:rsidR="00F64E4A">
        <w:rPr>
          <w:rFonts w:hint="cs"/>
          <w:rtl/>
        </w:rPr>
        <w:t xml:space="preserve">، فيما يتعلق بالنطاق </w:t>
      </w:r>
      <w:r w:rsidR="00F64E4A" w:rsidRPr="00220BA4">
        <w:t>GHz 14,8</w:t>
      </w:r>
      <w:r w:rsidR="00F64E4A" w:rsidRPr="00220BA4">
        <w:noBreakHyphen/>
        <w:t>14,5</w:t>
      </w:r>
      <w:r w:rsidR="00565B39">
        <w:rPr>
          <w:rFonts w:hint="cs"/>
          <w:rtl/>
        </w:rPr>
        <w:t>،</w:t>
      </w:r>
    </w:p>
    <w:p w:rsidR="005E3E1E" w:rsidRDefault="006C7479" w:rsidP="00475635">
      <w:pPr>
        <w:pStyle w:val="enumlev2"/>
        <w:rPr>
          <w:noProof/>
        </w:rPr>
      </w:pPr>
      <w:r>
        <w:rPr>
          <w:rFonts w:hint="cs"/>
          <w:noProof/>
          <w:rtl/>
        </w:rPr>
        <w:t>-</w:t>
      </w:r>
      <w:r w:rsidR="005E3E1E">
        <w:rPr>
          <w:noProof/>
          <w:rtl/>
        </w:rPr>
        <w:tab/>
      </w:r>
      <w:r w:rsidR="00F64E4A">
        <w:t>9</w:t>
      </w:r>
      <w:r w:rsidR="00F64E4A">
        <w:rPr>
          <w:rFonts w:hint="cs"/>
          <w:rtl/>
        </w:rPr>
        <w:t>.</w:t>
      </w:r>
      <w:r w:rsidR="00F64E4A">
        <w:t>2</w:t>
      </w:r>
      <w:r w:rsidR="00F64E4A">
        <w:rPr>
          <w:rFonts w:hint="cs"/>
          <w:rtl/>
        </w:rPr>
        <w:t>.</w:t>
      </w:r>
      <w:r w:rsidR="00F64E4A">
        <w:t>3</w:t>
      </w:r>
      <w:r w:rsidR="00F64E4A">
        <w:rPr>
          <w:rFonts w:hint="cs"/>
          <w:rtl/>
        </w:rPr>
        <w:t xml:space="preserve"> و</w:t>
      </w:r>
      <w:r w:rsidR="00F64E4A">
        <w:t>9</w:t>
      </w:r>
      <w:r w:rsidR="00F64E4A">
        <w:rPr>
          <w:rFonts w:hint="cs"/>
          <w:rtl/>
        </w:rPr>
        <w:t>.</w:t>
      </w:r>
      <w:r w:rsidR="00F64E4A">
        <w:t>3</w:t>
      </w:r>
      <w:r w:rsidR="00F64E4A">
        <w:rPr>
          <w:rFonts w:hint="cs"/>
          <w:rtl/>
        </w:rPr>
        <w:t xml:space="preserve">، فيما يتعلق بالنطاق </w:t>
      </w:r>
      <w:r w:rsidR="00F64E4A" w:rsidRPr="00220BA4">
        <w:t>GHz 1</w:t>
      </w:r>
      <w:r w:rsidR="00F64E4A">
        <w:t>5</w:t>
      </w:r>
      <w:r w:rsidR="00F64E4A" w:rsidRPr="00220BA4">
        <w:t>,</w:t>
      </w:r>
      <w:r w:rsidR="00F64E4A">
        <w:t>35</w:t>
      </w:r>
      <w:r w:rsidR="00F64E4A" w:rsidRPr="00220BA4">
        <w:noBreakHyphen/>
        <w:t>14,</w:t>
      </w:r>
      <w:r w:rsidR="00F64E4A">
        <w:t>8</w:t>
      </w:r>
    </w:p>
    <w:p w:rsidR="005E3E1E" w:rsidRPr="005E3E1E" w:rsidRDefault="006E0623" w:rsidP="002D69DC">
      <w:pPr>
        <w:rPr>
          <w:rtl/>
          <w:lang w:bidi="ar-EG"/>
        </w:rPr>
      </w:pPr>
      <w:r>
        <w:rPr>
          <w:rFonts w:hint="cs"/>
          <w:rtl/>
          <w:lang w:bidi="ar-EG"/>
        </w:rPr>
        <w:t xml:space="preserve">ترد </w:t>
      </w:r>
      <w:r w:rsidR="00915554">
        <w:rPr>
          <w:rFonts w:hint="cs"/>
          <w:rtl/>
          <w:lang w:bidi="ar-EG"/>
        </w:rPr>
        <w:t xml:space="preserve">نتائج </w:t>
      </w:r>
      <w:r>
        <w:rPr>
          <w:rFonts w:hint="cs"/>
          <w:rtl/>
          <w:lang w:bidi="ar-EG"/>
        </w:rPr>
        <w:t xml:space="preserve">هذه الدراسات، </w:t>
      </w:r>
      <w:r w:rsidR="00106641">
        <w:rPr>
          <w:rFonts w:hint="cs"/>
          <w:rtl/>
          <w:lang w:bidi="ar-EG"/>
        </w:rPr>
        <w:t xml:space="preserve">فيما يتعلق </w:t>
      </w:r>
      <w:r>
        <w:rPr>
          <w:rFonts w:hint="cs"/>
          <w:rtl/>
          <w:lang w:bidi="ar-EG"/>
        </w:rPr>
        <w:t>خصوص</w:t>
      </w:r>
      <w:r w:rsidR="00106641">
        <w:rPr>
          <w:rFonts w:hint="cs"/>
          <w:rtl/>
          <w:lang w:bidi="ar-EG"/>
        </w:rPr>
        <w:t>اً</w:t>
      </w:r>
      <w:r>
        <w:rPr>
          <w:rFonts w:hint="cs"/>
          <w:rtl/>
          <w:lang w:bidi="ar-EG"/>
        </w:rPr>
        <w:t xml:space="preserve"> ب</w:t>
      </w:r>
      <w:r w:rsidR="00915554">
        <w:rPr>
          <w:rFonts w:hint="cs"/>
          <w:rtl/>
          <w:lang w:bidi="ar-EG"/>
        </w:rPr>
        <w:t>ما يلي:</w:t>
      </w:r>
    </w:p>
    <w:p w:rsidR="005E3E1E" w:rsidRPr="00D62508" w:rsidRDefault="005E3E1E" w:rsidP="00D62508">
      <w:pPr>
        <w:rPr>
          <w:b/>
          <w:bCs/>
          <w:rtl/>
        </w:rPr>
      </w:pPr>
      <w:r w:rsidRPr="00D62508">
        <w:rPr>
          <w:b/>
          <w:bCs/>
        </w:rPr>
        <w:t>1</w:t>
      </w:r>
      <w:r w:rsidRPr="00D62508">
        <w:rPr>
          <w:b/>
          <w:bCs/>
        </w:rPr>
        <w:tab/>
      </w:r>
      <w:r w:rsidR="0094453E" w:rsidRPr="00D62508">
        <w:rPr>
          <w:rFonts w:hint="cs"/>
          <w:b/>
          <w:bCs/>
          <w:rtl/>
        </w:rPr>
        <w:t xml:space="preserve">النطاق </w:t>
      </w:r>
      <w:r w:rsidR="0094453E" w:rsidRPr="00D62508">
        <w:rPr>
          <w:b/>
          <w:bCs/>
        </w:rPr>
        <w:t>GHz 14,8</w:t>
      </w:r>
      <w:r w:rsidR="0094453E" w:rsidRPr="00D62508">
        <w:rPr>
          <w:b/>
          <w:bCs/>
        </w:rPr>
        <w:noBreakHyphen/>
        <w:t>14,5</w:t>
      </w:r>
      <w:r w:rsidR="0094453E" w:rsidRPr="00D62508">
        <w:rPr>
          <w:rFonts w:hint="cs"/>
          <w:b/>
          <w:bCs/>
          <w:rtl/>
        </w:rPr>
        <w:t>:</w:t>
      </w:r>
    </w:p>
    <w:p w:rsidR="001702F9" w:rsidRPr="001702F9" w:rsidRDefault="00B671B0" w:rsidP="00244671">
      <w:pPr>
        <w:pStyle w:val="enumlev1"/>
        <w:rPr>
          <w:rtl/>
          <w:lang w:bidi="ar"/>
        </w:rPr>
      </w:pPr>
      <w:r>
        <w:rPr>
          <w:rFonts w:hint="cs"/>
          <w:rtl/>
          <w:lang w:bidi="ar-EG"/>
        </w:rPr>
        <w:t xml:space="preserve"> </w:t>
      </w:r>
      <w:r w:rsidR="005E3E1E">
        <w:rPr>
          <w:rFonts w:hint="cs"/>
          <w:rtl/>
          <w:lang w:bidi="ar-EG"/>
        </w:rPr>
        <w:t>أ</w:t>
      </w:r>
      <w:r w:rsidR="00DB1597">
        <w:rPr>
          <w:rFonts w:hint="eastAsia"/>
          <w:rtl/>
          <w:lang w:bidi="ar-EG"/>
        </w:rPr>
        <w:t> )</w:t>
      </w:r>
      <w:r w:rsidR="005E3E1E">
        <w:rPr>
          <w:rFonts w:hint="cs"/>
          <w:rtl/>
          <w:lang w:bidi="ar-EG"/>
        </w:rPr>
        <w:tab/>
      </w:r>
      <w:r w:rsidR="005E3E1E" w:rsidRPr="00B67F42">
        <w:rPr>
          <w:rFonts w:hint="cs"/>
          <w:rtl/>
          <w:lang w:bidi="ar"/>
        </w:rPr>
        <w:t xml:space="preserve">نُفذت </w:t>
      </w:r>
      <w:r w:rsidR="005E3E1E" w:rsidRPr="00B67F42">
        <w:rPr>
          <w:rtl/>
          <w:lang w:bidi="ar"/>
        </w:rPr>
        <w:t>ثماني</w:t>
      </w:r>
      <w:r w:rsidR="005E3E1E" w:rsidRPr="00B67F42">
        <w:rPr>
          <w:rFonts w:hint="cs"/>
          <w:rtl/>
          <w:lang w:bidi="ar"/>
        </w:rPr>
        <w:t xml:space="preserve"> دراسات</w:t>
      </w:r>
      <w:r w:rsidR="00915554">
        <w:rPr>
          <w:rFonts w:hint="cs"/>
          <w:rtl/>
          <w:lang w:bidi="ar"/>
        </w:rPr>
        <w:t xml:space="preserve"> ونوقشت في الاجتماع التحضيري للمؤتمر</w:t>
      </w:r>
      <w:r w:rsidR="005E3E1E" w:rsidRPr="00B67F42">
        <w:rPr>
          <w:rFonts w:hint="cs"/>
          <w:rtl/>
          <w:lang w:bidi="ar"/>
        </w:rPr>
        <w:t xml:space="preserve"> </w:t>
      </w:r>
      <w:r w:rsidR="00915554">
        <w:rPr>
          <w:rFonts w:hint="cs"/>
          <w:rtl/>
          <w:lang w:bidi="ar"/>
        </w:rPr>
        <w:t xml:space="preserve">وعلى صعيد فرقة العمل </w:t>
      </w:r>
      <w:r w:rsidR="00915554">
        <w:t>4A</w:t>
      </w:r>
      <w:r w:rsidR="00915554">
        <w:rPr>
          <w:rFonts w:hint="cs"/>
          <w:rtl/>
          <w:lang w:bidi="ar"/>
        </w:rPr>
        <w:t xml:space="preserve"> وأُدرجت في التقارير ذات الصلة؛ </w:t>
      </w:r>
      <w:r w:rsidR="005E3E1E" w:rsidRPr="00B67F42">
        <w:rPr>
          <w:rFonts w:hint="cs"/>
          <w:rtl/>
          <w:lang w:bidi="ar"/>
        </w:rPr>
        <w:t xml:space="preserve">وتبين نتائج جميع الدراسات أن </w:t>
      </w:r>
      <w:r w:rsidR="0012145D">
        <w:rPr>
          <w:rFonts w:hint="cs"/>
          <w:rtl/>
          <w:lang w:bidi="ar"/>
        </w:rPr>
        <w:t xml:space="preserve">تجاوز </w:t>
      </w:r>
      <w:r w:rsidR="005E3E1E" w:rsidRPr="00B67F42">
        <w:rPr>
          <w:rFonts w:hint="cs"/>
          <w:rtl/>
          <w:lang w:bidi="ar"/>
        </w:rPr>
        <w:t xml:space="preserve">التداخل من الخدمة الثابتة الساتلية (أرض-فضاء) على الخدمة المتنقلة للطيران </w:t>
      </w:r>
      <w:r w:rsidR="0012145D">
        <w:rPr>
          <w:rFonts w:hint="cs"/>
          <w:rtl/>
          <w:lang w:bidi="ar"/>
        </w:rPr>
        <w:t>ل</w:t>
      </w:r>
      <w:r w:rsidR="0012145D" w:rsidRPr="00B67F42">
        <w:rPr>
          <w:rFonts w:hint="cs"/>
          <w:rtl/>
          <w:lang w:bidi="ar"/>
        </w:rPr>
        <w:t>معيار الحماية</w:t>
      </w:r>
      <w:r w:rsidR="0012145D" w:rsidRPr="00B67F42">
        <w:rPr>
          <w:rtl/>
          <w:lang w:bidi="ar"/>
        </w:rPr>
        <w:t xml:space="preserve"> </w:t>
      </w:r>
      <w:r w:rsidR="0012145D">
        <w:rPr>
          <w:rFonts w:hint="cs"/>
          <w:rtl/>
          <w:lang w:bidi="ar"/>
        </w:rPr>
        <w:t xml:space="preserve">يتوقف على المسافة الفاصلة بين </w:t>
      </w:r>
      <w:r w:rsidR="005E3E1E" w:rsidRPr="00B67F42">
        <w:rPr>
          <w:rtl/>
          <w:lang w:bidi="ar"/>
        </w:rPr>
        <w:t xml:space="preserve">محطة </w:t>
      </w:r>
      <w:r w:rsidR="0012145D">
        <w:rPr>
          <w:rFonts w:hint="cs"/>
          <w:rtl/>
          <w:lang w:bidi="ar"/>
        </w:rPr>
        <w:t xml:space="preserve">استقبال في </w:t>
      </w:r>
      <w:r w:rsidR="005E3E1E" w:rsidRPr="00B67F42">
        <w:rPr>
          <w:rFonts w:hint="cs"/>
          <w:rtl/>
          <w:lang w:bidi="ar"/>
        </w:rPr>
        <w:t>ا</w:t>
      </w:r>
      <w:r w:rsidR="005E3E1E" w:rsidRPr="00B67F42">
        <w:rPr>
          <w:rtl/>
          <w:lang w:bidi="ar"/>
        </w:rPr>
        <w:t>لخدمة المتنقلة للطيران</w:t>
      </w:r>
      <w:r w:rsidR="005E3E1E" w:rsidRPr="00B67F42">
        <w:rPr>
          <w:rFonts w:hint="cs"/>
          <w:rtl/>
          <w:lang w:bidi="ar"/>
        </w:rPr>
        <w:t xml:space="preserve"> </w:t>
      </w:r>
      <w:r w:rsidR="0012145D">
        <w:rPr>
          <w:rFonts w:hint="cs"/>
          <w:rtl/>
          <w:lang w:bidi="ar"/>
        </w:rPr>
        <w:t>و</w:t>
      </w:r>
      <w:r w:rsidR="00453B15">
        <w:rPr>
          <w:rFonts w:hint="cs"/>
          <w:rtl/>
          <w:lang w:bidi="ar"/>
        </w:rPr>
        <w:t>م</w:t>
      </w:r>
      <w:r w:rsidR="005E3E1E" w:rsidRPr="00B67F42">
        <w:rPr>
          <w:rtl/>
          <w:lang w:bidi="ar"/>
        </w:rPr>
        <w:t xml:space="preserve">حطة </w:t>
      </w:r>
      <w:r w:rsidR="00453B15" w:rsidRPr="00B67F42">
        <w:rPr>
          <w:rtl/>
          <w:lang w:bidi="ar"/>
        </w:rPr>
        <w:t xml:space="preserve">أرضية </w:t>
      </w:r>
      <w:r w:rsidR="00453B15">
        <w:rPr>
          <w:rFonts w:hint="cs"/>
          <w:rtl/>
          <w:lang w:bidi="ar"/>
        </w:rPr>
        <w:t>في</w:t>
      </w:r>
      <w:r w:rsidR="00244671">
        <w:rPr>
          <w:rFonts w:hint="eastAsia"/>
          <w:rtl/>
          <w:lang w:bidi="ar"/>
        </w:rPr>
        <w:t> </w:t>
      </w:r>
      <w:r w:rsidR="005E3E1E" w:rsidRPr="00B67F42">
        <w:rPr>
          <w:rFonts w:hint="cs"/>
          <w:rtl/>
          <w:lang w:bidi="ar"/>
        </w:rPr>
        <w:t>ا</w:t>
      </w:r>
      <w:r w:rsidR="005E3E1E" w:rsidRPr="00B67F42">
        <w:rPr>
          <w:rtl/>
          <w:lang w:bidi="ar"/>
        </w:rPr>
        <w:t xml:space="preserve">لخدمة </w:t>
      </w:r>
      <w:r w:rsidR="00453B15">
        <w:rPr>
          <w:rFonts w:hint="cs"/>
          <w:rtl/>
          <w:lang w:bidi="ar"/>
        </w:rPr>
        <w:t>الثابتة الساتلية. بيد أن محطات الخدمة المتنقلة للطيران (ل</w:t>
      </w:r>
      <w:r w:rsidR="00E220B0">
        <w:rPr>
          <w:rFonts w:hint="cs"/>
          <w:rtl/>
          <w:lang w:bidi="ar"/>
        </w:rPr>
        <w:t>لطائرة</w:t>
      </w:r>
      <w:r w:rsidR="00453B15">
        <w:rPr>
          <w:rFonts w:hint="cs"/>
          <w:rtl/>
          <w:lang w:bidi="ar"/>
        </w:rPr>
        <w:t xml:space="preserve"> والبرية) هي محطات متنقلة بطبيعتها؛ وبالتالي، </w:t>
      </w:r>
      <w:r w:rsidR="001702F9">
        <w:rPr>
          <w:rFonts w:hint="cs"/>
          <w:rtl/>
          <w:lang w:bidi="ar"/>
        </w:rPr>
        <w:t>لا</w:t>
      </w:r>
      <w:r w:rsidR="008E46D8">
        <w:rPr>
          <w:rFonts w:hint="eastAsia"/>
          <w:rtl/>
          <w:lang w:bidi="ar"/>
        </w:rPr>
        <w:t> </w:t>
      </w:r>
      <w:r w:rsidR="001702F9">
        <w:rPr>
          <w:rFonts w:hint="cs"/>
          <w:rtl/>
          <w:lang w:bidi="ar"/>
        </w:rPr>
        <w:t>يمكن</w:t>
      </w:r>
      <w:r w:rsidR="00453B15">
        <w:rPr>
          <w:rFonts w:hint="cs"/>
          <w:rtl/>
          <w:lang w:bidi="ar"/>
        </w:rPr>
        <w:t xml:space="preserve"> </w:t>
      </w:r>
      <w:r w:rsidR="001702F9">
        <w:rPr>
          <w:rFonts w:hint="cs"/>
          <w:rtl/>
          <w:lang w:bidi="ar"/>
        </w:rPr>
        <w:t xml:space="preserve">عملياً وضع حد أدنى لمسافة الفصل فيما يتعلق بمحطة </w:t>
      </w:r>
      <w:r w:rsidR="00E220B0">
        <w:rPr>
          <w:rFonts w:hint="cs"/>
          <w:rtl/>
          <w:lang w:bidi="ar"/>
        </w:rPr>
        <w:t xml:space="preserve">إرسال </w:t>
      </w:r>
      <w:r w:rsidR="001702F9">
        <w:rPr>
          <w:rFonts w:hint="cs"/>
          <w:rtl/>
          <w:lang w:bidi="ar"/>
        </w:rPr>
        <w:t>أرضية في</w:t>
      </w:r>
      <w:r w:rsidR="00565B39">
        <w:rPr>
          <w:rFonts w:hint="eastAsia"/>
          <w:rtl/>
          <w:lang w:bidi="ar"/>
        </w:rPr>
        <w:t> </w:t>
      </w:r>
      <w:r w:rsidR="001702F9">
        <w:rPr>
          <w:rFonts w:hint="cs"/>
          <w:rtl/>
          <w:lang w:bidi="ar"/>
        </w:rPr>
        <w:t>الخدمة الثابتة</w:t>
      </w:r>
      <w:r w:rsidR="00565B39">
        <w:rPr>
          <w:rFonts w:hint="eastAsia"/>
          <w:rtl/>
          <w:lang w:bidi="ar"/>
        </w:rPr>
        <w:t> </w:t>
      </w:r>
      <w:r w:rsidR="008E46D8">
        <w:rPr>
          <w:rFonts w:hint="cs"/>
          <w:rtl/>
          <w:lang w:bidi="ar"/>
        </w:rPr>
        <w:t>الساتلية.</w:t>
      </w:r>
    </w:p>
    <w:p w:rsidR="005E3E1E" w:rsidRDefault="005E3E1E" w:rsidP="001702F9">
      <w:pPr>
        <w:pStyle w:val="enumlev1"/>
        <w:rPr>
          <w:rtl/>
          <w:lang w:bidi="ar"/>
        </w:rPr>
      </w:pPr>
      <w:r>
        <w:rPr>
          <w:rFonts w:hint="cs"/>
          <w:rtl/>
          <w:lang w:bidi="ar"/>
        </w:rPr>
        <w:t>ب</w:t>
      </w:r>
      <w:r w:rsidR="00DB1597">
        <w:rPr>
          <w:rFonts w:hint="cs"/>
          <w:rtl/>
          <w:lang w:bidi="ar"/>
        </w:rPr>
        <w:t>)</w:t>
      </w:r>
      <w:r>
        <w:rPr>
          <w:rFonts w:hint="cs"/>
          <w:rtl/>
          <w:lang w:bidi="ar"/>
        </w:rPr>
        <w:tab/>
      </w:r>
      <w:r w:rsidR="001702F9">
        <w:rPr>
          <w:rFonts w:hint="cs"/>
          <w:rtl/>
          <w:lang w:bidi="ar"/>
        </w:rPr>
        <w:t>أظهرت الدراسات</w:t>
      </w:r>
      <w:r>
        <w:rPr>
          <w:rFonts w:hint="cs"/>
          <w:rtl/>
          <w:lang w:bidi="ar"/>
        </w:rPr>
        <w:t>:</w:t>
      </w:r>
    </w:p>
    <w:p w:rsidR="005E3E1E" w:rsidRDefault="005E3E1E" w:rsidP="00475635">
      <w:pPr>
        <w:pStyle w:val="enumlev2"/>
        <w:rPr>
          <w:color w:val="000000"/>
        </w:rPr>
      </w:pPr>
      <w:r>
        <w:rPr>
          <w:rFonts w:hint="cs"/>
          <w:rtl/>
          <w:lang w:bidi="ar-EG"/>
        </w:rPr>
        <w:t>’</w:t>
      </w:r>
      <w:r w:rsidR="00A02E4B">
        <w:rPr>
          <w:lang w:bidi="ar-EG"/>
        </w:rPr>
        <w:t>1</w:t>
      </w:r>
      <w:r w:rsidR="00A02E4B">
        <w:rPr>
          <w:rFonts w:hint="cs"/>
          <w:rtl/>
          <w:lang w:bidi="ar-EG"/>
        </w:rPr>
        <w:t>‘</w:t>
      </w:r>
      <w:r w:rsidR="00D06A45">
        <w:rPr>
          <w:lang w:bidi="ar-EG"/>
        </w:rPr>
        <w:tab/>
      </w:r>
      <w:r w:rsidR="00D06A45" w:rsidRPr="00B67F42">
        <w:rPr>
          <w:spacing w:val="-2"/>
          <w:rtl/>
          <w:lang w:bidi="ar-EG"/>
        </w:rPr>
        <w:t xml:space="preserve">أنه لا يمكن حماية أنظمة الخدمة المتنقلة للطيران </w:t>
      </w:r>
      <w:r w:rsidR="00D06A45" w:rsidRPr="00B67F42">
        <w:rPr>
          <w:color w:val="000000"/>
          <w:rtl/>
        </w:rPr>
        <w:t xml:space="preserve">إلا عندما تكون مسافات الفصل بين محطة الإرسال الأرضية في الخدمة </w:t>
      </w:r>
      <w:r w:rsidR="00E220B0">
        <w:rPr>
          <w:rFonts w:hint="cs"/>
          <w:color w:val="000000"/>
          <w:rtl/>
        </w:rPr>
        <w:t>الثابتة الساتلية</w:t>
      </w:r>
      <w:r w:rsidR="00D06A45" w:rsidRPr="00B67F42">
        <w:rPr>
          <w:color w:val="000000"/>
          <w:rtl/>
        </w:rPr>
        <w:t xml:space="preserve"> ومحطة </w:t>
      </w:r>
      <w:r w:rsidR="00E220B0">
        <w:rPr>
          <w:rFonts w:hint="cs"/>
          <w:color w:val="000000"/>
          <w:rtl/>
        </w:rPr>
        <w:t xml:space="preserve">الطائرة </w:t>
      </w:r>
      <w:r w:rsidR="00304CFF">
        <w:rPr>
          <w:rFonts w:hint="cs"/>
          <w:color w:val="000000"/>
          <w:rtl/>
        </w:rPr>
        <w:t>ل</w:t>
      </w:r>
      <w:r w:rsidR="00D06A45" w:rsidRPr="00B67F42">
        <w:rPr>
          <w:color w:val="000000"/>
          <w:rtl/>
        </w:rPr>
        <w:t xml:space="preserve">لخدمة </w:t>
      </w:r>
      <w:r w:rsidR="00E220B0">
        <w:rPr>
          <w:rFonts w:hint="cs"/>
          <w:color w:val="000000"/>
          <w:rtl/>
        </w:rPr>
        <w:t>المتنقلة للطيران</w:t>
      </w:r>
      <w:r w:rsidR="00D06A45" w:rsidRPr="00B67F42">
        <w:rPr>
          <w:color w:val="000000"/>
          <w:rtl/>
        </w:rPr>
        <w:t xml:space="preserve"> في المدى </w:t>
      </w:r>
      <w:r w:rsidR="00D06A45" w:rsidRPr="00B67F42">
        <w:rPr>
          <w:color w:val="000000"/>
        </w:rPr>
        <w:t>km</w:t>
      </w:r>
      <w:r w:rsidR="00475635">
        <w:rPr>
          <w:color w:val="000000"/>
        </w:rPr>
        <w:t> </w:t>
      </w:r>
      <w:r w:rsidR="00D06A45" w:rsidRPr="00B67F42">
        <w:rPr>
          <w:color w:val="000000"/>
        </w:rPr>
        <w:t>575</w:t>
      </w:r>
      <w:r w:rsidR="00475635">
        <w:rPr>
          <w:color w:val="000000"/>
        </w:rPr>
        <w:noBreakHyphen/>
      </w:r>
      <w:r w:rsidR="00D06A45" w:rsidRPr="00B67F42">
        <w:rPr>
          <w:color w:val="000000"/>
        </w:rPr>
        <w:t>400</w:t>
      </w:r>
      <w:r w:rsidR="00D06A45" w:rsidRPr="00B67F42">
        <w:rPr>
          <w:color w:val="000000"/>
          <w:rtl/>
        </w:rPr>
        <w:t xml:space="preserve"> بالنسبة لارتفاع الطائرة البالغ </w:t>
      </w:r>
      <w:r w:rsidR="00D06A45" w:rsidRPr="00B67F42">
        <w:rPr>
          <w:color w:val="000000"/>
        </w:rPr>
        <w:t>km</w:t>
      </w:r>
      <w:r w:rsidR="00475635">
        <w:rPr>
          <w:color w:val="000000"/>
        </w:rPr>
        <w:t> </w:t>
      </w:r>
      <w:r w:rsidR="00D06A45" w:rsidRPr="00B67F42">
        <w:rPr>
          <w:color w:val="000000"/>
        </w:rPr>
        <w:t>19</w:t>
      </w:r>
      <w:r w:rsidR="00D06A45" w:rsidRPr="00B67F42">
        <w:rPr>
          <w:color w:val="000000"/>
          <w:rtl/>
        </w:rPr>
        <w:t xml:space="preserve"> وفي المدى </w:t>
      </w:r>
      <w:r w:rsidR="00D06A45" w:rsidRPr="00B67F42">
        <w:rPr>
          <w:color w:val="000000"/>
        </w:rPr>
        <w:t>km 180-150</w:t>
      </w:r>
      <w:r w:rsidR="00D06A45" w:rsidRPr="00B67F42">
        <w:rPr>
          <w:color w:val="000000"/>
          <w:rtl/>
        </w:rPr>
        <w:t xml:space="preserve"> بالنسبة لارتفاع الطائرة البالغ </w:t>
      </w:r>
      <w:r w:rsidR="00D06A45" w:rsidRPr="00B67F42">
        <w:rPr>
          <w:color w:val="000000"/>
        </w:rPr>
        <w:t>km</w:t>
      </w:r>
      <w:r w:rsidR="00475635">
        <w:rPr>
          <w:color w:val="000000"/>
        </w:rPr>
        <w:t> </w:t>
      </w:r>
      <w:r w:rsidR="00D06A45" w:rsidRPr="00B67F42">
        <w:rPr>
          <w:color w:val="000000"/>
        </w:rPr>
        <w:t>2,4</w:t>
      </w:r>
      <w:r w:rsidR="00D06A45" w:rsidRPr="00B67F42">
        <w:rPr>
          <w:color w:val="000000"/>
          <w:rtl/>
        </w:rPr>
        <w:t>.</w:t>
      </w:r>
      <w:r w:rsidR="00E220B0">
        <w:rPr>
          <w:rFonts w:hint="cs"/>
          <w:color w:val="000000"/>
          <w:rtl/>
        </w:rPr>
        <w:t xml:space="preserve"> وهذا يعني الاستبعاد ال</w:t>
      </w:r>
      <w:r w:rsidR="00754A73">
        <w:rPr>
          <w:rFonts w:hint="cs"/>
          <w:color w:val="000000"/>
          <w:rtl/>
        </w:rPr>
        <w:t>فعلي لإمكانية عمل محطة طائرة</w:t>
      </w:r>
      <w:r w:rsidR="00E220B0">
        <w:rPr>
          <w:rFonts w:hint="cs"/>
          <w:color w:val="000000"/>
          <w:rtl/>
        </w:rPr>
        <w:t xml:space="preserve"> للخدمة المتنقلة للطيران في هذه</w:t>
      </w:r>
      <w:r w:rsidR="00565B39">
        <w:rPr>
          <w:rFonts w:hint="eastAsia"/>
          <w:rtl/>
          <w:lang w:bidi="ar"/>
        </w:rPr>
        <w:t> </w:t>
      </w:r>
      <w:r w:rsidR="00E220B0">
        <w:rPr>
          <w:rFonts w:hint="cs"/>
          <w:color w:val="000000"/>
          <w:rtl/>
        </w:rPr>
        <w:t>المناطق.</w:t>
      </w:r>
    </w:p>
    <w:p w:rsidR="00D06A45" w:rsidRPr="00291361" w:rsidRDefault="00D06A45" w:rsidP="003F714A">
      <w:pPr>
        <w:pStyle w:val="enumlev2"/>
        <w:rPr>
          <w:spacing w:val="-2"/>
          <w:lang w:bidi="ar-EG"/>
        </w:rPr>
      </w:pPr>
      <w:r>
        <w:rPr>
          <w:rFonts w:hint="cs"/>
          <w:rtl/>
          <w:lang w:bidi="ar-EG"/>
        </w:rPr>
        <w:t>’</w:t>
      </w:r>
      <w:r>
        <w:rPr>
          <w:lang w:bidi="ar-EG"/>
        </w:rPr>
        <w:t>2</w:t>
      </w:r>
      <w:r>
        <w:rPr>
          <w:rFonts w:hint="cs"/>
          <w:rtl/>
          <w:lang w:bidi="ar-EG"/>
        </w:rPr>
        <w:t>‘</w:t>
      </w:r>
      <w:r>
        <w:rPr>
          <w:lang w:bidi="ar-EG"/>
        </w:rPr>
        <w:tab/>
      </w:r>
      <w:r w:rsidR="00304CFF">
        <w:rPr>
          <w:rFonts w:hint="cs"/>
          <w:rtl/>
          <w:lang w:bidi="ar-EG"/>
        </w:rPr>
        <w:t>أن فرض حجم أدنى لهوائي محطة أرضية في الخدمة الثابتة الساتلية لا</w:t>
      </w:r>
      <w:r w:rsidR="003F714A">
        <w:rPr>
          <w:rFonts w:hint="eastAsia"/>
          <w:rtl/>
          <w:lang w:bidi="ar-EG"/>
        </w:rPr>
        <w:t> </w:t>
      </w:r>
      <w:r w:rsidR="00304CFF">
        <w:rPr>
          <w:rFonts w:hint="cs"/>
          <w:rtl/>
          <w:lang w:bidi="ar-EG"/>
        </w:rPr>
        <w:t xml:space="preserve">يؤثر تأثيراً هاماً على </w:t>
      </w:r>
      <w:r w:rsidR="00754A73">
        <w:rPr>
          <w:rFonts w:hint="cs"/>
          <w:rtl/>
          <w:lang w:bidi="ar-EG"/>
        </w:rPr>
        <w:t xml:space="preserve">حماية محطة </w:t>
      </w:r>
      <w:r w:rsidR="00304CFF">
        <w:rPr>
          <w:rFonts w:hint="cs"/>
          <w:rtl/>
          <w:lang w:bidi="ar-EG"/>
        </w:rPr>
        <w:t>طائرة للخدمة المتنقلة</w:t>
      </w:r>
      <w:r w:rsidR="00565B39">
        <w:rPr>
          <w:rFonts w:hint="eastAsia"/>
          <w:rtl/>
          <w:lang w:bidi="ar"/>
        </w:rPr>
        <w:t> </w:t>
      </w:r>
      <w:r w:rsidR="00304CFF">
        <w:rPr>
          <w:rFonts w:hint="cs"/>
          <w:rtl/>
          <w:lang w:bidi="ar-EG"/>
        </w:rPr>
        <w:t xml:space="preserve">للطيران. </w:t>
      </w:r>
    </w:p>
    <w:p w:rsidR="00D06A45" w:rsidRDefault="00D06A45" w:rsidP="00642D4F">
      <w:pPr>
        <w:pStyle w:val="enumlev2"/>
        <w:rPr>
          <w:spacing w:val="-2"/>
          <w:rtl/>
          <w:lang w:bidi="ar-EG"/>
        </w:rPr>
      </w:pPr>
      <w:r w:rsidRPr="00D03C14">
        <w:rPr>
          <w:rFonts w:hint="cs"/>
          <w:rtl/>
          <w:lang w:bidi="ar-EG"/>
        </w:rPr>
        <w:t>’</w:t>
      </w:r>
      <w:r w:rsidRPr="00D03C14">
        <w:rPr>
          <w:lang w:bidi="ar-EG"/>
        </w:rPr>
        <w:t>3</w:t>
      </w:r>
      <w:r w:rsidRPr="00D03C14">
        <w:rPr>
          <w:rFonts w:hint="cs"/>
          <w:rtl/>
          <w:lang w:bidi="ar-EG"/>
        </w:rPr>
        <w:t>‘</w:t>
      </w:r>
      <w:r w:rsidRPr="00D03C14">
        <w:rPr>
          <w:lang w:bidi="ar-EG"/>
        </w:rPr>
        <w:tab/>
      </w:r>
      <w:r w:rsidRPr="00D03C14">
        <w:rPr>
          <w:rtl/>
        </w:rPr>
        <w:t xml:space="preserve">أن احتمال تجاوز التداخل الناجم عن محطة أرضية في الخدمة الثابتة الساتلية معيار حماية محطة طائرة للخدمة المتنقلة للطيران </w:t>
      </w:r>
      <w:r w:rsidR="00754A73">
        <w:rPr>
          <w:rFonts w:hint="cs"/>
          <w:rtl/>
        </w:rPr>
        <w:t>عاملة</w:t>
      </w:r>
      <w:r w:rsidR="00D03C14" w:rsidRPr="00D03C14">
        <w:rPr>
          <w:rtl/>
        </w:rPr>
        <w:t xml:space="preserve"> </w:t>
      </w:r>
      <w:r w:rsidR="00D03C14" w:rsidRPr="00D03C14">
        <w:rPr>
          <w:rFonts w:hint="cs"/>
          <w:rtl/>
        </w:rPr>
        <w:t xml:space="preserve">في ارتفاع </w:t>
      </w:r>
      <w:r w:rsidR="00D03C14">
        <w:rPr>
          <w:rFonts w:hint="cs"/>
          <w:rtl/>
        </w:rPr>
        <w:t>يتراوح بين</w:t>
      </w:r>
      <w:r w:rsidR="00D03C14" w:rsidRPr="00D03C14">
        <w:rPr>
          <w:rFonts w:hint="cs"/>
          <w:rtl/>
        </w:rPr>
        <w:t xml:space="preserve"> </w:t>
      </w:r>
      <w:r w:rsidR="00D03C14" w:rsidRPr="00D03C14">
        <w:t>1</w:t>
      </w:r>
      <w:r w:rsidR="00172C07">
        <w:t> </w:t>
      </w:r>
      <w:r w:rsidR="00D03C14" w:rsidRPr="00D03C14">
        <w:t>000</w:t>
      </w:r>
      <w:r w:rsidR="00D03C14" w:rsidRPr="00D03C14">
        <w:rPr>
          <w:rFonts w:hint="cs"/>
          <w:rtl/>
        </w:rPr>
        <w:t xml:space="preserve"> </w:t>
      </w:r>
      <w:r w:rsidR="00D03C14" w:rsidRPr="00D03C14">
        <w:t>m</w:t>
      </w:r>
      <w:r w:rsidR="00D03C14" w:rsidRPr="00D03C14">
        <w:rPr>
          <w:rFonts w:hint="cs"/>
          <w:rtl/>
        </w:rPr>
        <w:t xml:space="preserve"> و</w:t>
      </w:r>
      <w:r w:rsidR="003A7BC8">
        <w:t>20</w:t>
      </w:r>
      <w:r w:rsidR="00172C07">
        <w:t> </w:t>
      </w:r>
      <w:r w:rsidR="003A7BC8">
        <w:t>000</w:t>
      </w:r>
      <w:r w:rsidRPr="00D03C14">
        <w:rPr>
          <w:rtl/>
        </w:rPr>
        <w:t xml:space="preserve"> </w:t>
      </w:r>
      <w:r w:rsidR="00D03C14" w:rsidRPr="00D03C14">
        <w:t>m</w:t>
      </w:r>
      <w:r w:rsidR="00D03C14" w:rsidRPr="00D03C14">
        <w:rPr>
          <w:rFonts w:hint="cs"/>
          <w:rtl/>
        </w:rPr>
        <w:t xml:space="preserve"> </w:t>
      </w:r>
      <w:r w:rsidR="00C90882">
        <w:rPr>
          <w:rFonts w:hint="cs"/>
          <w:rtl/>
        </w:rPr>
        <w:t xml:space="preserve">يتراوح بين </w:t>
      </w:r>
      <w:r w:rsidR="00C90882" w:rsidRPr="00D03C14">
        <w:t>%25</w:t>
      </w:r>
      <w:r w:rsidR="00C90882" w:rsidRPr="00D03C14">
        <w:rPr>
          <w:rtl/>
        </w:rPr>
        <w:t xml:space="preserve"> و</w:t>
      </w:r>
      <w:r w:rsidR="00C90882" w:rsidRPr="00D03C14">
        <w:t>%32</w:t>
      </w:r>
      <w:r w:rsidR="00C90882" w:rsidRPr="00D03C14">
        <w:rPr>
          <w:rtl/>
        </w:rPr>
        <w:t xml:space="preserve"> </w:t>
      </w:r>
      <w:r w:rsidR="00C90882">
        <w:rPr>
          <w:rFonts w:hint="cs"/>
          <w:rtl/>
        </w:rPr>
        <w:t xml:space="preserve">عندما تكون هذه المحطة تعمل على </w:t>
      </w:r>
      <w:r w:rsidRPr="00D03C14">
        <w:rPr>
          <w:rtl/>
        </w:rPr>
        <w:t xml:space="preserve">مسافة </w:t>
      </w:r>
      <w:r w:rsidR="00C90882">
        <w:rPr>
          <w:rFonts w:hint="cs"/>
          <w:rtl/>
        </w:rPr>
        <w:t xml:space="preserve">تتراوح بين </w:t>
      </w:r>
      <w:r w:rsidRPr="00D03C14">
        <w:t>0</w:t>
      </w:r>
      <w:r w:rsidRPr="00D03C14">
        <w:rPr>
          <w:rtl/>
        </w:rPr>
        <w:t xml:space="preserve"> </w:t>
      </w:r>
      <w:r w:rsidR="00C90882">
        <w:rPr>
          <w:rFonts w:hint="cs"/>
          <w:rtl/>
        </w:rPr>
        <w:t>و</w:t>
      </w:r>
      <w:r w:rsidRPr="00D03C14">
        <w:t>km 450</w:t>
      </w:r>
      <w:r w:rsidR="00C90882">
        <w:rPr>
          <w:rFonts w:hint="cs"/>
          <w:rtl/>
        </w:rPr>
        <w:t xml:space="preserve"> من المحطة الأرضية للخدمة الثابتة الساتلية.</w:t>
      </w:r>
      <w:r w:rsidR="00C90882" w:rsidRPr="00D03C14">
        <w:rPr>
          <w:color w:val="000000"/>
          <w:rtl/>
        </w:rPr>
        <w:t xml:space="preserve"> </w:t>
      </w:r>
      <w:r w:rsidR="00C90882">
        <w:rPr>
          <w:color w:val="000000"/>
          <w:rtl/>
        </w:rPr>
        <w:t>ولا</w:t>
      </w:r>
      <w:r w:rsidR="00642D4F">
        <w:rPr>
          <w:rFonts w:hint="cs"/>
          <w:color w:val="000000"/>
          <w:rtl/>
        </w:rPr>
        <w:t> </w:t>
      </w:r>
      <w:r w:rsidR="00C90882">
        <w:rPr>
          <w:rFonts w:hint="cs"/>
          <w:color w:val="000000"/>
          <w:rtl/>
        </w:rPr>
        <w:t>ترتبط</w:t>
      </w:r>
      <w:r w:rsidR="00C90882">
        <w:rPr>
          <w:color w:val="000000"/>
          <w:rtl/>
        </w:rPr>
        <w:t xml:space="preserve"> </w:t>
      </w:r>
      <w:r w:rsidRPr="00D03C14">
        <w:rPr>
          <w:color w:val="000000"/>
          <w:rtl/>
        </w:rPr>
        <w:t xml:space="preserve">نتائج هذا السيناريو </w:t>
      </w:r>
      <w:r w:rsidR="00C90882">
        <w:rPr>
          <w:rFonts w:hint="cs"/>
          <w:color w:val="000000"/>
          <w:rtl/>
        </w:rPr>
        <w:t>ب</w:t>
      </w:r>
      <w:r w:rsidRPr="00D03C14">
        <w:rPr>
          <w:color w:val="000000"/>
          <w:rtl/>
        </w:rPr>
        <w:t xml:space="preserve">موقع المحطة البرية للخدمة </w:t>
      </w:r>
      <w:r w:rsidR="00C90882">
        <w:rPr>
          <w:rFonts w:hint="cs"/>
          <w:color w:val="000000"/>
          <w:rtl/>
        </w:rPr>
        <w:t>المتنقلة</w:t>
      </w:r>
      <w:r w:rsidR="00565B39">
        <w:rPr>
          <w:rFonts w:hint="eastAsia"/>
          <w:rtl/>
          <w:lang w:bidi="ar"/>
        </w:rPr>
        <w:t> </w:t>
      </w:r>
      <w:r w:rsidR="00C90882">
        <w:rPr>
          <w:rFonts w:hint="cs"/>
          <w:color w:val="000000"/>
          <w:rtl/>
        </w:rPr>
        <w:t>للطيران</w:t>
      </w:r>
      <w:r w:rsidRPr="00D03C14">
        <w:rPr>
          <w:color w:val="000000"/>
          <w:rtl/>
        </w:rPr>
        <w:t>.</w:t>
      </w:r>
    </w:p>
    <w:p w:rsidR="00E13094" w:rsidRPr="00B671B0" w:rsidRDefault="00437E4B" w:rsidP="00B72829">
      <w:pPr>
        <w:pStyle w:val="enumlev2"/>
        <w:rPr>
          <w:spacing w:val="-2"/>
          <w:rtl/>
          <w:lang w:bidi="ar-EG"/>
        </w:rPr>
      </w:pPr>
      <w:r w:rsidRPr="00B671B0">
        <w:rPr>
          <w:rFonts w:hint="cs"/>
          <w:spacing w:val="-2"/>
          <w:rtl/>
          <w:lang w:bidi="ar-EG"/>
        </w:rPr>
        <w:t>’</w:t>
      </w:r>
      <w:r w:rsidRPr="00B671B0">
        <w:rPr>
          <w:spacing w:val="-2"/>
          <w:lang w:bidi="ar-EG"/>
        </w:rPr>
        <w:t>4</w:t>
      </w:r>
      <w:r w:rsidRPr="00B671B0">
        <w:rPr>
          <w:rFonts w:hint="cs"/>
          <w:spacing w:val="-2"/>
          <w:rtl/>
          <w:lang w:bidi="ar-EG"/>
        </w:rPr>
        <w:t>‘</w:t>
      </w:r>
      <w:r w:rsidRPr="00B671B0">
        <w:rPr>
          <w:spacing w:val="-2"/>
          <w:lang w:bidi="ar-EG"/>
        </w:rPr>
        <w:tab/>
      </w:r>
      <w:r w:rsidR="003A7BC8" w:rsidRPr="00B671B0">
        <w:rPr>
          <w:rFonts w:hint="cs"/>
          <w:spacing w:val="-2"/>
          <w:rtl/>
          <w:lang w:bidi="ar-EG"/>
        </w:rPr>
        <w:t>عند</w:t>
      </w:r>
      <w:r w:rsidR="00C90882" w:rsidRPr="00B671B0">
        <w:rPr>
          <w:rFonts w:hint="cs"/>
          <w:spacing w:val="-2"/>
          <w:rtl/>
          <w:lang w:bidi="ar-EG"/>
        </w:rPr>
        <w:t xml:space="preserve"> تجاوز </w:t>
      </w:r>
      <w:r w:rsidR="003A7BC8" w:rsidRPr="00B671B0">
        <w:rPr>
          <w:rFonts w:hint="cs"/>
          <w:spacing w:val="-2"/>
          <w:rtl/>
        </w:rPr>
        <w:t xml:space="preserve">معيار حماية نسبة التداخل إلى الضوضاء </w:t>
      </w:r>
      <w:r w:rsidR="00475635" w:rsidRPr="00B671B0">
        <w:rPr>
          <w:spacing w:val="-2"/>
        </w:rPr>
        <w:t>(</w:t>
      </w:r>
      <w:r w:rsidR="003A7BC8" w:rsidRPr="00B671B0">
        <w:rPr>
          <w:spacing w:val="-2"/>
        </w:rPr>
        <w:t>I/N</w:t>
      </w:r>
      <w:r w:rsidR="00475635" w:rsidRPr="00B671B0">
        <w:rPr>
          <w:spacing w:val="-2"/>
        </w:rPr>
        <w:t>)</w:t>
      </w:r>
      <w:r w:rsidR="00DE7E0A" w:rsidRPr="00B671B0">
        <w:rPr>
          <w:rFonts w:hint="cs"/>
          <w:spacing w:val="-2"/>
          <w:rtl/>
        </w:rPr>
        <w:t xml:space="preserve"> بالنسبة ل</w:t>
      </w:r>
      <w:r w:rsidR="00DE7E0A" w:rsidRPr="00B671B0">
        <w:rPr>
          <w:rFonts w:hint="cs"/>
          <w:spacing w:val="-2"/>
          <w:rtl/>
          <w:lang w:bidi="ar-EG"/>
        </w:rPr>
        <w:t xml:space="preserve">محطة طائرة للخدمة </w:t>
      </w:r>
      <w:r w:rsidR="00DE7E0A" w:rsidRPr="00B671B0">
        <w:rPr>
          <w:spacing w:val="-2"/>
          <w:rtl/>
        </w:rPr>
        <w:t>المتنقلة للطيران</w:t>
      </w:r>
      <w:r w:rsidR="003A7BC8" w:rsidRPr="00B671B0">
        <w:rPr>
          <w:rFonts w:hint="cs"/>
          <w:spacing w:val="-2"/>
          <w:rtl/>
        </w:rPr>
        <w:t xml:space="preserve">، </w:t>
      </w:r>
      <w:r w:rsidR="00DE7E0A" w:rsidRPr="00B671B0">
        <w:rPr>
          <w:rFonts w:hint="cs"/>
          <w:spacing w:val="-2"/>
          <w:rtl/>
        </w:rPr>
        <w:t>يجب الشروع في إجراء الاسترداد الكامل للوصلة، أي</w:t>
      </w:r>
      <w:r w:rsidR="00754A73" w:rsidRPr="00B671B0">
        <w:rPr>
          <w:rFonts w:hint="cs"/>
          <w:spacing w:val="-2"/>
          <w:rtl/>
        </w:rPr>
        <w:t>ْ</w:t>
      </w:r>
      <w:r w:rsidR="00DE7E0A" w:rsidRPr="00B671B0">
        <w:rPr>
          <w:rFonts w:hint="cs"/>
          <w:spacing w:val="-2"/>
          <w:rtl/>
        </w:rPr>
        <w:t xml:space="preserve"> على الطائرة أن تبلغ موقعاً خارج منطقة التداخل قبل إعادة إقامة الوصلة. </w:t>
      </w:r>
      <w:r w:rsidR="00D33E78" w:rsidRPr="00B671B0">
        <w:rPr>
          <w:rFonts w:hint="cs"/>
          <w:spacing w:val="-2"/>
          <w:rtl/>
        </w:rPr>
        <w:t xml:space="preserve">ويمكن أن ينطوي إجراء استرداد الوصلة بالنسبة </w:t>
      </w:r>
      <w:r w:rsidR="00B02898" w:rsidRPr="00B671B0">
        <w:rPr>
          <w:rFonts w:hint="cs"/>
          <w:spacing w:val="-2"/>
          <w:rtl/>
        </w:rPr>
        <w:t>لمختلف سرعات الطائرة (</w:t>
      </w:r>
      <w:r w:rsidR="00754A73" w:rsidRPr="00B671B0">
        <w:rPr>
          <w:rFonts w:hint="cs"/>
          <w:spacing w:val="-2"/>
          <w:rtl/>
        </w:rPr>
        <w:t>حتى</w:t>
      </w:r>
      <w:r w:rsidR="00565B39">
        <w:rPr>
          <w:rFonts w:hint="eastAsia"/>
          <w:rtl/>
          <w:lang w:bidi="ar"/>
        </w:rPr>
        <w:t> </w:t>
      </w:r>
      <w:r w:rsidR="00B02898" w:rsidRPr="00B671B0">
        <w:rPr>
          <w:spacing w:val="-2"/>
        </w:rPr>
        <w:t>200 m/s</w:t>
      </w:r>
      <w:r w:rsidR="00B02898" w:rsidRPr="00B671B0">
        <w:rPr>
          <w:rFonts w:hint="cs"/>
          <w:spacing w:val="-2"/>
          <w:rtl/>
        </w:rPr>
        <w:t xml:space="preserve">) وارتفاعاتها (من </w:t>
      </w:r>
      <w:r w:rsidR="00B02898" w:rsidRPr="00B671B0">
        <w:rPr>
          <w:spacing w:val="-2"/>
        </w:rPr>
        <w:t>3</w:t>
      </w:r>
      <w:r w:rsidR="00172C07">
        <w:rPr>
          <w:spacing w:val="-2"/>
        </w:rPr>
        <w:t> </w:t>
      </w:r>
      <w:r w:rsidR="00B02898" w:rsidRPr="00B671B0">
        <w:rPr>
          <w:spacing w:val="-2"/>
        </w:rPr>
        <w:t>000</w:t>
      </w:r>
      <w:r w:rsidR="00B02898" w:rsidRPr="00B671B0">
        <w:rPr>
          <w:rFonts w:hint="cs"/>
          <w:spacing w:val="-2"/>
          <w:rtl/>
        </w:rPr>
        <w:t xml:space="preserve"> </w:t>
      </w:r>
      <w:r w:rsidR="00B02898" w:rsidRPr="00B671B0">
        <w:rPr>
          <w:spacing w:val="-2"/>
        </w:rPr>
        <w:t>m</w:t>
      </w:r>
      <w:r w:rsidR="00B02898" w:rsidRPr="00B671B0">
        <w:rPr>
          <w:rFonts w:hint="cs"/>
          <w:spacing w:val="-2"/>
          <w:rtl/>
        </w:rPr>
        <w:t xml:space="preserve"> إلى </w:t>
      </w:r>
      <w:r w:rsidR="00B02898" w:rsidRPr="00B671B0">
        <w:rPr>
          <w:spacing w:val="-2"/>
        </w:rPr>
        <w:t>10</w:t>
      </w:r>
      <w:r w:rsidR="00172C07">
        <w:rPr>
          <w:spacing w:val="-2"/>
        </w:rPr>
        <w:t> </w:t>
      </w:r>
      <w:r w:rsidR="00B02898" w:rsidRPr="00B671B0">
        <w:rPr>
          <w:spacing w:val="-2"/>
        </w:rPr>
        <w:t>000</w:t>
      </w:r>
      <w:r w:rsidR="00B02898" w:rsidRPr="00B671B0">
        <w:rPr>
          <w:rFonts w:hint="cs"/>
          <w:spacing w:val="-2"/>
          <w:rtl/>
        </w:rPr>
        <w:t xml:space="preserve"> </w:t>
      </w:r>
      <w:r w:rsidR="00B02898" w:rsidRPr="00B671B0">
        <w:rPr>
          <w:spacing w:val="-2"/>
        </w:rPr>
        <w:t>m</w:t>
      </w:r>
      <w:r w:rsidR="00B02898" w:rsidRPr="00B671B0">
        <w:rPr>
          <w:rFonts w:hint="cs"/>
          <w:spacing w:val="-2"/>
          <w:rtl/>
        </w:rPr>
        <w:t>) على انقطاع للخدمة قد يستغرق عدة</w:t>
      </w:r>
      <w:r w:rsidR="00565B39">
        <w:rPr>
          <w:rFonts w:hint="eastAsia"/>
          <w:rtl/>
          <w:lang w:bidi="ar"/>
        </w:rPr>
        <w:t> </w:t>
      </w:r>
      <w:r w:rsidR="00B02898" w:rsidRPr="00B671B0">
        <w:rPr>
          <w:rFonts w:hint="cs"/>
          <w:spacing w:val="-2"/>
          <w:rtl/>
        </w:rPr>
        <w:t>دقائق.</w:t>
      </w:r>
    </w:p>
    <w:p w:rsidR="00C06F81" w:rsidRPr="00C06F81" w:rsidRDefault="00E13094" w:rsidP="00A343ED">
      <w:pPr>
        <w:pStyle w:val="enumlev2"/>
        <w:keepNext/>
        <w:keepLines/>
        <w:rPr>
          <w:rtl/>
          <w:lang w:bidi="ar-EG"/>
        </w:rPr>
      </w:pPr>
      <w:r w:rsidRPr="00B02898">
        <w:rPr>
          <w:rFonts w:hint="cs"/>
          <w:rtl/>
          <w:lang w:bidi="ar-EG"/>
        </w:rPr>
        <w:lastRenderedPageBreak/>
        <w:t>’</w:t>
      </w:r>
      <w:r w:rsidRPr="00B02898">
        <w:rPr>
          <w:lang w:bidi="ar-EG"/>
        </w:rPr>
        <w:t>5</w:t>
      </w:r>
      <w:r w:rsidRPr="00B02898">
        <w:rPr>
          <w:rFonts w:hint="cs"/>
          <w:rtl/>
          <w:lang w:bidi="ar-EG"/>
        </w:rPr>
        <w:t>‘</w:t>
      </w:r>
      <w:r w:rsidRPr="00B02898">
        <w:rPr>
          <w:lang w:bidi="ar-EG"/>
        </w:rPr>
        <w:tab/>
      </w:r>
      <w:r w:rsidR="00BD02D6" w:rsidRPr="00B02898">
        <w:rPr>
          <w:rtl/>
          <w:lang w:bidi="ar-EG"/>
        </w:rPr>
        <w:t>وبناء</w:t>
      </w:r>
      <w:r w:rsidR="00BD02D6" w:rsidRPr="00B02898">
        <w:rPr>
          <w:rFonts w:hint="cs"/>
          <w:rtl/>
          <w:lang w:bidi="ar-EG"/>
        </w:rPr>
        <w:t>ً</w:t>
      </w:r>
      <w:r w:rsidR="00BD02D6" w:rsidRPr="00B02898">
        <w:rPr>
          <w:rtl/>
          <w:lang w:bidi="ar-EG"/>
        </w:rPr>
        <w:t xml:space="preserve"> على </w:t>
      </w:r>
      <w:r w:rsidR="00B02898">
        <w:rPr>
          <w:rFonts w:hint="cs"/>
          <w:rtl/>
          <w:lang w:bidi="ar-EG"/>
        </w:rPr>
        <w:t>ما سبق</w:t>
      </w:r>
      <w:r w:rsidR="00BD02D6" w:rsidRPr="00B02898">
        <w:rPr>
          <w:rtl/>
          <w:lang w:bidi="ar-EG"/>
        </w:rPr>
        <w:t xml:space="preserve">، </w:t>
      </w:r>
      <w:r w:rsidR="007D6537">
        <w:rPr>
          <w:rFonts w:hint="cs"/>
          <w:rtl/>
          <w:lang w:bidi="ar-EG"/>
        </w:rPr>
        <w:t>من شأن</w:t>
      </w:r>
      <w:r w:rsidR="00BD02D6" w:rsidRPr="00B02898">
        <w:rPr>
          <w:rtl/>
          <w:lang w:bidi="ar-EG"/>
        </w:rPr>
        <w:t xml:space="preserve"> تركيب محطات أرضية</w:t>
      </w:r>
      <w:r w:rsidR="00BD02D6" w:rsidRPr="00B02898">
        <w:rPr>
          <w:rFonts w:hint="cs"/>
          <w:rtl/>
          <w:lang w:bidi="ar-EG"/>
        </w:rPr>
        <w:t xml:space="preserve"> في الخدمة</w:t>
      </w:r>
      <w:r w:rsidR="00BD02D6" w:rsidRPr="00B02898">
        <w:rPr>
          <w:rtl/>
          <w:lang w:bidi="ar-EG"/>
        </w:rPr>
        <w:t xml:space="preserve"> </w:t>
      </w:r>
      <w:r w:rsidR="007D6537">
        <w:rPr>
          <w:rFonts w:hint="cs"/>
          <w:rtl/>
          <w:lang w:bidi="ar-EG"/>
        </w:rPr>
        <w:t>الثابتة الساتلية</w:t>
      </w:r>
      <w:r w:rsidR="00BD02D6" w:rsidRPr="00B02898">
        <w:rPr>
          <w:rtl/>
          <w:lang w:bidi="ar-EG"/>
        </w:rPr>
        <w:t xml:space="preserve"> تعمل في نطاقي</w:t>
      </w:r>
      <w:r w:rsidR="00BD02D6" w:rsidRPr="00B02898">
        <w:rPr>
          <w:rFonts w:hint="cs"/>
          <w:rtl/>
          <w:lang w:bidi="ar-EG"/>
        </w:rPr>
        <w:t xml:space="preserve"> التردد</w:t>
      </w:r>
      <w:r w:rsidR="00BD02D6" w:rsidRPr="00B02898">
        <w:rPr>
          <w:rtl/>
          <w:lang w:bidi="ar-EG"/>
        </w:rPr>
        <w:t xml:space="preserve"> </w:t>
      </w:r>
      <w:r w:rsidR="00BD02D6" w:rsidRPr="00B02898">
        <w:rPr>
          <w:lang w:bidi="ar-EG"/>
        </w:rPr>
        <w:t>GHz</w:t>
      </w:r>
      <w:r w:rsidR="00BD02D6" w:rsidRPr="00B02898">
        <w:rPr>
          <w:lang w:val="en-CA" w:bidi="ar-EG"/>
        </w:rPr>
        <w:t> 14,8</w:t>
      </w:r>
      <w:r w:rsidR="00BD02D6" w:rsidRPr="00B02898">
        <w:rPr>
          <w:lang w:val="en-CA" w:bidi="ar-EG"/>
        </w:rPr>
        <w:noBreakHyphen/>
        <w:t>14,5</w:t>
      </w:r>
      <w:r w:rsidR="00BD02D6" w:rsidRPr="00B02898">
        <w:rPr>
          <w:rtl/>
          <w:lang w:bidi="ar-EG"/>
        </w:rPr>
        <w:t xml:space="preserve"> و</w:t>
      </w:r>
      <w:r w:rsidR="00BD02D6" w:rsidRPr="00B02898">
        <w:rPr>
          <w:lang w:bidi="ar-EG"/>
        </w:rPr>
        <w:t>GHz 15,35</w:t>
      </w:r>
      <w:r w:rsidR="00BD02D6" w:rsidRPr="00B02898">
        <w:rPr>
          <w:lang w:bidi="ar-EG"/>
        </w:rPr>
        <w:noBreakHyphen/>
        <w:t>14,8</w:t>
      </w:r>
      <w:r w:rsidR="00BD02D6" w:rsidRPr="00B02898">
        <w:rPr>
          <w:rFonts w:hint="cs"/>
          <w:rtl/>
          <w:lang w:bidi="ar-EG"/>
        </w:rPr>
        <w:t xml:space="preserve"> </w:t>
      </w:r>
      <w:r w:rsidR="007D6537">
        <w:rPr>
          <w:rFonts w:hint="cs"/>
          <w:rtl/>
          <w:lang w:bidi="ar-EG"/>
        </w:rPr>
        <w:t xml:space="preserve">أن يؤدي </w:t>
      </w:r>
      <w:r w:rsidR="00BD02D6" w:rsidRPr="00B02898">
        <w:rPr>
          <w:rtl/>
          <w:lang w:bidi="ar-EG"/>
        </w:rPr>
        <w:t>إلى استبعاد أجزاء كبيرة من الأر</w:t>
      </w:r>
      <w:r w:rsidR="00BD02D6" w:rsidRPr="00B02898">
        <w:rPr>
          <w:rFonts w:hint="cs"/>
          <w:rtl/>
          <w:lang w:bidi="ar-EG"/>
        </w:rPr>
        <w:t>ا</w:t>
      </w:r>
      <w:r w:rsidR="00BD02D6" w:rsidRPr="00B02898">
        <w:rPr>
          <w:rtl/>
          <w:lang w:bidi="ar-EG"/>
        </w:rPr>
        <w:t>ض</w:t>
      </w:r>
      <w:r w:rsidR="00BD02D6" w:rsidRPr="00B02898">
        <w:rPr>
          <w:rFonts w:hint="cs"/>
          <w:rtl/>
          <w:lang w:bidi="ar-EG"/>
        </w:rPr>
        <w:t>ي</w:t>
      </w:r>
      <w:r w:rsidR="007D6537">
        <w:rPr>
          <w:rFonts w:hint="cs"/>
          <w:rtl/>
          <w:lang w:bidi="ar-EG"/>
        </w:rPr>
        <w:t xml:space="preserve"> (تقدر بآلاف الكيلومترات المربعة) </w:t>
      </w:r>
      <w:r w:rsidR="00BD02D6" w:rsidRPr="00B02898">
        <w:rPr>
          <w:rtl/>
          <w:lang w:bidi="ar-EG"/>
        </w:rPr>
        <w:t xml:space="preserve">من تنفيذ مهام المراقبة الجوية التي تستعمل الخدمات </w:t>
      </w:r>
      <w:r w:rsidR="007D6537">
        <w:rPr>
          <w:rFonts w:hint="cs"/>
          <w:rtl/>
          <w:lang w:bidi="ar-EG"/>
        </w:rPr>
        <w:t>المتنقلة للطيران</w:t>
      </w:r>
      <w:r w:rsidR="00BD02D6" w:rsidRPr="00B02898">
        <w:rPr>
          <w:rtl/>
          <w:lang w:bidi="ar-EG"/>
        </w:rPr>
        <w:t xml:space="preserve"> </w:t>
      </w:r>
      <w:r w:rsidR="007D6537">
        <w:rPr>
          <w:rFonts w:hint="cs"/>
          <w:rtl/>
          <w:lang w:bidi="ar-EG"/>
        </w:rPr>
        <w:t>في</w:t>
      </w:r>
      <w:r w:rsidR="00565B39">
        <w:rPr>
          <w:rFonts w:hint="eastAsia"/>
          <w:rtl/>
          <w:lang w:bidi="ar"/>
        </w:rPr>
        <w:t> </w:t>
      </w:r>
      <w:r w:rsidR="007D6537">
        <w:rPr>
          <w:rFonts w:hint="cs"/>
          <w:rtl/>
          <w:lang w:bidi="ar-EG"/>
        </w:rPr>
        <w:t>هذين النطاقين، وأن يخلّف</w:t>
      </w:r>
      <w:r w:rsidR="00BD02D6" w:rsidRPr="00B02898">
        <w:rPr>
          <w:rtl/>
          <w:lang w:bidi="ar-EG"/>
        </w:rPr>
        <w:t xml:space="preserve"> آثار</w:t>
      </w:r>
      <w:r w:rsidR="007D6537">
        <w:rPr>
          <w:rFonts w:hint="cs"/>
          <w:rtl/>
          <w:lang w:bidi="ar-EG"/>
        </w:rPr>
        <w:t>اً</w:t>
      </w:r>
      <w:r w:rsidR="00BD02D6" w:rsidRPr="00B02898">
        <w:rPr>
          <w:rtl/>
          <w:lang w:bidi="ar-EG"/>
        </w:rPr>
        <w:t xml:space="preserve"> تشغيلية غير مقبولة </w:t>
      </w:r>
      <w:r w:rsidR="007D6537">
        <w:rPr>
          <w:rFonts w:hint="cs"/>
          <w:rtl/>
          <w:lang w:bidi="ar-EG"/>
        </w:rPr>
        <w:t>في</w:t>
      </w:r>
      <w:r w:rsidR="00BD02D6" w:rsidRPr="00B02898">
        <w:rPr>
          <w:rtl/>
          <w:lang w:bidi="ar-EG"/>
        </w:rPr>
        <w:t xml:space="preserve"> هذه</w:t>
      </w:r>
      <w:r w:rsidR="00565B39">
        <w:rPr>
          <w:rFonts w:hint="eastAsia"/>
          <w:rtl/>
          <w:lang w:bidi="ar"/>
        </w:rPr>
        <w:t> </w:t>
      </w:r>
      <w:r w:rsidR="00BD02D6" w:rsidRPr="00B02898">
        <w:rPr>
          <w:rtl/>
          <w:lang w:bidi="ar-EG"/>
        </w:rPr>
        <w:t>الخدمات</w:t>
      </w:r>
      <w:r w:rsidR="007D6537">
        <w:rPr>
          <w:rFonts w:hint="cs"/>
          <w:rtl/>
          <w:lang w:bidi="ar-EG"/>
        </w:rPr>
        <w:t>.</w:t>
      </w:r>
    </w:p>
    <w:p w:rsidR="00C06F81" w:rsidRDefault="00C06F81" w:rsidP="00475635">
      <w:pPr>
        <w:pStyle w:val="enumlev1"/>
        <w:rPr>
          <w:rtl/>
          <w:lang w:bidi="ar-EG"/>
        </w:rPr>
      </w:pPr>
      <w:r>
        <w:rPr>
          <w:rFonts w:hint="cs"/>
          <w:rtl/>
          <w:lang w:bidi="ar-EG"/>
        </w:rPr>
        <w:t>ج</w:t>
      </w:r>
      <w:r w:rsidR="00DB1597">
        <w:rPr>
          <w:rFonts w:hint="cs"/>
          <w:rtl/>
          <w:lang w:bidi="ar-EG"/>
        </w:rPr>
        <w:t>)</w:t>
      </w:r>
      <w:r>
        <w:rPr>
          <w:rFonts w:hint="cs"/>
          <w:rtl/>
          <w:lang w:bidi="ar-EG"/>
        </w:rPr>
        <w:tab/>
      </w:r>
      <w:r w:rsidR="00F60144">
        <w:rPr>
          <w:rFonts w:hint="cs"/>
          <w:rtl/>
          <w:lang w:bidi="ar-EG"/>
        </w:rPr>
        <w:t xml:space="preserve">تزيد المسافة اللازمة للتنسيق بين محطة الخدمة الثابتة الساتلية ومحطة الطائرة للخدمة المتنقلة للطيران على </w:t>
      </w:r>
      <w:r w:rsidR="00F60144">
        <w:t>500</w:t>
      </w:r>
      <w:r w:rsidR="00475635">
        <w:rPr>
          <w:rFonts w:hint="eastAsia"/>
          <w:rtl/>
        </w:rPr>
        <w:t> </w:t>
      </w:r>
      <w:r w:rsidR="00F60144">
        <w:t>km</w:t>
      </w:r>
      <w:r w:rsidR="00F60144">
        <w:rPr>
          <w:rFonts w:hint="cs"/>
          <w:rtl/>
        </w:rPr>
        <w:t xml:space="preserve">. وتجدر الإشارة إلى أن إجراء التنسيق الناجم عن ذلك غير عملي من حيث التنفيذ نظراً </w:t>
      </w:r>
      <w:r w:rsidR="000F4E58">
        <w:rPr>
          <w:rFonts w:hint="cs"/>
          <w:rtl/>
        </w:rPr>
        <w:t>للطبيعة غير المحدودة</w:t>
      </w:r>
      <w:r w:rsidR="00F60144">
        <w:rPr>
          <w:rFonts w:hint="cs"/>
          <w:rtl/>
        </w:rPr>
        <w:t xml:space="preserve"> </w:t>
      </w:r>
      <w:r w:rsidR="000F4E58">
        <w:rPr>
          <w:rFonts w:hint="cs"/>
          <w:rtl/>
        </w:rPr>
        <w:t>ل</w:t>
      </w:r>
      <w:r w:rsidR="00F60144">
        <w:rPr>
          <w:rFonts w:hint="cs"/>
          <w:rtl/>
        </w:rPr>
        <w:t xml:space="preserve">شبكات الخدمة المتنقلة للطيران. وبالفعل، قد يصل </w:t>
      </w:r>
      <w:r w:rsidR="000F4E58">
        <w:rPr>
          <w:rFonts w:hint="cs"/>
          <w:rtl/>
        </w:rPr>
        <w:t xml:space="preserve">الامتداد النمطي لمنطقة </w:t>
      </w:r>
      <w:r w:rsidR="00291361">
        <w:rPr>
          <w:rFonts w:hint="cs"/>
          <w:rtl/>
        </w:rPr>
        <w:t>تشغيل</w:t>
      </w:r>
      <w:r w:rsidR="000F4E58">
        <w:rPr>
          <w:rFonts w:hint="cs"/>
          <w:rtl/>
        </w:rPr>
        <w:t xml:space="preserve"> </w:t>
      </w:r>
      <w:r w:rsidR="00291361">
        <w:rPr>
          <w:rFonts w:hint="cs"/>
          <w:rtl/>
        </w:rPr>
        <w:t xml:space="preserve">الخدمة المتنقلة للطيران مئات الكيلومترات وقد يحتاج إلى تقييم على أساس كل رحلة جوية على حدة؛ ولهذه الأسباب، </w:t>
      </w:r>
      <w:r w:rsidR="00754A73">
        <w:rPr>
          <w:rFonts w:hint="cs"/>
          <w:rtl/>
        </w:rPr>
        <w:t>من المحتمل جدا أن</w:t>
      </w:r>
      <w:r w:rsidR="00291361">
        <w:rPr>
          <w:rFonts w:hint="cs"/>
          <w:rtl/>
        </w:rPr>
        <w:t xml:space="preserve"> عدداً هائلاً من الإدارات ستشارك في إجراء تنسيق لا تتوافق مدته مع المتطلبات التشغيلية للخدمة المتنقلة</w:t>
      </w:r>
      <w:r w:rsidR="00565B39">
        <w:rPr>
          <w:rFonts w:hint="eastAsia"/>
          <w:rtl/>
          <w:lang w:bidi="ar"/>
        </w:rPr>
        <w:t> </w:t>
      </w:r>
      <w:r w:rsidR="00291361">
        <w:rPr>
          <w:rFonts w:hint="cs"/>
          <w:rtl/>
        </w:rPr>
        <w:t xml:space="preserve">للطيران. </w:t>
      </w:r>
    </w:p>
    <w:p w:rsidR="00C06F81" w:rsidRDefault="00C06F81" w:rsidP="006D1D31">
      <w:pPr>
        <w:pStyle w:val="enumlev1"/>
        <w:rPr>
          <w:rtl/>
          <w:lang w:bidi="ar-EG"/>
        </w:rPr>
      </w:pPr>
      <w:r>
        <w:rPr>
          <w:rFonts w:hint="cs"/>
          <w:rtl/>
          <w:lang w:bidi="ar-EG"/>
        </w:rPr>
        <w:t>د</w:t>
      </w:r>
      <w:r w:rsidR="00DB1597">
        <w:rPr>
          <w:rFonts w:hint="eastAsia"/>
          <w:rtl/>
          <w:lang w:bidi="ar-EG"/>
        </w:rPr>
        <w:t> )</w:t>
      </w:r>
      <w:r>
        <w:rPr>
          <w:rFonts w:hint="cs"/>
          <w:rtl/>
          <w:lang w:bidi="ar-EG"/>
        </w:rPr>
        <w:tab/>
      </w:r>
      <w:r w:rsidR="00106641">
        <w:rPr>
          <w:rFonts w:hint="cs"/>
          <w:rtl/>
        </w:rPr>
        <w:t xml:space="preserve">علاوةً على ذلك، </w:t>
      </w:r>
      <w:r w:rsidR="00707B69" w:rsidRPr="00B67F42">
        <w:rPr>
          <w:rtl/>
          <w:lang w:bidi="ar"/>
        </w:rPr>
        <w:t>من الضروري إدراك أنه على الرغم من أن هناك إجراء تنسيق مطبقاً حالياً في الإقليمين</w:t>
      </w:r>
      <w:r w:rsidR="00565B39">
        <w:rPr>
          <w:rFonts w:hint="eastAsia"/>
          <w:rtl/>
          <w:lang w:bidi="ar"/>
        </w:rPr>
        <w:t> </w:t>
      </w:r>
      <w:r w:rsidR="00707B69" w:rsidRPr="00B67F42">
        <w:rPr>
          <w:lang w:bidi="ar"/>
        </w:rPr>
        <w:t>2</w:t>
      </w:r>
      <w:r w:rsidR="00707B69" w:rsidRPr="00B67F42">
        <w:rPr>
          <w:rtl/>
          <w:lang w:bidi="ar-EG"/>
        </w:rPr>
        <w:t xml:space="preserve"> و</w:t>
      </w:r>
      <w:r w:rsidR="00707B69" w:rsidRPr="00B67F42">
        <w:rPr>
          <w:lang w:bidi="ar-EG"/>
        </w:rPr>
        <w:t>3</w:t>
      </w:r>
      <w:r w:rsidR="00707B69" w:rsidRPr="00B67F42">
        <w:rPr>
          <w:rtl/>
          <w:lang w:bidi="ar-EG"/>
        </w:rPr>
        <w:t xml:space="preserve"> للتنسيق بين وصلات تغذية الخدمة الثابتة الساتلية (أرض-فضاء) والخدمة المتنقلة/الخدمة المتنقلة للطيران، لا</w:t>
      </w:r>
      <w:r w:rsidR="006D1D31">
        <w:rPr>
          <w:rFonts w:hint="cs"/>
          <w:rtl/>
          <w:lang w:bidi="ar-EG"/>
        </w:rPr>
        <w:t> </w:t>
      </w:r>
      <w:r w:rsidR="00707B69" w:rsidRPr="00B67F42">
        <w:rPr>
          <w:rtl/>
          <w:lang w:bidi="ar-EG"/>
        </w:rPr>
        <w:t>توجد في</w:t>
      </w:r>
      <w:r w:rsidR="00565B39">
        <w:rPr>
          <w:rFonts w:hint="eastAsia"/>
          <w:rtl/>
          <w:lang w:bidi="ar"/>
        </w:rPr>
        <w:t> </w:t>
      </w:r>
      <w:r w:rsidR="00707B69" w:rsidRPr="00B67F42">
        <w:rPr>
          <w:rtl/>
          <w:lang w:bidi="ar-EG"/>
        </w:rPr>
        <w:t>الوقت الراهن محطة أرضية للخدمة الثابتة الساتلية مبلَّغ عنها في هذا النطاق ومرتبطة بخدمة فضائية عاملة للخدمة الثابتة الساتلية في هذا النطاق؛ وبالتالي ما من دليل على أن وضع التقاسم حقيقي ومطبق حالياً. وعلاوة</w:t>
      </w:r>
      <w:r w:rsidR="00D62508">
        <w:rPr>
          <w:rFonts w:hint="cs"/>
          <w:rtl/>
          <w:lang w:bidi="ar-EG"/>
        </w:rPr>
        <w:t>ً</w:t>
      </w:r>
      <w:r w:rsidR="00707B69" w:rsidRPr="00B67F42">
        <w:rPr>
          <w:rtl/>
          <w:lang w:bidi="ar-EG"/>
        </w:rPr>
        <w:t xml:space="preserve"> على ذلك، في حالة أن كانت هناك محطات أرضية للخدمة الثابتة الساتلية غير مبلَّغ عنها عاملة ضمن هذا التخصيص، ما من دليل على أنه من الممكن لهذه الخدمات أن ت</w:t>
      </w:r>
      <w:r w:rsidR="00707B69" w:rsidRPr="00B67F42">
        <w:rPr>
          <w:rFonts w:hint="cs"/>
          <w:rtl/>
          <w:lang w:bidi="ar-EG"/>
        </w:rPr>
        <w:t>تعايش</w:t>
      </w:r>
      <w:r w:rsidR="00707B69" w:rsidRPr="00B67F42">
        <w:rPr>
          <w:rtl/>
          <w:lang w:bidi="ar-EG"/>
        </w:rPr>
        <w:t xml:space="preserve"> مع الخدمة المتنقلة للطيران بشكل فعال دون فرض قيود تشغيلية لا داعي لها على أنظمة الخدمة المتنقلة للطيران. </w:t>
      </w:r>
    </w:p>
    <w:p w:rsidR="008F5090" w:rsidRPr="0017106A" w:rsidRDefault="0017106A" w:rsidP="00565B39">
      <w:pPr>
        <w:ind w:left="1134" w:hanging="1134"/>
        <w:rPr>
          <w:rtl/>
        </w:rPr>
      </w:pPr>
      <w:r>
        <w:rPr>
          <w:rFonts w:ascii="Traditional Arabic" w:hAnsi="Traditional Arabic"/>
          <w:rtl/>
        </w:rPr>
        <w:t>ﻫ</w:t>
      </w:r>
      <w:r w:rsidR="00DB1597">
        <w:rPr>
          <w:rFonts w:hint="cs"/>
          <w:rtl/>
        </w:rPr>
        <w:t> )</w:t>
      </w:r>
      <w:r>
        <w:rPr>
          <w:rtl/>
        </w:rPr>
        <w:tab/>
      </w:r>
      <w:r w:rsidR="00106641">
        <w:rPr>
          <w:rFonts w:hint="cs"/>
          <w:rtl/>
        </w:rPr>
        <w:t>تؤكد نتائج الدراسات والاعتبارات الواردة أعلاه أن التقاسم غير ممكن بين الخدمة الثابتة الساتلية المقترحة في</w:t>
      </w:r>
      <w:r w:rsidR="00565B39">
        <w:rPr>
          <w:rFonts w:hint="eastAsia"/>
          <w:rtl/>
        </w:rPr>
        <w:t> </w:t>
      </w:r>
      <w:r w:rsidR="00106641">
        <w:rPr>
          <w:rFonts w:hint="cs"/>
          <w:rtl/>
        </w:rPr>
        <w:t xml:space="preserve">الاتجاه أرض-فضاء والخدمة المتنقلة للطيران القائمة. </w:t>
      </w:r>
    </w:p>
    <w:p w:rsidR="008D4BAB" w:rsidRDefault="0017106A" w:rsidP="008D4BAB">
      <w:pPr>
        <w:ind w:left="1134" w:hanging="1134"/>
        <w:rPr>
          <w:b/>
          <w:bCs/>
          <w:spacing w:val="-2"/>
          <w:rtl/>
          <w:lang w:bidi="ar-EG"/>
        </w:rPr>
      </w:pPr>
      <w:r w:rsidRPr="00D62508">
        <w:rPr>
          <w:b/>
          <w:bCs/>
          <w:spacing w:val="-2"/>
          <w:lang w:bidi="ar-EG"/>
        </w:rPr>
        <w:t>2</w:t>
      </w:r>
      <w:r w:rsidRPr="00475635">
        <w:rPr>
          <w:spacing w:val="-2"/>
          <w:lang w:bidi="ar-EG"/>
        </w:rPr>
        <w:tab/>
      </w:r>
      <w:r w:rsidR="00DF160E" w:rsidRPr="00475635">
        <w:rPr>
          <w:rFonts w:hint="cs"/>
          <w:b/>
          <w:bCs/>
          <w:spacing w:val="-2"/>
          <w:rtl/>
        </w:rPr>
        <w:t>ا</w:t>
      </w:r>
      <w:r w:rsidR="008F5090" w:rsidRPr="00475635">
        <w:rPr>
          <w:rFonts w:hint="cs"/>
          <w:b/>
          <w:bCs/>
          <w:spacing w:val="-2"/>
          <w:rtl/>
        </w:rPr>
        <w:t xml:space="preserve">لنطاق </w:t>
      </w:r>
      <w:r w:rsidR="008F5090" w:rsidRPr="00475635">
        <w:rPr>
          <w:b/>
          <w:bCs/>
          <w:spacing w:val="-2"/>
        </w:rPr>
        <w:t>GHz 15,35</w:t>
      </w:r>
      <w:r w:rsidR="008F5090" w:rsidRPr="00475635">
        <w:rPr>
          <w:b/>
          <w:bCs/>
          <w:spacing w:val="-2"/>
        </w:rPr>
        <w:noBreakHyphen/>
        <w:t>14,8</w:t>
      </w:r>
    </w:p>
    <w:p w:rsidR="00066F70" w:rsidRPr="00475635" w:rsidRDefault="00DF160E" w:rsidP="00487CDE">
      <w:pPr>
        <w:rPr>
          <w:spacing w:val="-2"/>
          <w:rtl/>
          <w:lang w:bidi="ar-EG"/>
        </w:rPr>
      </w:pPr>
      <w:r w:rsidRPr="00475635">
        <w:rPr>
          <w:rFonts w:hint="cs"/>
          <w:spacing w:val="-2"/>
          <w:rtl/>
          <w:lang w:bidi="ar-EG"/>
        </w:rPr>
        <w:t xml:space="preserve">تشير الدراسات إلى الاستنتاجات نفسها الخاصة بالنطاق </w:t>
      </w:r>
      <w:r w:rsidRPr="00475635">
        <w:rPr>
          <w:spacing w:val="-2"/>
        </w:rPr>
        <w:t>GHz 14,8</w:t>
      </w:r>
      <w:r w:rsidRPr="00475635">
        <w:rPr>
          <w:spacing w:val="-2"/>
        </w:rPr>
        <w:noBreakHyphen/>
        <w:t>14,5</w:t>
      </w:r>
      <w:r w:rsidRPr="00475635">
        <w:rPr>
          <w:rFonts w:hint="cs"/>
          <w:spacing w:val="-2"/>
          <w:rtl/>
          <w:lang w:bidi="ar-EG"/>
        </w:rPr>
        <w:t xml:space="preserve">، فتؤكد نتائج الدراسات بالنسبة لهذا النطاق أن التقاسم غير ممكن بين </w:t>
      </w:r>
      <w:r w:rsidRPr="00475635">
        <w:rPr>
          <w:rFonts w:hint="cs"/>
          <w:spacing w:val="-2"/>
          <w:rtl/>
        </w:rPr>
        <w:t>الخدمة الثابتة الساتلية المقترحة في الاتجاه أرض-فضاء والخدمة المتنقلة للطيران</w:t>
      </w:r>
      <w:r w:rsidR="008D4BAB">
        <w:rPr>
          <w:rFonts w:hint="eastAsia"/>
          <w:spacing w:val="-2"/>
          <w:rtl/>
        </w:rPr>
        <w:t> </w:t>
      </w:r>
      <w:r w:rsidR="00331221">
        <w:rPr>
          <w:rFonts w:hint="cs"/>
          <w:spacing w:val="-2"/>
          <w:rtl/>
        </w:rPr>
        <w:t>القائمة.</w:t>
      </w:r>
    </w:p>
    <w:p w:rsidR="00066F70" w:rsidRDefault="00066F70" w:rsidP="00066F70">
      <w:pPr>
        <w:pStyle w:val="Headingb"/>
        <w:rPr>
          <w:rtl/>
        </w:rPr>
      </w:pPr>
      <w:r>
        <w:rPr>
          <w:rFonts w:hint="cs"/>
          <w:rtl/>
        </w:rPr>
        <w:t>المقترح</w:t>
      </w:r>
    </w:p>
    <w:p w:rsidR="00D62E17" w:rsidRPr="00565B39" w:rsidRDefault="005A720F" w:rsidP="00F87309">
      <w:pPr>
        <w:rPr>
          <w:bCs/>
          <w:spacing w:val="-2"/>
        </w:rPr>
      </w:pPr>
      <w:r w:rsidRPr="00565B39">
        <w:rPr>
          <w:rFonts w:hint="cs"/>
          <w:spacing w:val="-2"/>
          <w:rtl/>
        </w:rPr>
        <w:t>استناداً إلى ا</w:t>
      </w:r>
      <w:r w:rsidR="00DF160E" w:rsidRPr="00565B39">
        <w:rPr>
          <w:rFonts w:hint="cs"/>
          <w:spacing w:val="-2"/>
          <w:rtl/>
        </w:rPr>
        <w:t xml:space="preserve">لاعتبارات السابقة، </w:t>
      </w:r>
      <w:r w:rsidRPr="00565B39">
        <w:rPr>
          <w:rFonts w:hint="cs"/>
          <w:spacing w:val="-2"/>
          <w:rtl/>
        </w:rPr>
        <w:t xml:space="preserve">تعترض </w:t>
      </w:r>
      <w:r w:rsidR="00F87309" w:rsidRPr="00F87309">
        <w:rPr>
          <w:spacing w:val="-2"/>
          <w:rtl/>
        </w:rPr>
        <w:t xml:space="preserve">النمسا وبلجيكا والدانمارك وجمهورية إستونيا وفرنسا وإيطاليا وجمهورية لاتفيا وإمارة ليختنشتاين وجمهورية ليتوانيا وجمهورية بولندا ورومانيا والمملكة المتحدة لبريطانيا العظمى </w:t>
      </w:r>
      <w:proofErr w:type="spellStart"/>
      <w:r w:rsidR="00F87309" w:rsidRPr="00F87309">
        <w:rPr>
          <w:spacing w:val="-2"/>
          <w:rtl/>
        </w:rPr>
        <w:t>وأيرلندا</w:t>
      </w:r>
      <w:proofErr w:type="spellEnd"/>
      <w:r w:rsidR="00F87309" w:rsidRPr="00F87309">
        <w:rPr>
          <w:spacing w:val="-2"/>
          <w:rtl/>
        </w:rPr>
        <w:t xml:space="preserve"> الشمالية</w:t>
      </w:r>
      <w:r w:rsidR="00843F93" w:rsidRPr="00565B39">
        <w:rPr>
          <w:rFonts w:hint="cs"/>
          <w:spacing w:val="-2"/>
          <w:rtl/>
        </w:rPr>
        <w:t xml:space="preserve"> </w:t>
      </w:r>
      <w:r w:rsidRPr="00565B39">
        <w:rPr>
          <w:rFonts w:hint="cs"/>
          <w:spacing w:val="-2"/>
          <w:rtl/>
        </w:rPr>
        <w:t>على منح أيّ توزيع إضافي أولي للخدمة الثابتة الساتلية في الاتجاه أرض-فضاء في</w:t>
      </w:r>
      <w:r w:rsidR="00565B39" w:rsidRPr="00565B39">
        <w:rPr>
          <w:rFonts w:hint="cs"/>
          <w:spacing w:val="-2"/>
          <w:rtl/>
        </w:rPr>
        <w:t> </w:t>
      </w:r>
      <w:r w:rsidRPr="00565B39">
        <w:rPr>
          <w:rFonts w:hint="cs"/>
          <w:spacing w:val="-2"/>
          <w:rtl/>
        </w:rPr>
        <w:t>مدى التردد</w:t>
      </w:r>
      <w:r w:rsidR="00565B39" w:rsidRPr="00565B39">
        <w:rPr>
          <w:rFonts w:hint="cs"/>
          <w:spacing w:val="-2"/>
          <w:rtl/>
        </w:rPr>
        <w:t> </w:t>
      </w:r>
      <w:r w:rsidRPr="00565B39">
        <w:rPr>
          <w:spacing w:val="-2"/>
        </w:rPr>
        <w:t>GHz 15,35</w:t>
      </w:r>
      <w:r w:rsidRPr="00565B39">
        <w:rPr>
          <w:spacing w:val="-2"/>
        </w:rPr>
        <w:noBreakHyphen/>
        <w:t>14,5</w:t>
      </w:r>
      <w:r w:rsidRPr="00565B39">
        <w:rPr>
          <w:rFonts w:hint="cs"/>
          <w:spacing w:val="-2"/>
          <w:rtl/>
        </w:rPr>
        <w:t xml:space="preserve"> في الأقاليم </w:t>
      </w:r>
      <w:r w:rsidR="00A841BA" w:rsidRPr="00565B39">
        <w:rPr>
          <w:spacing w:val="-2"/>
        </w:rPr>
        <w:t>1</w:t>
      </w:r>
      <w:r w:rsidR="002D69DC" w:rsidRPr="00565B39">
        <w:rPr>
          <w:rFonts w:hint="cs"/>
          <w:spacing w:val="-2"/>
          <w:rtl/>
        </w:rPr>
        <w:t xml:space="preserve"> و</w:t>
      </w:r>
      <w:r w:rsidR="00A841BA" w:rsidRPr="00565B39">
        <w:rPr>
          <w:spacing w:val="-2"/>
        </w:rPr>
        <w:t>2</w:t>
      </w:r>
      <w:r w:rsidR="00A841BA" w:rsidRPr="00565B39">
        <w:rPr>
          <w:rFonts w:hint="cs"/>
          <w:spacing w:val="-2"/>
          <w:rtl/>
        </w:rPr>
        <w:t xml:space="preserve"> و</w:t>
      </w:r>
      <w:r w:rsidR="00A841BA" w:rsidRPr="00565B39">
        <w:rPr>
          <w:spacing w:val="-2"/>
        </w:rPr>
        <w:t>3</w:t>
      </w:r>
      <w:r w:rsidR="00A841BA" w:rsidRPr="00565B39">
        <w:rPr>
          <w:rFonts w:hint="cs"/>
          <w:spacing w:val="-2"/>
          <w:rtl/>
        </w:rPr>
        <w:t>، نظراً للتداخل الكبير في الخدمات العالمية القائمة. وهذا الموقف معبر عنه في</w:t>
      </w:r>
      <w:r w:rsidR="00565B39" w:rsidRPr="00565B39">
        <w:rPr>
          <w:rFonts w:hint="cs"/>
          <w:spacing w:val="-2"/>
          <w:rtl/>
        </w:rPr>
        <w:t> </w:t>
      </w:r>
      <w:r w:rsidR="006E0623" w:rsidRPr="00565B39">
        <w:rPr>
          <w:rFonts w:hint="cs"/>
          <w:spacing w:val="-2"/>
          <w:rtl/>
        </w:rPr>
        <w:t>الفقرات عدم إدخال أي تغيير</w:t>
      </w:r>
      <w:r w:rsidR="00565B39" w:rsidRPr="00565B39">
        <w:rPr>
          <w:rFonts w:hint="cs"/>
          <w:spacing w:val="-2"/>
          <w:rtl/>
        </w:rPr>
        <w:t> </w:t>
      </w:r>
      <w:r w:rsidR="00843F93" w:rsidRPr="00565B39">
        <w:rPr>
          <w:spacing w:val="-2"/>
        </w:rPr>
        <w:t>(</w:t>
      </w:r>
      <w:r w:rsidR="006E0623" w:rsidRPr="00565B39">
        <w:rPr>
          <w:spacing w:val="-2"/>
        </w:rPr>
        <w:t>NOC</w:t>
      </w:r>
      <w:r w:rsidR="00843F93" w:rsidRPr="00565B39">
        <w:rPr>
          <w:spacing w:val="-2"/>
        </w:rPr>
        <w:t>)</w:t>
      </w:r>
      <w:r w:rsidR="006E0623" w:rsidRPr="00565B39">
        <w:rPr>
          <w:rFonts w:hint="cs"/>
          <w:spacing w:val="-2"/>
          <w:rtl/>
        </w:rPr>
        <w:t xml:space="preserve"> على المقترح المتعدد البلدان في الوثيقة </w:t>
      </w:r>
      <w:r w:rsidR="006E0623" w:rsidRPr="00565B39">
        <w:rPr>
          <w:spacing w:val="-2"/>
        </w:rPr>
        <w:t>79</w:t>
      </w:r>
      <w:r w:rsidR="006E0623" w:rsidRPr="00565B39">
        <w:rPr>
          <w:rFonts w:hint="cs"/>
          <w:spacing w:val="-2"/>
          <w:rtl/>
        </w:rPr>
        <w:t xml:space="preserve"> للمؤتمر العالمي للاتصالات الراديوية لعام</w:t>
      </w:r>
      <w:r w:rsidR="00565B39" w:rsidRPr="00565B39">
        <w:rPr>
          <w:rFonts w:hint="eastAsia"/>
          <w:spacing w:val="-2"/>
          <w:rtl/>
        </w:rPr>
        <w:t> </w:t>
      </w:r>
      <w:r w:rsidR="006E0623" w:rsidRPr="00565B39">
        <w:rPr>
          <w:spacing w:val="-2"/>
        </w:rPr>
        <w:t>2015</w:t>
      </w:r>
      <w:r w:rsidR="006E0623" w:rsidRPr="00565B39">
        <w:rPr>
          <w:rFonts w:hint="cs"/>
          <w:spacing w:val="-2"/>
          <w:rtl/>
        </w:rPr>
        <w:t>.</w:t>
      </w:r>
    </w:p>
    <w:p w:rsidR="006A5BC4" w:rsidRDefault="006A5BC4" w:rsidP="006A5BC4">
      <w:pPr>
        <w:pStyle w:val="Reasons"/>
      </w:pPr>
    </w:p>
    <w:p w:rsidR="006A5BC4" w:rsidRPr="006A5BC4" w:rsidRDefault="006A5BC4" w:rsidP="006A5BC4">
      <w:pPr>
        <w:spacing w:before="600"/>
        <w:jc w:val="center"/>
        <w:rPr>
          <w:rtl/>
          <w:lang w:bidi="ar-EG"/>
        </w:rPr>
      </w:pPr>
      <w:r>
        <w:rPr>
          <w:rFonts w:hint="cs"/>
          <w:rtl/>
          <w:lang w:bidi="ar-EG"/>
        </w:rPr>
        <w:t>___________</w:t>
      </w:r>
    </w:p>
    <w:sectPr w:rsidR="006A5BC4" w:rsidRPr="006A5BC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A3" w:rsidRPr="0028370B" w:rsidRDefault="001B26A3" w:rsidP="00F87309">
    <w:pPr>
      <w:pStyle w:val="Footer"/>
      <w:rPr>
        <w:lang w:val="es-ES"/>
      </w:rPr>
    </w:pPr>
    <w:r>
      <w:fldChar w:fldCharType="begin"/>
    </w:r>
    <w:r w:rsidRPr="00CB4300">
      <w:rPr>
        <w:lang w:val="es-ES"/>
      </w:rPr>
      <w:instrText xml:space="preserve"> FILENAME \p \* MERGEFORMAT </w:instrText>
    </w:r>
    <w:r>
      <w:fldChar w:fldCharType="separate"/>
    </w:r>
    <w:r w:rsidR="00F87309">
      <w:rPr>
        <w:noProof/>
        <w:lang w:val="es-ES"/>
      </w:rPr>
      <w:t>P:\ARA\ITU-R\CONF-R\CMR15\100\119REV2A.docx</w:t>
    </w:r>
    <w:r>
      <w:fldChar w:fldCharType="end"/>
    </w:r>
    <w:r w:rsidRPr="00CB4300">
      <w:rPr>
        <w:lang w:val="es-ES"/>
      </w:rPr>
      <w:t xml:space="preserve">   (</w:t>
    </w:r>
    <w:r w:rsidR="00F87309">
      <w:rPr>
        <w:rFonts w:hint="cs"/>
        <w:rtl/>
        <w:lang w:val="es-ES"/>
      </w:rPr>
      <w:t>390149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5571F">
      <w:rPr>
        <w:noProof/>
      </w:rPr>
      <w:t>10.11.15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29.10.15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87309" w:rsidRDefault="00F87309" w:rsidP="00F87309">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P:\ARA\ITU-R\CONF-R\CMR15\100\119REV2A.docx</w:t>
    </w:r>
    <w:r>
      <w:fldChar w:fldCharType="end"/>
    </w:r>
    <w:r w:rsidRPr="00CB4300">
      <w:rPr>
        <w:lang w:val="es-ES"/>
      </w:rPr>
      <w:t xml:space="preserve">   (</w:t>
    </w:r>
    <w:r>
      <w:rPr>
        <w:rFonts w:hint="cs"/>
        <w:rtl/>
        <w:lang w:val="es-ES"/>
      </w:rPr>
      <w:t>390149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Pr>
        <w:noProof/>
      </w:rPr>
      <w:t>10.11.15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F8730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87309">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119</w:t>
    </w:r>
    <w:r w:rsidR="001B26A3">
      <w:rPr>
        <w:rStyle w:val="PageNumber"/>
      </w:rPr>
      <w:t>(Rev.</w:t>
    </w:r>
    <w:r w:rsidR="00F87309">
      <w:rPr>
        <w:rStyle w:val="PageNumber"/>
        <w:rFonts w:hint="cs"/>
        <w:rtl/>
      </w:rPr>
      <w:t>2</w:t>
    </w:r>
    <w:r w:rsidR="001B26A3">
      <w:rPr>
        <w:rStyle w:val="PageNumber"/>
      </w:rPr>
      <w:t>)</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0B63"/>
    <w:rsid w:val="00051907"/>
    <w:rsid w:val="00066F70"/>
    <w:rsid w:val="00075A3F"/>
    <w:rsid w:val="000A1B16"/>
    <w:rsid w:val="000A6038"/>
    <w:rsid w:val="000B5404"/>
    <w:rsid w:val="000D1708"/>
    <w:rsid w:val="000E2AFC"/>
    <w:rsid w:val="000E6D30"/>
    <w:rsid w:val="000F05F5"/>
    <w:rsid w:val="000F28EA"/>
    <w:rsid w:val="000F4E58"/>
    <w:rsid w:val="000F518F"/>
    <w:rsid w:val="0010081C"/>
    <w:rsid w:val="001013E3"/>
    <w:rsid w:val="0010363F"/>
    <w:rsid w:val="00106641"/>
    <w:rsid w:val="0012145D"/>
    <w:rsid w:val="00136B57"/>
    <w:rsid w:val="001464F2"/>
    <w:rsid w:val="001629EC"/>
    <w:rsid w:val="00167364"/>
    <w:rsid w:val="001702F9"/>
    <w:rsid w:val="0017106A"/>
    <w:rsid w:val="00172C07"/>
    <w:rsid w:val="001903B2"/>
    <w:rsid w:val="001B26A3"/>
    <w:rsid w:val="001E190C"/>
    <w:rsid w:val="001E54F6"/>
    <w:rsid w:val="001E5A8C"/>
    <w:rsid w:val="00201A0A"/>
    <w:rsid w:val="002075D4"/>
    <w:rsid w:val="00211B2A"/>
    <w:rsid w:val="00220BA4"/>
    <w:rsid w:val="002333A0"/>
    <w:rsid w:val="00244671"/>
    <w:rsid w:val="002543CF"/>
    <w:rsid w:val="00255868"/>
    <w:rsid w:val="0026062E"/>
    <w:rsid w:val="00260F50"/>
    <w:rsid w:val="00261EF7"/>
    <w:rsid w:val="0027069F"/>
    <w:rsid w:val="00277869"/>
    <w:rsid w:val="00280E04"/>
    <w:rsid w:val="00281F5F"/>
    <w:rsid w:val="0028370B"/>
    <w:rsid w:val="002843E4"/>
    <w:rsid w:val="00291361"/>
    <w:rsid w:val="002919E1"/>
    <w:rsid w:val="00295917"/>
    <w:rsid w:val="00296071"/>
    <w:rsid w:val="002A4572"/>
    <w:rsid w:val="002A7E2E"/>
    <w:rsid w:val="002B16D8"/>
    <w:rsid w:val="002D5F64"/>
    <w:rsid w:val="002D69DC"/>
    <w:rsid w:val="002D6FBF"/>
    <w:rsid w:val="002E48BF"/>
    <w:rsid w:val="002E61C2"/>
    <w:rsid w:val="002E76FE"/>
    <w:rsid w:val="00304CFF"/>
    <w:rsid w:val="00331221"/>
    <w:rsid w:val="0033737F"/>
    <w:rsid w:val="00353652"/>
    <w:rsid w:val="003569E1"/>
    <w:rsid w:val="003815E2"/>
    <w:rsid w:val="00381FAD"/>
    <w:rsid w:val="00382A66"/>
    <w:rsid w:val="003923B1"/>
    <w:rsid w:val="003965FE"/>
    <w:rsid w:val="003A6AB4"/>
    <w:rsid w:val="003A7BC8"/>
    <w:rsid w:val="003B27AD"/>
    <w:rsid w:val="003B4F23"/>
    <w:rsid w:val="003C12F6"/>
    <w:rsid w:val="003C3A13"/>
    <w:rsid w:val="003E02EF"/>
    <w:rsid w:val="003E1608"/>
    <w:rsid w:val="003E1D90"/>
    <w:rsid w:val="003F714A"/>
    <w:rsid w:val="00400CD4"/>
    <w:rsid w:val="004147B9"/>
    <w:rsid w:val="00422C04"/>
    <w:rsid w:val="00426144"/>
    <w:rsid w:val="00437E4B"/>
    <w:rsid w:val="00453B15"/>
    <w:rsid w:val="00461FA7"/>
    <w:rsid w:val="00470CBD"/>
    <w:rsid w:val="0047407D"/>
    <w:rsid w:val="00475635"/>
    <w:rsid w:val="004839E2"/>
    <w:rsid w:val="00487CDE"/>
    <w:rsid w:val="004909DD"/>
    <w:rsid w:val="00496D7A"/>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5B39"/>
    <w:rsid w:val="00576D0A"/>
    <w:rsid w:val="00576FCC"/>
    <w:rsid w:val="00583472"/>
    <w:rsid w:val="00584333"/>
    <w:rsid w:val="005930D8"/>
    <w:rsid w:val="005953EC"/>
    <w:rsid w:val="005A675C"/>
    <w:rsid w:val="005A720F"/>
    <w:rsid w:val="005B00A1"/>
    <w:rsid w:val="005C29C8"/>
    <w:rsid w:val="005C5D25"/>
    <w:rsid w:val="005D6D48"/>
    <w:rsid w:val="005D72A4"/>
    <w:rsid w:val="005E3E1E"/>
    <w:rsid w:val="005F05CC"/>
    <w:rsid w:val="005F65DE"/>
    <w:rsid w:val="00613492"/>
    <w:rsid w:val="006315B5"/>
    <w:rsid w:val="00642D4F"/>
    <w:rsid w:val="00651343"/>
    <w:rsid w:val="0065562F"/>
    <w:rsid w:val="00680A66"/>
    <w:rsid w:val="00681391"/>
    <w:rsid w:val="006A12AC"/>
    <w:rsid w:val="006A2162"/>
    <w:rsid w:val="006A5BC4"/>
    <w:rsid w:val="006B0D94"/>
    <w:rsid w:val="006B4B90"/>
    <w:rsid w:val="006B658C"/>
    <w:rsid w:val="006C7479"/>
    <w:rsid w:val="006D1D31"/>
    <w:rsid w:val="006D2674"/>
    <w:rsid w:val="006E0623"/>
    <w:rsid w:val="006E38D0"/>
    <w:rsid w:val="006E465B"/>
    <w:rsid w:val="006F70BF"/>
    <w:rsid w:val="00707B69"/>
    <w:rsid w:val="00716B1D"/>
    <w:rsid w:val="007248EC"/>
    <w:rsid w:val="00731150"/>
    <w:rsid w:val="00736DCC"/>
    <w:rsid w:val="00741855"/>
    <w:rsid w:val="00742B73"/>
    <w:rsid w:val="00751251"/>
    <w:rsid w:val="00754A73"/>
    <w:rsid w:val="007610E7"/>
    <w:rsid w:val="00764079"/>
    <w:rsid w:val="00770AA0"/>
    <w:rsid w:val="00771F7E"/>
    <w:rsid w:val="00773E9C"/>
    <w:rsid w:val="00776F6B"/>
    <w:rsid w:val="00777694"/>
    <w:rsid w:val="00786A7E"/>
    <w:rsid w:val="007902D2"/>
    <w:rsid w:val="007A0802"/>
    <w:rsid w:val="007A3C3C"/>
    <w:rsid w:val="007B1FCA"/>
    <w:rsid w:val="007B3DEA"/>
    <w:rsid w:val="007C1610"/>
    <w:rsid w:val="007C2C12"/>
    <w:rsid w:val="007C3CFA"/>
    <w:rsid w:val="007D5D0F"/>
    <w:rsid w:val="007D6537"/>
    <w:rsid w:val="007E0E8B"/>
    <w:rsid w:val="007F08CA"/>
    <w:rsid w:val="007F7FC3"/>
    <w:rsid w:val="00810482"/>
    <w:rsid w:val="00817568"/>
    <w:rsid w:val="008204AC"/>
    <w:rsid w:val="008261C2"/>
    <w:rsid w:val="00830D96"/>
    <w:rsid w:val="00843F93"/>
    <w:rsid w:val="008455BE"/>
    <w:rsid w:val="0085569D"/>
    <w:rsid w:val="00855B59"/>
    <w:rsid w:val="0085774F"/>
    <w:rsid w:val="008657CB"/>
    <w:rsid w:val="00866A15"/>
    <w:rsid w:val="0088384B"/>
    <w:rsid w:val="008911EC"/>
    <w:rsid w:val="00893E53"/>
    <w:rsid w:val="00896A3C"/>
    <w:rsid w:val="008A1137"/>
    <w:rsid w:val="008A1788"/>
    <w:rsid w:val="008A4185"/>
    <w:rsid w:val="008A6552"/>
    <w:rsid w:val="008B4E93"/>
    <w:rsid w:val="008D4BAB"/>
    <w:rsid w:val="008D4F14"/>
    <w:rsid w:val="008D6ACC"/>
    <w:rsid w:val="008D7AF0"/>
    <w:rsid w:val="008E32DD"/>
    <w:rsid w:val="008E46D8"/>
    <w:rsid w:val="008F4626"/>
    <w:rsid w:val="008F5090"/>
    <w:rsid w:val="009004DF"/>
    <w:rsid w:val="00904AA5"/>
    <w:rsid w:val="00905D21"/>
    <w:rsid w:val="00915554"/>
    <w:rsid w:val="0094453E"/>
    <w:rsid w:val="00951718"/>
    <w:rsid w:val="00954CCB"/>
    <w:rsid w:val="00960962"/>
    <w:rsid w:val="00972CE0"/>
    <w:rsid w:val="009A1CA4"/>
    <w:rsid w:val="009A3D30"/>
    <w:rsid w:val="009B0BD8"/>
    <w:rsid w:val="009D6348"/>
    <w:rsid w:val="009E613F"/>
    <w:rsid w:val="009F042B"/>
    <w:rsid w:val="009F7BA0"/>
    <w:rsid w:val="00A02E4B"/>
    <w:rsid w:val="00A03FD6"/>
    <w:rsid w:val="00A116A8"/>
    <w:rsid w:val="00A22AE9"/>
    <w:rsid w:val="00A26758"/>
    <w:rsid w:val="00A26D0E"/>
    <w:rsid w:val="00A278E9"/>
    <w:rsid w:val="00A343ED"/>
    <w:rsid w:val="00A3451F"/>
    <w:rsid w:val="00A36268"/>
    <w:rsid w:val="00A40B2C"/>
    <w:rsid w:val="00A61E5E"/>
    <w:rsid w:val="00A66D2B"/>
    <w:rsid w:val="00A83981"/>
    <w:rsid w:val="00A841BA"/>
    <w:rsid w:val="00A870AD"/>
    <w:rsid w:val="00A90843"/>
    <w:rsid w:val="00A9645C"/>
    <w:rsid w:val="00A977C1"/>
    <w:rsid w:val="00AB2A33"/>
    <w:rsid w:val="00AC1275"/>
    <w:rsid w:val="00AC7395"/>
    <w:rsid w:val="00AD690F"/>
    <w:rsid w:val="00AD69DD"/>
    <w:rsid w:val="00AD706D"/>
    <w:rsid w:val="00AF41D1"/>
    <w:rsid w:val="00B01623"/>
    <w:rsid w:val="00B02898"/>
    <w:rsid w:val="00B033DF"/>
    <w:rsid w:val="00B07CEE"/>
    <w:rsid w:val="00B12661"/>
    <w:rsid w:val="00B1714C"/>
    <w:rsid w:val="00B357E9"/>
    <w:rsid w:val="00B4164D"/>
    <w:rsid w:val="00B425C1"/>
    <w:rsid w:val="00B528DF"/>
    <w:rsid w:val="00B606BA"/>
    <w:rsid w:val="00B66817"/>
    <w:rsid w:val="00B671B0"/>
    <w:rsid w:val="00B71E3B"/>
    <w:rsid w:val="00B721D5"/>
    <w:rsid w:val="00B72829"/>
    <w:rsid w:val="00B81CB5"/>
    <w:rsid w:val="00B8351F"/>
    <w:rsid w:val="00B86C44"/>
    <w:rsid w:val="00B9727C"/>
    <w:rsid w:val="00BA610A"/>
    <w:rsid w:val="00BA7D44"/>
    <w:rsid w:val="00BD02D6"/>
    <w:rsid w:val="00BD6EF3"/>
    <w:rsid w:val="00BE69C3"/>
    <w:rsid w:val="00C06F81"/>
    <w:rsid w:val="00C1165E"/>
    <w:rsid w:val="00C17F5D"/>
    <w:rsid w:val="00C22074"/>
    <w:rsid w:val="00C2377B"/>
    <w:rsid w:val="00C25AA0"/>
    <w:rsid w:val="00C3693C"/>
    <w:rsid w:val="00C53F6F"/>
    <w:rsid w:val="00C5489D"/>
    <w:rsid w:val="00C71759"/>
    <w:rsid w:val="00C8199C"/>
    <w:rsid w:val="00C84112"/>
    <w:rsid w:val="00C841EB"/>
    <w:rsid w:val="00C8665F"/>
    <w:rsid w:val="00C87092"/>
    <w:rsid w:val="00C90882"/>
    <w:rsid w:val="00C917B5"/>
    <w:rsid w:val="00C94DFA"/>
    <w:rsid w:val="00CA298C"/>
    <w:rsid w:val="00CB2BF9"/>
    <w:rsid w:val="00CB4300"/>
    <w:rsid w:val="00CB454E"/>
    <w:rsid w:val="00CC030E"/>
    <w:rsid w:val="00CC57D0"/>
    <w:rsid w:val="00CC68C4"/>
    <w:rsid w:val="00CC79A4"/>
    <w:rsid w:val="00CD0DB9"/>
    <w:rsid w:val="00CD0FDE"/>
    <w:rsid w:val="00CD1A90"/>
    <w:rsid w:val="00CE0E68"/>
    <w:rsid w:val="00CE5BA4"/>
    <w:rsid w:val="00D03C14"/>
    <w:rsid w:val="00D06A45"/>
    <w:rsid w:val="00D25120"/>
    <w:rsid w:val="00D33E78"/>
    <w:rsid w:val="00D419CB"/>
    <w:rsid w:val="00D44350"/>
    <w:rsid w:val="00D44E3F"/>
    <w:rsid w:val="00D525F5"/>
    <w:rsid w:val="00D535D0"/>
    <w:rsid w:val="00D62508"/>
    <w:rsid w:val="00D62C78"/>
    <w:rsid w:val="00D62E17"/>
    <w:rsid w:val="00D81703"/>
    <w:rsid w:val="00D82929"/>
    <w:rsid w:val="00D84214"/>
    <w:rsid w:val="00D943E5"/>
    <w:rsid w:val="00DA1AE0"/>
    <w:rsid w:val="00DA6EB7"/>
    <w:rsid w:val="00DB1597"/>
    <w:rsid w:val="00DC29DD"/>
    <w:rsid w:val="00DC7C0E"/>
    <w:rsid w:val="00DE7E0A"/>
    <w:rsid w:val="00DF160E"/>
    <w:rsid w:val="00DF2A6A"/>
    <w:rsid w:val="00DF3B72"/>
    <w:rsid w:val="00E10821"/>
    <w:rsid w:val="00E13094"/>
    <w:rsid w:val="00E165ED"/>
    <w:rsid w:val="00E220B0"/>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270B1"/>
    <w:rsid w:val="00F350C8"/>
    <w:rsid w:val="00F5571F"/>
    <w:rsid w:val="00F60144"/>
    <w:rsid w:val="00F64E4A"/>
    <w:rsid w:val="00F85D25"/>
    <w:rsid w:val="00F8654D"/>
    <w:rsid w:val="00F87309"/>
    <w:rsid w:val="00F900C9"/>
    <w:rsid w:val="00F92C96"/>
    <w:rsid w:val="00FA0D4E"/>
    <w:rsid w:val="00FA5DFB"/>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EE04DF1-F47E-4D0D-9212-C0FA64B2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R15-WRC15-C-0119!!MSW-A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04AE1-48F3-46D2-922B-320E9767BF2A}">
  <ds:schemaRefs>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infopath/2007/PartnerControls"/>
    <ds:schemaRef ds:uri="http://www.w3.org/XML/1998/namespace"/>
    <ds:schemaRef ds:uri="http://purl.org/dc/terms/"/>
    <ds:schemaRef ds:uri="http://schemas.microsoft.com/office/2006/metadata/properties"/>
    <ds:schemaRef ds:uri="32a1a8c5-2265-4ebc-b7a0-2071e2c5c9bb"/>
    <ds:schemaRef ds:uri="http://purl.org/dc/elements/1.1/"/>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9D32571-5E63-4773-B111-02E3C7F0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1027</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R15-WRC15-C-0119!!MSW-A</vt:lpstr>
    </vt:vector>
  </TitlesOfParts>
  <Manager>General Secretariat - Pool</Manager>
  <Company>International Telecommunication Union (ITU)</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R15-WRC15-C-0119!!MSW-A</dc:title>
  <dc:creator>Documents Proposals Manager (DPM)</dc:creator>
  <cp:keywords>DPM_v5.2015.10.230_prod</cp:keywords>
  <cp:lastModifiedBy>Tahawi, Mohamad </cp:lastModifiedBy>
  <cp:revision>3</cp:revision>
  <cp:lastPrinted>2015-10-29T21:53:00Z</cp:lastPrinted>
  <dcterms:created xsi:type="dcterms:W3CDTF">2015-11-13T14:08:00Z</dcterms:created>
  <dcterms:modified xsi:type="dcterms:W3CDTF">2015-11-13T14:10:00Z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