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7A03CC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7A03CC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7A03CC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7A03CC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7A03C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7A03CC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7A03C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B07DD0" w:rsidRDefault="006D4724" w:rsidP="007A03CC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B07DD0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2 au</w:t>
            </w:r>
            <w:r w:rsidRPr="00B07DD0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118(Add.9)</w:t>
            </w:r>
            <w:r w:rsidR="00BB1D82" w:rsidRPr="00B07DD0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B07DD0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B07DD0" w:rsidRDefault="00690C7B" w:rsidP="007A03CC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7A03C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7A03C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7A03C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7A03C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7108A9" w:rsidP="007A03CC">
            <w:pPr>
              <w:pStyle w:val="Source"/>
              <w:rPr>
                <w:lang w:val="en-US"/>
              </w:rPr>
            </w:pPr>
            <w:bookmarkStart w:id="2" w:name="dsource" w:colFirst="0" w:colLast="0"/>
            <w:r>
              <w:rPr>
                <w:lang w:val="en-US"/>
              </w:rPr>
              <w:t xml:space="preserve">Indonésie (République d'), </w:t>
            </w:r>
            <w:r w:rsidR="00690C7B" w:rsidRPr="002A6F8F">
              <w:rPr>
                <w:lang w:val="en-US"/>
              </w:rPr>
              <w:t>Malaisie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07DD0" w:rsidRDefault="00690C7B" w:rsidP="007A03CC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B07DD0">
              <w:rPr>
                <w:lang w:val="fr-CH"/>
              </w:rPr>
              <w:t>Propos</w:t>
            </w:r>
            <w:r w:rsidR="00B07DD0" w:rsidRPr="00B07DD0">
              <w:rPr>
                <w:lang w:val="fr-CH"/>
              </w:rPr>
              <w:t xml:space="preserve">itions pour les travaux de la </w:t>
            </w:r>
            <w:r w:rsidRPr="00B07DD0">
              <w:rPr>
                <w:lang w:val="fr-CH"/>
              </w:rPr>
              <w:t>conf</w:t>
            </w:r>
            <w:r w:rsidR="00B07DD0" w:rsidRPr="00B07DD0">
              <w:rPr>
                <w:lang w:val="fr-CH"/>
              </w:rPr>
              <w:t>é</w:t>
            </w:r>
            <w:r w:rsidRPr="00B07DD0">
              <w:rPr>
                <w:lang w:val="fr-CH"/>
              </w:rPr>
              <w:t>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B07DD0" w:rsidRDefault="00690C7B" w:rsidP="007A03CC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7A03CC">
            <w:pPr>
              <w:pStyle w:val="Agendaitem"/>
            </w:pPr>
            <w:bookmarkStart w:id="5" w:name="dtitle3" w:colFirst="0" w:colLast="0"/>
            <w:bookmarkEnd w:id="4"/>
            <w:r w:rsidRPr="006D4724">
              <w:t>Point 1.9.2 de l'ordre du jour</w:t>
            </w:r>
          </w:p>
        </w:tc>
      </w:tr>
    </w:tbl>
    <w:bookmarkEnd w:id="5"/>
    <w:p w:rsidR="001C0E40" w:rsidRPr="008201B2" w:rsidRDefault="005B068E" w:rsidP="007A03CC">
      <w:r w:rsidRPr="00346C84">
        <w:t>1.9</w:t>
      </w:r>
      <w:r w:rsidRPr="00346C84">
        <w:tab/>
      </w:r>
      <w:r w:rsidRPr="008201B2">
        <w:t>examiner, conformément à la Résolution </w:t>
      </w:r>
      <w:r w:rsidRPr="008201B2">
        <w:rPr>
          <w:b/>
          <w:bCs/>
        </w:rPr>
        <w:t>758 (CMR-12)</w:t>
      </w:r>
      <w:r w:rsidRPr="008201B2">
        <w:t>:</w:t>
      </w:r>
    </w:p>
    <w:p w:rsidR="001C0E40" w:rsidRPr="000629B4" w:rsidRDefault="005B068E" w:rsidP="007A03CC">
      <w:pPr>
        <w:rPr>
          <w:lang w:val="fr-CA"/>
        </w:rPr>
      </w:pPr>
      <w:r w:rsidRPr="008201B2">
        <w:rPr>
          <w:lang w:val="fr-CA"/>
        </w:rPr>
        <w:t>1.9.2</w:t>
      </w:r>
      <w:r w:rsidRPr="008201B2">
        <w:rPr>
          <w:lang w:val="fr-CA"/>
        </w:rPr>
        <w:tab/>
        <w:t xml:space="preserve">la possibilité d'attribuer les </w:t>
      </w:r>
      <w:r w:rsidR="008201B2">
        <w:rPr>
          <w:lang w:val="fr-CA"/>
        </w:rPr>
        <w:t>bandes 7 375-7 750 MHz et 8 025-8 400 </w:t>
      </w:r>
      <w:r w:rsidRPr="008201B2">
        <w:rPr>
          <w:lang w:val="fr-CA"/>
        </w:rPr>
        <w:t>MHz au service mobile maritime par satellite, et des mesures réglementaires additionnelles, en fonction des résultats des études pertinentes;</w:t>
      </w:r>
    </w:p>
    <w:p w:rsidR="00B07DD0" w:rsidRPr="008201B2" w:rsidRDefault="00B07DD0" w:rsidP="007A03CC">
      <w:pPr>
        <w:pStyle w:val="Headingb"/>
        <w:rPr>
          <w:lang w:val="fr-CH"/>
        </w:rPr>
      </w:pPr>
      <w:r w:rsidRPr="008201B2">
        <w:rPr>
          <w:lang w:val="fr-CH"/>
        </w:rPr>
        <w:t>Introduction</w:t>
      </w:r>
    </w:p>
    <w:p w:rsidR="007108A9" w:rsidRPr="007108A9" w:rsidRDefault="007108A9" w:rsidP="007A03CC">
      <w:pPr>
        <w:rPr>
          <w:lang w:val="fr-CH" w:eastAsia="ko-KR"/>
        </w:rPr>
      </w:pPr>
      <w:r w:rsidRPr="007108A9">
        <w:rPr>
          <w:lang w:val="fr-CH" w:eastAsia="ko-KR"/>
        </w:rPr>
        <w:t xml:space="preserve">L’Indonésie et la Malaisie s’opposent à la nouvelle attribution au </w:t>
      </w:r>
      <w:r w:rsidR="005621A0" w:rsidRPr="000629B4">
        <w:rPr>
          <w:lang w:val="fr-CA"/>
        </w:rPr>
        <w:t>service mobile maritime par satellite</w:t>
      </w:r>
      <w:r w:rsidR="008201B2">
        <w:rPr>
          <w:lang w:val="fr-CH" w:eastAsia="ko-KR"/>
        </w:rPr>
        <w:t xml:space="preserve"> dans les bandes 7 375-7 750 </w:t>
      </w:r>
      <w:r w:rsidRPr="007108A9">
        <w:rPr>
          <w:lang w:val="fr-CH" w:eastAsia="ko-KR"/>
        </w:rPr>
        <w:t xml:space="preserve">MHz </w:t>
      </w:r>
      <w:r w:rsidR="005621A0">
        <w:rPr>
          <w:lang w:val="fr-CH" w:eastAsia="ko-KR"/>
        </w:rPr>
        <w:t>et</w:t>
      </w:r>
      <w:r w:rsidRPr="007108A9">
        <w:rPr>
          <w:lang w:val="fr-CH" w:eastAsia="ko-KR"/>
        </w:rPr>
        <w:t xml:space="preserve"> </w:t>
      </w:r>
      <w:r w:rsidRPr="007108A9">
        <w:rPr>
          <w:rFonts w:hint="eastAsia"/>
          <w:lang w:val="fr-CH" w:eastAsia="ko-KR"/>
        </w:rPr>
        <w:t>8</w:t>
      </w:r>
      <w:r w:rsidRPr="007108A9">
        <w:rPr>
          <w:lang w:val="fr-CH" w:eastAsia="ko-KR"/>
        </w:rPr>
        <w:t> </w:t>
      </w:r>
      <w:r w:rsidRPr="007108A9">
        <w:rPr>
          <w:rFonts w:hint="eastAsia"/>
          <w:lang w:val="fr-CH" w:eastAsia="ko-KR"/>
        </w:rPr>
        <w:t>025</w:t>
      </w:r>
      <w:r w:rsidRPr="007108A9">
        <w:rPr>
          <w:lang w:val="fr-CH" w:eastAsia="ko-KR"/>
        </w:rPr>
        <w:noBreakHyphen/>
      </w:r>
      <w:r w:rsidRPr="007108A9">
        <w:rPr>
          <w:rFonts w:hint="eastAsia"/>
          <w:lang w:val="fr-CH" w:eastAsia="ko-KR"/>
        </w:rPr>
        <w:t>8</w:t>
      </w:r>
      <w:r w:rsidRPr="007108A9">
        <w:rPr>
          <w:lang w:val="fr-CH" w:eastAsia="ko-KR"/>
        </w:rPr>
        <w:t> </w:t>
      </w:r>
      <w:r w:rsidR="008201B2">
        <w:rPr>
          <w:rFonts w:hint="eastAsia"/>
          <w:lang w:val="fr-CH" w:eastAsia="ko-KR"/>
        </w:rPr>
        <w:t>400</w:t>
      </w:r>
      <w:r w:rsidR="008201B2">
        <w:rPr>
          <w:lang w:val="fr-CH" w:eastAsia="ko-KR"/>
        </w:rPr>
        <w:t> </w:t>
      </w:r>
      <w:r w:rsidRPr="007108A9">
        <w:rPr>
          <w:rFonts w:hint="eastAsia"/>
          <w:lang w:val="fr-CH" w:eastAsia="ko-KR"/>
        </w:rPr>
        <w:t>MHz</w:t>
      </w:r>
      <w:r>
        <w:rPr>
          <w:lang w:val="fr-CH" w:eastAsia="ko-KR"/>
        </w:rPr>
        <w:t xml:space="preserve">. L’Indonésie et la Malaisie ne souhaitent </w:t>
      </w:r>
      <w:r w:rsidR="008201B2">
        <w:rPr>
          <w:lang w:val="fr-CH" w:eastAsia="ko-KR"/>
        </w:rPr>
        <w:t xml:space="preserve">donc </w:t>
      </w:r>
      <w:r>
        <w:rPr>
          <w:lang w:val="fr-CH" w:eastAsia="ko-KR"/>
        </w:rPr>
        <w:t>pas modifier le Règlement des radiocommunications. En outre, l’Indonésie et la Malaisie sont également en faveur de la suppression de la Résolution 758 (CMR-12)</w:t>
      </w:r>
      <w:r w:rsidR="005621A0">
        <w:rPr>
          <w:lang w:val="fr-CH" w:eastAsia="ko-KR"/>
        </w:rPr>
        <w:t>.</w:t>
      </w:r>
    </w:p>
    <w:p w:rsidR="00B07DD0" w:rsidRDefault="00B07DD0" w:rsidP="007A03CC">
      <w:pPr>
        <w:pStyle w:val="Headingb"/>
        <w:rPr>
          <w:lang w:eastAsia="ko-KR"/>
        </w:rPr>
      </w:pPr>
      <w:r w:rsidRPr="00CC7F7F">
        <w:rPr>
          <w:rFonts w:hint="eastAsia"/>
          <w:lang w:eastAsia="ko-KR"/>
        </w:rPr>
        <w:t>Propos</w:t>
      </w:r>
      <w:r>
        <w:rPr>
          <w:lang w:eastAsia="ko-KR"/>
        </w:rPr>
        <w:t>itions</w:t>
      </w:r>
    </w:p>
    <w:p w:rsidR="00B07DD0" w:rsidRPr="002A2C96" w:rsidRDefault="00B07DD0" w:rsidP="007A03C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A2C96">
        <w:br w:type="page"/>
      </w:r>
    </w:p>
    <w:p w:rsidR="004A6A8C" w:rsidRPr="008201B2" w:rsidRDefault="005B068E" w:rsidP="007A03CC">
      <w:pPr>
        <w:pStyle w:val="ArtNo"/>
      </w:pPr>
      <w:r w:rsidRPr="008201B2">
        <w:lastRenderedPageBreak/>
        <w:t xml:space="preserve">ARTICLE </w:t>
      </w:r>
      <w:r w:rsidRPr="008201B2">
        <w:rPr>
          <w:rStyle w:val="href"/>
          <w:color w:val="000000"/>
        </w:rPr>
        <w:t>5</w:t>
      </w:r>
    </w:p>
    <w:p w:rsidR="004A6A8C" w:rsidRPr="008201B2" w:rsidRDefault="005B068E" w:rsidP="007A03CC">
      <w:pPr>
        <w:pStyle w:val="Arttitle"/>
        <w:rPr>
          <w:lang w:val="fr-CH"/>
        </w:rPr>
      </w:pPr>
      <w:r w:rsidRPr="008201B2">
        <w:rPr>
          <w:lang w:val="fr-CH"/>
        </w:rPr>
        <w:t>Attribution des bandes de fréquences</w:t>
      </w:r>
    </w:p>
    <w:p w:rsidR="004A6A8C" w:rsidRPr="00375EEA" w:rsidRDefault="005B068E" w:rsidP="007A03CC">
      <w:pPr>
        <w:pStyle w:val="Section1"/>
        <w:keepNext/>
      </w:pPr>
      <w:r w:rsidRPr="008201B2">
        <w:t>Section IV – Tableau d'attribution des bandes de fréquences</w:t>
      </w:r>
      <w:r w:rsidRPr="008201B2">
        <w:br/>
      </w:r>
      <w:r w:rsidRPr="008201B2">
        <w:rPr>
          <w:b w:val="0"/>
          <w:bCs/>
        </w:rPr>
        <w:t>(Voir le numéro</w:t>
      </w:r>
      <w:r w:rsidRPr="008201B2">
        <w:t xml:space="preserve"> 2.1</w:t>
      </w:r>
      <w:r w:rsidRPr="008201B2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E71765" w:rsidRDefault="005B068E" w:rsidP="007A03CC">
      <w:pPr>
        <w:pStyle w:val="Proposal"/>
      </w:pPr>
      <w:r>
        <w:rPr>
          <w:u w:val="single"/>
        </w:rPr>
        <w:t>NOC</w:t>
      </w:r>
      <w:r>
        <w:tab/>
        <w:t>INS/MLA/118A9A2/1</w:t>
      </w:r>
    </w:p>
    <w:p w:rsidR="004A6A8C" w:rsidRPr="008201B2" w:rsidRDefault="005B068E" w:rsidP="007A03CC">
      <w:pPr>
        <w:pStyle w:val="Tabletitle"/>
        <w:rPr>
          <w:color w:val="000000"/>
        </w:rPr>
      </w:pPr>
      <w:r w:rsidRPr="008201B2">
        <w:rPr>
          <w:color w:val="000000"/>
        </w:rPr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RPr="008201B2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8201B2" w:rsidRDefault="005B068E" w:rsidP="007A03CC">
            <w:pPr>
              <w:pStyle w:val="Tablehead"/>
              <w:rPr>
                <w:color w:val="000000"/>
              </w:rPr>
            </w:pPr>
            <w:r w:rsidRPr="008201B2">
              <w:rPr>
                <w:color w:val="000000"/>
              </w:rPr>
              <w:t>Attribution aux services</w:t>
            </w:r>
          </w:p>
        </w:tc>
      </w:tr>
      <w:tr w:rsidR="004A6A8C" w:rsidRPr="008201B2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8201B2" w:rsidRDefault="005B068E" w:rsidP="007A03CC">
            <w:pPr>
              <w:pStyle w:val="Tablehead"/>
              <w:rPr>
                <w:color w:val="000000"/>
              </w:rPr>
            </w:pPr>
            <w:r w:rsidRPr="008201B2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8201B2" w:rsidRDefault="005B068E" w:rsidP="007A03CC">
            <w:pPr>
              <w:pStyle w:val="Tablehead"/>
              <w:rPr>
                <w:color w:val="000000"/>
              </w:rPr>
            </w:pPr>
            <w:r w:rsidRPr="008201B2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8201B2" w:rsidRDefault="005B068E" w:rsidP="007A03CC">
            <w:pPr>
              <w:pStyle w:val="Tablehead"/>
              <w:rPr>
                <w:color w:val="000000"/>
              </w:rPr>
            </w:pPr>
            <w:r w:rsidRPr="008201B2">
              <w:rPr>
                <w:color w:val="000000"/>
              </w:rPr>
              <w:t>Région 3</w:t>
            </w:r>
          </w:p>
        </w:tc>
      </w:tr>
      <w:tr w:rsidR="004A6A8C" w:rsidRPr="008201B2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rStyle w:val="Tablefreq"/>
              </w:rPr>
              <w:t>7 300-7 450</w:t>
            </w:r>
            <w:r w:rsidRPr="008201B2">
              <w:rPr>
                <w:color w:val="000000"/>
              </w:rPr>
              <w:tab/>
              <w:t>FIXE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  <w:t>FIXE PAR SATELLITE (espace vers Terre)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  <w:t>MOBILE sauf mobile aéronautique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rStyle w:val="Artref"/>
                <w:color w:val="000000"/>
              </w:rPr>
              <w:t>5.461</w:t>
            </w:r>
          </w:p>
        </w:tc>
      </w:tr>
      <w:tr w:rsidR="004A6A8C" w:rsidRPr="008201B2" w:rsidTr="00D94B9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304" w:type="dxa"/>
            <w:gridSpan w:val="3"/>
          </w:tcPr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rStyle w:val="Tablefreq"/>
              </w:rPr>
              <w:t>7 450-7 550</w:t>
            </w:r>
            <w:r w:rsidRPr="008201B2">
              <w:rPr>
                <w:color w:val="000000"/>
              </w:rPr>
              <w:tab/>
              <w:t>FIXE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  <w:t>FIXE PAR SATELLITE (espace vers Terre)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  <w:t>MÉTÉOROLOGIE PAR SATELLITE (espace vers Terre)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  <w:t>MOBILE sauf mobile aéronautique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rStyle w:val="Artref"/>
                <w:color w:val="000000"/>
              </w:rPr>
              <w:t>5.461A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rStyle w:val="Tablefreq"/>
              </w:rPr>
              <w:t>7 550-7 750</w:t>
            </w:r>
            <w:r w:rsidRPr="008201B2">
              <w:rPr>
                <w:color w:val="000000"/>
              </w:rPr>
              <w:tab/>
              <w:t>FIXE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  <w:t>FIXE PAR SATELLITE (espace vers Terre)</w:t>
            </w:r>
          </w:p>
          <w:p w:rsidR="004A6A8C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  <w:t>MOBILE sauf mobile aéronautique</w:t>
            </w:r>
          </w:p>
        </w:tc>
      </w:tr>
    </w:tbl>
    <w:p w:rsidR="00E71765" w:rsidRPr="007108A9" w:rsidRDefault="005B068E" w:rsidP="007A03CC">
      <w:pPr>
        <w:pStyle w:val="Reasons"/>
      </w:pPr>
      <w:r w:rsidRPr="007108A9">
        <w:rPr>
          <w:b/>
        </w:rPr>
        <w:t>Motifs:</w:t>
      </w:r>
      <w:r w:rsidRPr="007108A9">
        <w:tab/>
      </w:r>
      <w:r w:rsidR="007108A9" w:rsidRPr="007108A9">
        <w:t>Pas de modificat</w:t>
      </w:r>
      <w:r w:rsidR="008201B2">
        <w:t>ion en ce qui concerne la bande 7 375-7 750 </w:t>
      </w:r>
      <w:r w:rsidR="00B07DD0" w:rsidRPr="007108A9">
        <w:t>MHz</w:t>
      </w:r>
      <w:r w:rsidR="007108A9">
        <w:t>, en raison de l’incompatibili</w:t>
      </w:r>
      <w:r w:rsidR="008201B2">
        <w:t>té avec les services existants.</w:t>
      </w:r>
      <w:r w:rsidR="00B07DD0" w:rsidRPr="007108A9">
        <w:t xml:space="preserve"> </w:t>
      </w:r>
    </w:p>
    <w:p w:rsidR="00E71765" w:rsidRDefault="005B068E" w:rsidP="007A03CC">
      <w:pPr>
        <w:pStyle w:val="Proposal"/>
      </w:pPr>
      <w:r>
        <w:rPr>
          <w:u w:val="single"/>
        </w:rPr>
        <w:t>NOC</w:t>
      </w:r>
      <w:r>
        <w:tab/>
        <w:t>INS/MLA/118A9A2/2</w:t>
      </w:r>
    </w:p>
    <w:p w:rsidR="004A6A8C" w:rsidRPr="008201B2" w:rsidRDefault="005B068E" w:rsidP="007A03CC">
      <w:pPr>
        <w:pStyle w:val="Tabletitle"/>
        <w:rPr>
          <w:color w:val="000000"/>
        </w:rPr>
      </w:pPr>
      <w:r w:rsidRPr="008201B2">
        <w:rPr>
          <w:color w:val="000000"/>
        </w:rPr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4A6A8C" w:rsidRPr="008201B2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8201B2" w:rsidRDefault="005B068E" w:rsidP="007A03CC">
            <w:pPr>
              <w:pStyle w:val="Tablehead"/>
              <w:rPr>
                <w:color w:val="000000"/>
              </w:rPr>
            </w:pPr>
            <w:r w:rsidRPr="008201B2">
              <w:rPr>
                <w:color w:val="000000"/>
              </w:rPr>
              <w:t>Attribution aux services</w:t>
            </w:r>
          </w:p>
        </w:tc>
      </w:tr>
      <w:tr w:rsidR="004A6A8C" w:rsidRPr="008201B2" w:rsidTr="00D94B99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8201B2" w:rsidRDefault="005B068E" w:rsidP="007A03CC">
            <w:pPr>
              <w:pStyle w:val="Tablehead"/>
              <w:rPr>
                <w:color w:val="000000"/>
              </w:rPr>
            </w:pPr>
            <w:r w:rsidRPr="008201B2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8201B2" w:rsidRDefault="005B068E" w:rsidP="007A03CC">
            <w:pPr>
              <w:pStyle w:val="Tablehead"/>
              <w:rPr>
                <w:color w:val="000000"/>
              </w:rPr>
            </w:pPr>
            <w:r w:rsidRPr="008201B2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8201B2" w:rsidRDefault="005B068E" w:rsidP="007A03CC">
            <w:pPr>
              <w:pStyle w:val="Tablehead"/>
              <w:rPr>
                <w:color w:val="000000"/>
              </w:rPr>
            </w:pPr>
            <w:r w:rsidRPr="008201B2">
              <w:rPr>
                <w:color w:val="000000"/>
              </w:rPr>
              <w:t>Région 3</w:t>
            </w:r>
          </w:p>
        </w:tc>
      </w:tr>
      <w:tr w:rsidR="004A6A8C" w:rsidRPr="008201B2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rStyle w:val="Tablefreq"/>
              </w:rPr>
              <w:t>8 025-8 175</w:t>
            </w:r>
            <w:r w:rsidRPr="008201B2">
              <w:rPr>
                <w:color w:val="000000"/>
              </w:rPr>
              <w:tab/>
              <w:t>EXPLORATION DE LA TERRE PAR SATELLITE (espace vers Terre)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  <w:t>FIXE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  <w:t>FIXE PAR SATELLITE (Terre vers espace)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  <w:lang w:val="fr-CH"/>
              </w:rPr>
              <w:t xml:space="preserve">MOBILE  </w:t>
            </w:r>
            <w:r w:rsidRPr="008201B2"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1B2">
              <w:rPr>
                <w:color w:val="000000"/>
                <w:lang w:val="fr-CH"/>
              </w:rPr>
              <w:tab/>
            </w:r>
            <w:r w:rsidRPr="008201B2">
              <w:rPr>
                <w:color w:val="000000"/>
                <w:lang w:val="fr-CH"/>
              </w:rPr>
              <w:tab/>
            </w:r>
            <w:r w:rsidRPr="008201B2">
              <w:rPr>
                <w:color w:val="000000"/>
                <w:lang w:val="fr-CH"/>
              </w:rPr>
              <w:tab/>
            </w:r>
            <w:r w:rsidRPr="008201B2">
              <w:rPr>
                <w:color w:val="000000"/>
                <w:lang w:val="fr-CH"/>
              </w:rPr>
              <w:tab/>
            </w:r>
            <w:r w:rsidRPr="008201B2">
              <w:rPr>
                <w:rStyle w:val="Artref"/>
                <w:color w:val="000000"/>
                <w:lang w:val="fr-CH"/>
              </w:rPr>
              <w:t>5.462A</w:t>
            </w:r>
          </w:p>
        </w:tc>
      </w:tr>
      <w:tr w:rsidR="004A6A8C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rStyle w:val="Tablefreq"/>
              </w:rPr>
              <w:t>8 175-8 215</w:t>
            </w:r>
            <w:r w:rsidRPr="008201B2">
              <w:rPr>
                <w:b/>
                <w:color w:val="000000"/>
              </w:rPr>
              <w:tab/>
            </w:r>
            <w:r w:rsidRPr="008201B2">
              <w:rPr>
                <w:color w:val="000000"/>
              </w:rPr>
              <w:t>EXPLORATION DE LA TERRE PAR SATELLITE (espace vers Terre)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  <w:t>FIXE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  <w:t>FIXE PAR SATELLITE (Terre vers espace)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  <w:t>MÉTÉOROLOGIE PAR SATELLITE (Terre vers espace)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  <w:lang w:val="fr-CH"/>
              </w:rPr>
              <w:t xml:space="preserve">MOBILE  </w:t>
            </w:r>
            <w:r w:rsidRPr="008201B2"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Default="005B068E" w:rsidP="007A03C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1B2">
              <w:rPr>
                <w:color w:val="000000"/>
                <w:lang w:val="fr-CH"/>
              </w:rPr>
              <w:tab/>
            </w:r>
            <w:r w:rsidRPr="008201B2">
              <w:rPr>
                <w:color w:val="000000"/>
                <w:lang w:val="fr-CH"/>
              </w:rPr>
              <w:tab/>
            </w:r>
            <w:r w:rsidRPr="008201B2">
              <w:rPr>
                <w:color w:val="000000"/>
                <w:lang w:val="fr-CH"/>
              </w:rPr>
              <w:tab/>
            </w:r>
            <w:r w:rsidRPr="008201B2">
              <w:rPr>
                <w:color w:val="000000"/>
                <w:lang w:val="fr-CH"/>
              </w:rPr>
              <w:tab/>
            </w:r>
            <w:r w:rsidRPr="008201B2">
              <w:rPr>
                <w:rStyle w:val="Artref"/>
                <w:color w:val="000000"/>
                <w:lang w:val="fr-CH"/>
              </w:rPr>
              <w:t>5.462A</w:t>
            </w:r>
          </w:p>
        </w:tc>
      </w:tr>
      <w:tr w:rsidR="004A6A8C" w:rsidRPr="008201B2" w:rsidTr="00D94B9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8201B2" w:rsidRDefault="005B068E" w:rsidP="007A03CC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8201B2">
              <w:rPr>
                <w:rStyle w:val="Tablefreq"/>
              </w:rPr>
              <w:t>8 215-8 400</w:t>
            </w:r>
            <w:r w:rsidRPr="008201B2">
              <w:rPr>
                <w:b/>
                <w:color w:val="000000"/>
              </w:rPr>
              <w:tab/>
            </w:r>
            <w:r w:rsidRPr="008201B2">
              <w:rPr>
                <w:color w:val="000000"/>
              </w:rPr>
              <w:t>EXPLORATION DE LA TERRE PAR SATELLITE (espace vers Terre)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  <w:t>FIXE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  <w:t>FIXE PAR SATELLITE (Terre vers espace)</w:t>
            </w:r>
          </w:p>
          <w:p w:rsidR="004A6A8C" w:rsidRPr="008201B2" w:rsidRDefault="005B068E" w:rsidP="007A03CC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</w:rPr>
              <w:tab/>
            </w:r>
            <w:r w:rsidRPr="008201B2">
              <w:rPr>
                <w:color w:val="000000"/>
                <w:lang w:val="fr-CH"/>
              </w:rPr>
              <w:t xml:space="preserve">MOBILE </w:t>
            </w:r>
            <w:r w:rsidRPr="008201B2">
              <w:rPr>
                <w:rStyle w:val="Artref"/>
                <w:color w:val="000000"/>
                <w:lang w:val="fr-CH"/>
              </w:rPr>
              <w:t>5.463</w:t>
            </w:r>
          </w:p>
          <w:p w:rsidR="004A6A8C" w:rsidRPr="008201B2" w:rsidRDefault="005B068E" w:rsidP="007A03CC">
            <w:pPr>
              <w:pStyle w:val="TableTextS5"/>
              <w:spacing w:before="30" w:after="30"/>
            </w:pPr>
            <w:r w:rsidRPr="008201B2">
              <w:rPr>
                <w:color w:val="000000"/>
                <w:lang w:val="fr-CH"/>
              </w:rPr>
              <w:tab/>
            </w:r>
            <w:r w:rsidRPr="008201B2">
              <w:rPr>
                <w:color w:val="000000"/>
                <w:lang w:val="fr-CH"/>
              </w:rPr>
              <w:tab/>
            </w:r>
            <w:r w:rsidRPr="008201B2">
              <w:rPr>
                <w:color w:val="000000"/>
                <w:lang w:val="fr-CH"/>
              </w:rPr>
              <w:tab/>
            </w:r>
            <w:r w:rsidRPr="008201B2">
              <w:rPr>
                <w:color w:val="000000"/>
                <w:lang w:val="fr-CH"/>
              </w:rPr>
              <w:tab/>
            </w:r>
            <w:r w:rsidRPr="008201B2">
              <w:t>5.462A</w:t>
            </w:r>
          </w:p>
        </w:tc>
      </w:tr>
    </w:tbl>
    <w:p w:rsidR="00E71765" w:rsidRPr="007108A9" w:rsidRDefault="005B068E" w:rsidP="007A03CC">
      <w:pPr>
        <w:pStyle w:val="Reasons"/>
        <w:rPr>
          <w:lang w:val="fr-CH"/>
        </w:rPr>
      </w:pPr>
      <w:r w:rsidRPr="007108A9">
        <w:rPr>
          <w:b/>
          <w:lang w:val="fr-CH"/>
        </w:rPr>
        <w:lastRenderedPageBreak/>
        <w:t>Motifs:</w:t>
      </w:r>
      <w:r w:rsidRPr="007108A9">
        <w:rPr>
          <w:lang w:val="fr-CH"/>
        </w:rPr>
        <w:tab/>
      </w:r>
      <w:r w:rsidR="007108A9" w:rsidRPr="007108A9">
        <w:t>Pas de modificat</w:t>
      </w:r>
      <w:r w:rsidR="007A03CC">
        <w:t>ion en ce qui concerne la bande </w:t>
      </w:r>
      <w:r w:rsidR="007A03CC">
        <w:rPr>
          <w:lang w:val="fr-CH"/>
        </w:rPr>
        <w:t>8 025-8 400 </w:t>
      </w:r>
      <w:r w:rsidR="00B07DD0" w:rsidRPr="007108A9">
        <w:rPr>
          <w:lang w:val="fr-CH"/>
        </w:rPr>
        <w:t>MHz</w:t>
      </w:r>
      <w:r w:rsidR="007108A9">
        <w:rPr>
          <w:lang w:val="fr-CH"/>
        </w:rPr>
        <w:t>,</w:t>
      </w:r>
      <w:r w:rsidR="00B07DD0" w:rsidRPr="007108A9">
        <w:rPr>
          <w:lang w:val="fr-CH"/>
        </w:rPr>
        <w:t xml:space="preserve"> </w:t>
      </w:r>
      <w:r w:rsidR="007108A9">
        <w:t>en raison de l’incompatibili</w:t>
      </w:r>
      <w:r w:rsidR="00306B94">
        <w:t>té avec les services existants.</w:t>
      </w:r>
      <w:bookmarkStart w:id="6" w:name="_GoBack"/>
      <w:bookmarkEnd w:id="6"/>
      <w:r w:rsidR="007108A9" w:rsidRPr="007108A9">
        <w:t xml:space="preserve"> </w:t>
      </w:r>
    </w:p>
    <w:p w:rsidR="00E71765" w:rsidRDefault="005B068E" w:rsidP="007A03CC">
      <w:pPr>
        <w:pStyle w:val="Proposal"/>
      </w:pPr>
      <w:r>
        <w:t>SUP</w:t>
      </w:r>
      <w:r>
        <w:tab/>
        <w:t>INS/MLA/118A9A2/3</w:t>
      </w:r>
    </w:p>
    <w:p w:rsidR="00DD4258" w:rsidRPr="007A03CC" w:rsidRDefault="005B068E" w:rsidP="007A03CC">
      <w:pPr>
        <w:pStyle w:val="ResNo"/>
      </w:pPr>
      <w:r w:rsidRPr="007A03CC">
        <w:t xml:space="preserve">RÉSOLUTION </w:t>
      </w:r>
      <w:r w:rsidRPr="007A03CC">
        <w:rPr>
          <w:rStyle w:val="href"/>
        </w:rPr>
        <w:t>758</w:t>
      </w:r>
      <w:r w:rsidRPr="007A03CC">
        <w:t xml:space="preserve"> (CMR-12)</w:t>
      </w:r>
    </w:p>
    <w:p w:rsidR="00DD4258" w:rsidRPr="009C7CEE" w:rsidRDefault="005B068E" w:rsidP="007A03CC">
      <w:pPr>
        <w:pStyle w:val="Restitle"/>
      </w:pPr>
      <w:r w:rsidRPr="007A03CC">
        <w:t xml:space="preserve">Attribution au service fixe par satellite et au service mobile maritime </w:t>
      </w:r>
      <w:r w:rsidRPr="007A03CC">
        <w:br/>
        <w:t>par satellite dans la gamme 7/8 GHz</w:t>
      </w:r>
    </w:p>
    <w:p w:rsidR="00B07DD0" w:rsidRPr="007108A9" w:rsidRDefault="005B068E" w:rsidP="007A03CC">
      <w:pPr>
        <w:pStyle w:val="Reasons"/>
        <w:rPr>
          <w:lang w:val="fr-CH"/>
        </w:rPr>
      </w:pPr>
      <w:r w:rsidRPr="007108A9">
        <w:rPr>
          <w:b/>
          <w:lang w:val="fr-CH"/>
        </w:rPr>
        <w:t>Motifs:</w:t>
      </w:r>
      <w:r w:rsidRPr="007108A9">
        <w:rPr>
          <w:lang w:val="fr-CH"/>
        </w:rPr>
        <w:tab/>
      </w:r>
      <w:r w:rsidR="007108A9">
        <w:t>Aucun examen ou étude supplémentaire n'est nécessaire.</w:t>
      </w:r>
      <w:r w:rsidR="00B07DD0" w:rsidRPr="007108A9">
        <w:rPr>
          <w:lang w:val="fr-CH"/>
        </w:rPr>
        <w:t xml:space="preserve"> </w:t>
      </w:r>
    </w:p>
    <w:p w:rsidR="00B07DD0" w:rsidRDefault="00B07DD0" w:rsidP="007A03CC">
      <w:pPr>
        <w:jc w:val="center"/>
      </w:pPr>
      <w:r>
        <w:t>______________</w:t>
      </w:r>
    </w:p>
    <w:p w:rsidR="00B07DD0" w:rsidRDefault="00B07DD0" w:rsidP="007A03CC">
      <w:pPr>
        <w:pStyle w:val="Reasons"/>
      </w:pPr>
    </w:p>
    <w:sectPr w:rsidR="00B07DD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27A" w:rsidRDefault="00BA227A">
      <w:r>
        <w:separator/>
      </w:r>
    </w:p>
  </w:endnote>
  <w:endnote w:type="continuationSeparator" w:id="0">
    <w:p w:rsidR="00BA227A" w:rsidRDefault="00BA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06B94">
      <w:rPr>
        <w:noProof/>
        <w:lang w:val="en-US"/>
      </w:rPr>
      <w:t>P:\FRA\ITU-R\CONF-R\CMR15\100\118ADD09ADD02F.docx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6B94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06B94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B2" w:rsidRDefault="008201B2">
    <w:pPr>
      <w:pStyle w:val="Footer"/>
    </w:pPr>
    <w:fldSimple w:instr=" FILENAME \p  \* MERGEFORMAT ">
      <w:r w:rsidR="00306B94">
        <w:t>P:\FRA\ITU-R\CONF-R\CMR15\100\118ADD09ADD02F.docx</w:t>
      </w:r>
    </w:fldSimple>
    <w:r>
      <w:t xml:space="preserve"> (388914)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306B94">
      <w:t>26.10.15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306B94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B2" w:rsidRDefault="008201B2">
    <w:pPr>
      <w:pStyle w:val="Footer"/>
    </w:pPr>
    <w:fldSimple w:instr=" FILENAME \p  \* MERGEFORMAT ">
      <w:r w:rsidR="00306B94">
        <w:t>P:\FRA\ITU-R\CONF-R\CMR15\100\118ADD09ADD02F.docx</w:t>
      </w:r>
    </w:fldSimple>
    <w:r>
      <w:t xml:space="preserve"> (388914)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306B94">
      <w:t>26.10.15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306B94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27A" w:rsidRDefault="00BA227A">
      <w:r>
        <w:rPr>
          <w:b/>
        </w:rPr>
        <w:t>_______________</w:t>
      </w:r>
    </w:p>
  </w:footnote>
  <w:footnote w:type="continuationSeparator" w:id="0">
    <w:p w:rsidR="00BA227A" w:rsidRDefault="00BA2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06B94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118(Add.9)(Add.2)-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06B9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B04CB"/>
    <w:rsid w:val="004D01FC"/>
    <w:rsid w:val="004E28C3"/>
    <w:rsid w:val="004F1F8E"/>
    <w:rsid w:val="00512A32"/>
    <w:rsid w:val="005621A0"/>
    <w:rsid w:val="00586CF2"/>
    <w:rsid w:val="005B068E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108A9"/>
    <w:rsid w:val="00721F04"/>
    <w:rsid w:val="00730E95"/>
    <w:rsid w:val="007426B9"/>
    <w:rsid w:val="00764342"/>
    <w:rsid w:val="00774362"/>
    <w:rsid w:val="00786598"/>
    <w:rsid w:val="007A03CC"/>
    <w:rsid w:val="007A04E8"/>
    <w:rsid w:val="008201B2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AE3E7E"/>
    <w:rsid w:val="00B00294"/>
    <w:rsid w:val="00B07DD0"/>
    <w:rsid w:val="00B64FD0"/>
    <w:rsid w:val="00BA227A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1253"/>
    <w:rsid w:val="00E6539B"/>
    <w:rsid w:val="00E70A31"/>
    <w:rsid w:val="00E71765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B3B9BC1-5CBA-4400-9A3A-9EA1B696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AE3E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3E7E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R15-WRC15-C-0118!A9-A2!MSW-F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68DF8-71A1-45A9-BB5D-31B24A0859A1}">
  <ds:schemaRefs>
    <ds:schemaRef ds:uri="http://purl.org/dc/elements/1.1/"/>
    <ds:schemaRef ds:uri="http://www.w3.org/XML/1998/namespace"/>
    <ds:schemaRef ds:uri="http://purl.org/dc/terms/"/>
    <ds:schemaRef ds:uri="32a1a8c5-2265-4ebc-b7a0-2071e2c5c9bb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996b2e75-67fd-4955-a3b0-5ab9934cb50b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B68B64-650C-43B5-B6ED-80F36215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R15-WRC15-C-0118!A9-A2!MSW-F</vt:lpstr>
    </vt:vector>
  </TitlesOfParts>
  <Manager>Secrétariat général - Pool</Manager>
  <Company>Union internationale des télécommunications (UIT)</Company>
  <LinksUpToDate>false</LinksUpToDate>
  <CharactersWithSpaces>2692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R15-WRC15-C-0118!A9-A2!MSW-F</dc:title>
  <dc:subject>Conférence mondiale des radiocommunications - 2015</dc:subject>
  <dc:creator>Documents Proposals Manager (DPM)</dc:creator>
  <cp:keywords>DPM_v5.2015.10.230_prod</cp:keywords>
  <dc:description/>
  <cp:lastModifiedBy>Meda, Sylvie</cp:lastModifiedBy>
  <cp:revision>4</cp:revision>
  <cp:lastPrinted>2015-10-26T19:49:00Z</cp:lastPrinted>
  <dcterms:created xsi:type="dcterms:W3CDTF">2015-10-26T19:36:00Z</dcterms:created>
  <dcterms:modified xsi:type="dcterms:W3CDTF">2015-10-26T19:50:00Z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