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2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107(Add.9)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19 October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India (Republic of)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1.9.2</w:t>
            </w:r>
          </w:p>
        </w:tc>
      </w:tr>
    </w:tbl>
    <w:bookmarkEnd w:id="6"/>
    <w:bookmarkEnd w:id="7"/>
    <w:p w:rsidR="00ED71D1" w:rsidRPr="009A2B70" w:rsidRDefault="00364565" w:rsidP="00ED71D1">
      <w:pPr>
        <w:overflowPunct/>
        <w:autoSpaceDE/>
        <w:autoSpaceDN/>
        <w:adjustRightInd/>
        <w:textAlignment w:val="auto"/>
      </w:pPr>
      <w:r w:rsidRPr="009A2B70">
        <w:t>1.9</w:t>
      </w:r>
      <w:r w:rsidRPr="009A2B70">
        <w:tab/>
        <w:t xml:space="preserve">to consider, in accordance with Resolution </w:t>
      </w:r>
      <w:r w:rsidRPr="009A2B70">
        <w:rPr>
          <w:b/>
        </w:rPr>
        <w:t>758 (WRC</w:t>
      </w:r>
      <w:r w:rsidRPr="009A2B70">
        <w:rPr>
          <w:b/>
        </w:rPr>
        <w:noBreakHyphen/>
        <w:t>12)</w:t>
      </w:r>
      <w:r w:rsidRPr="009A2B70">
        <w:t>:</w:t>
      </w:r>
    </w:p>
    <w:p w:rsidR="00ED71D1" w:rsidRDefault="00364565" w:rsidP="008F442E">
      <w:pPr>
        <w:overflowPunct/>
        <w:autoSpaceDE/>
        <w:autoSpaceDN/>
        <w:adjustRightInd/>
        <w:spacing w:before="100"/>
        <w:textAlignment w:val="auto"/>
      </w:pPr>
      <w:r w:rsidRPr="009A2B70">
        <w:t>1.9.2</w:t>
      </w:r>
      <w:r w:rsidRPr="009A2B70">
        <w:tab/>
        <w:t>the possibility of allocating the bands 7 375-7 750 MHz and 8 025-8 400 MHz to the maritime-mobile satellite service and additional regulatory measures, depending on the results of appropriate studies;</w:t>
      </w:r>
    </w:p>
    <w:p w:rsidR="00A46AE3" w:rsidRDefault="00A46AE3" w:rsidP="00A46AE3">
      <w:pPr>
        <w:rPr>
          <w:lang w:val="en-US" w:eastAsia="ko-KR"/>
        </w:rPr>
      </w:pPr>
    </w:p>
    <w:p w:rsidR="00B14EA6" w:rsidRPr="00B14EA6" w:rsidRDefault="00B14EA6" w:rsidP="00B14EA6">
      <w:pPr>
        <w:pStyle w:val="Headingb"/>
        <w:rPr>
          <w:lang w:val="en-US" w:eastAsia="ko-KR"/>
        </w:rPr>
      </w:pPr>
      <w:r w:rsidRPr="00B14EA6">
        <w:rPr>
          <w:lang w:val="en-US" w:eastAsia="ko-KR"/>
        </w:rPr>
        <w:t>Introduction</w:t>
      </w:r>
    </w:p>
    <w:p w:rsidR="00B14EA6" w:rsidRPr="00E27A3A" w:rsidRDefault="00B14EA6" w:rsidP="003D18C2">
      <w:pPr>
        <w:rPr>
          <w:lang w:eastAsia="ko-KR"/>
        </w:rPr>
      </w:pPr>
      <w:r>
        <w:rPr>
          <w:lang w:eastAsia="ko-KR"/>
        </w:rPr>
        <w:t>8</w:t>
      </w:r>
      <w:r w:rsidR="00A46AE3">
        <w:rPr>
          <w:lang w:eastAsia="ko-KR"/>
        </w:rPr>
        <w:t> </w:t>
      </w:r>
      <w:r>
        <w:rPr>
          <w:lang w:eastAsia="ko-KR"/>
        </w:rPr>
        <w:t>025-8</w:t>
      </w:r>
      <w:r w:rsidR="00A46AE3">
        <w:rPr>
          <w:lang w:eastAsia="ko-KR"/>
        </w:rPr>
        <w:t> </w:t>
      </w:r>
      <w:r>
        <w:rPr>
          <w:lang w:eastAsia="ko-KR"/>
        </w:rPr>
        <w:t xml:space="preserve">400 </w:t>
      </w:r>
      <w:r w:rsidR="00A46AE3">
        <w:rPr>
          <w:lang w:eastAsia="ko-KR"/>
        </w:rPr>
        <w:t>MHz is being used by India for EESS (s</w:t>
      </w:r>
      <w:r>
        <w:rPr>
          <w:lang w:eastAsia="ko-KR"/>
        </w:rPr>
        <w:t>pace-to-Earth) for a long time and it will remain as one of the prim</w:t>
      </w:r>
      <w:r w:rsidR="00A46AE3">
        <w:rPr>
          <w:lang w:eastAsia="ko-KR"/>
        </w:rPr>
        <w:t>ary</w:t>
      </w:r>
      <w:r>
        <w:rPr>
          <w:lang w:eastAsia="ko-KR"/>
        </w:rPr>
        <w:t xml:space="preserve"> bands for this service. Considering the serious coordination issues which may arise if this band is allocated </w:t>
      </w:r>
      <w:r w:rsidR="00A46AE3">
        <w:rPr>
          <w:lang w:eastAsia="ko-KR"/>
        </w:rPr>
        <w:t xml:space="preserve">to the maritime mobile-satellite service </w:t>
      </w:r>
      <w:r>
        <w:rPr>
          <w:lang w:eastAsia="ko-KR"/>
        </w:rPr>
        <w:t xml:space="preserve">and to other incumbent services, </w:t>
      </w:r>
      <w:r w:rsidR="00A46AE3">
        <w:rPr>
          <w:lang w:eastAsia="ko-KR"/>
        </w:rPr>
        <w:t xml:space="preserve">the </w:t>
      </w:r>
      <w:r w:rsidR="003D18C2">
        <w:rPr>
          <w:lang w:eastAsia="ko-KR"/>
        </w:rPr>
        <w:t>A</w:t>
      </w:r>
      <w:r w:rsidRPr="009A6D07">
        <w:rPr>
          <w:lang w:eastAsia="ko-KR"/>
        </w:rPr>
        <w:t>dministration of India</w:t>
      </w:r>
      <w:r>
        <w:rPr>
          <w:lang w:eastAsia="ko-KR"/>
        </w:rPr>
        <w:t xml:space="preserve"> opposes </w:t>
      </w:r>
      <w:r w:rsidR="00A46AE3">
        <w:rPr>
          <w:lang w:eastAsia="ko-KR"/>
        </w:rPr>
        <w:t xml:space="preserve">a </w:t>
      </w:r>
      <w:r>
        <w:rPr>
          <w:lang w:eastAsia="ko-KR"/>
        </w:rPr>
        <w:t xml:space="preserve">new allocation to </w:t>
      </w:r>
      <w:r w:rsidR="00A46AE3">
        <w:rPr>
          <w:lang w:eastAsia="ko-KR"/>
        </w:rPr>
        <w:t>the maritime mobile-satelli</w:t>
      </w:r>
      <w:r>
        <w:rPr>
          <w:lang w:eastAsia="ko-KR"/>
        </w:rPr>
        <w:t>te service in the 8</w:t>
      </w:r>
      <w:r w:rsidR="00A46AE3">
        <w:rPr>
          <w:lang w:eastAsia="ko-KR"/>
        </w:rPr>
        <w:t> </w:t>
      </w:r>
      <w:r>
        <w:rPr>
          <w:lang w:eastAsia="ko-KR"/>
        </w:rPr>
        <w:t>025-8</w:t>
      </w:r>
      <w:r w:rsidR="00A46AE3">
        <w:rPr>
          <w:lang w:eastAsia="ko-KR"/>
        </w:rPr>
        <w:t xml:space="preserve"> 400 MHz band. </w:t>
      </w:r>
      <w:r>
        <w:rPr>
          <w:lang w:eastAsia="ko-KR"/>
        </w:rPr>
        <w:t xml:space="preserve">Consequently, </w:t>
      </w:r>
      <w:r w:rsidRPr="00E27A3A">
        <w:rPr>
          <w:lang w:eastAsia="ko-KR"/>
        </w:rPr>
        <w:t xml:space="preserve">suppression of Resolution </w:t>
      </w:r>
      <w:r w:rsidRPr="00422D2E">
        <w:rPr>
          <w:bCs/>
          <w:lang w:eastAsia="ko-KR"/>
        </w:rPr>
        <w:t>758 (WRC</w:t>
      </w:r>
      <w:r w:rsidR="003D18C2">
        <w:rPr>
          <w:bCs/>
          <w:lang w:eastAsia="ko-KR"/>
        </w:rPr>
        <w:noBreakHyphen/>
      </w:r>
      <w:r w:rsidRPr="00422D2E">
        <w:rPr>
          <w:bCs/>
          <w:lang w:eastAsia="ko-KR"/>
        </w:rPr>
        <w:t>12)</w:t>
      </w:r>
      <w:r w:rsidRPr="00E27A3A">
        <w:rPr>
          <w:lang w:eastAsia="ko-KR"/>
        </w:rPr>
        <w:t xml:space="preserve"> is </w:t>
      </w:r>
      <w:r>
        <w:rPr>
          <w:lang w:eastAsia="ko-KR"/>
        </w:rPr>
        <w:t xml:space="preserve">also </w:t>
      </w:r>
      <w:r w:rsidRPr="00E27A3A">
        <w:rPr>
          <w:lang w:eastAsia="ko-KR"/>
        </w:rPr>
        <w:t>proposed.</w:t>
      </w:r>
    </w:p>
    <w:p w:rsidR="00B14EA6" w:rsidRPr="00B14EA6" w:rsidRDefault="00B14EA6" w:rsidP="00B14EA6">
      <w:pPr>
        <w:pStyle w:val="Headingb"/>
        <w:rPr>
          <w:lang w:val="en-US"/>
        </w:rPr>
      </w:pPr>
      <w:r w:rsidRPr="00B14EA6">
        <w:rPr>
          <w:lang w:val="en-US"/>
        </w:rPr>
        <w:t>Proposals</w:t>
      </w:r>
    </w:p>
    <w:p w:rsidR="00241FA2" w:rsidRPr="00B14EA6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p w:rsidR="00187BD9" w:rsidRPr="00B14EA6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B14EA6">
        <w:rPr>
          <w:lang w:val="en-US"/>
        </w:rPr>
        <w:br w:type="page"/>
      </w:r>
    </w:p>
    <w:p w:rsidR="009B463A" w:rsidRDefault="00364565" w:rsidP="009B463A">
      <w:pPr>
        <w:pStyle w:val="ArtNo"/>
        <w:rPr>
          <w:lang w:val="en-AU"/>
        </w:rPr>
      </w:pPr>
      <w:bookmarkStart w:id="8" w:name="_Toc327956582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:rsidR="009B463A" w:rsidRDefault="00364565" w:rsidP="009B463A">
      <w:pPr>
        <w:pStyle w:val="Arttitle"/>
        <w:rPr>
          <w:lang w:val="en-US"/>
        </w:rPr>
      </w:pPr>
      <w:bookmarkStart w:id="9" w:name="_Toc327956583"/>
      <w:r w:rsidRPr="006D07BF">
        <w:t>Frequency</w:t>
      </w:r>
      <w:r>
        <w:t xml:space="preserve"> allocations</w:t>
      </w:r>
      <w:bookmarkEnd w:id="9"/>
    </w:p>
    <w:p w:rsidR="009B463A" w:rsidRPr="00B25B23" w:rsidRDefault="00364565" w:rsidP="009B463A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8D4F6C" w:rsidRDefault="00364565">
      <w:pPr>
        <w:pStyle w:val="Proposal"/>
      </w:pPr>
      <w:r>
        <w:rPr>
          <w:u w:val="single"/>
        </w:rPr>
        <w:t>NOC</w:t>
      </w:r>
      <w:r>
        <w:tab/>
        <w:t>IND/107A9A2/1</w:t>
      </w:r>
    </w:p>
    <w:p w:rsidR="009B463A" w:rsidRPr="007915C9" w:rsidRDefault="00364565" w:rsidP="009B463A">
      <w:pPr>
        <w:pStyle w:val="Tabletitle"/>
      </w:pPr>
      <w:r w:rsidRPr="007915C9">
        <w:t>7 250-8 500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364565" w:rsidP="00477577">
            <w:pPr>
              <w:pStyle w:val="Tablehead"/>
            </w:pPr>
            <w:r w:rsidRPr="002B657C">
              <w:t>Allocation to services</w:t>
            </w:r>
          </w:p>
        </w:tc>
      </w:tr>
      <w:tr w:rsidR="009B463A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364565" w:rsidP="00477577">
            <w:pPr>
              <w:pStyle w:val="Tablehead"/>
            </w:pPr>
            <w:r w:rsidRPr="002B657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364565" w:rsidP="00477577">
            <w:pPr>
              <w:pStyle w:val="Tablehead"/>
            </w:pPr>
            <w:r w:rsidRPr="002B657C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364565" w:rsidP="00477577">
            <w:pPr>
              <w:pStyle w:val="Tablehead"/>
            </w:pPr>
            <w:r w:rsidRPr="002B657C">
              <w:t>Region 3</w:t>
            </w:r>
          </w:p>
        </w:tc>
      </w:tr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Default="0036456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 w:rsidRPr="008D45E8">
              <w:rPr>
                <w:rStyle w:val="Tablefreq"/>
              </w:rPr>
              <w:t>8 025-8 175</w:t>
            </w:r>
            <w:r>
              <w:rPr>
                <w:color w:val="000000"/>
                <w:lang w:val="en-AU"/>
              </w:rPr>
              <w:tab/>
              <w:t>EARTH EXPLORATION-SATELLITE (space-to-Earth)</w:t>
            </w:r>
          </w:p>
          <w:p w:rsidR="009B463A" w:rsidRDefault="0036456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FIXED</w:t>
            </w:r>
          </w:p>
          <w:p w:rsidR="009B463A" w:rsidRDefault="0036456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FIXED-SATELLITE (Earth-to-space)</w:t>
            </w:r>
          </w:p>
          <w:p w:rsidR="009B463A" w:rsidRDefault="0036456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MOBILE  </w:t>
            </w:r>
            <w:r>
              <w:rPr>
                <w:rStyle w:val="Artref"/>
                <w:color w:val="000000"/>
                <w:lang w:val="en-AU"/>
              </w:rPr>
              <w:t>5.463</w:t>
            </w:r>
          </w:p>
          <w:p w:rsidR="009B463A" w:rsidRDefault="0036456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>5.462A</w:t>
            </w:r>
          </w:p>
        </w:tc>
      </w:tr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Default="0036456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 w:rsidRPr="008D45E8">
              <w:rPr>
                <w:rStyle w:val="Tablefreq"/>
              </w:rPr>
              <w:t>8 175-8 215</w:t>
            </w:r>
            <w:r w:rsidRPr="004A3091">
              <w:tab/>
            </w:r>
            <w:r>
              <w:rPr>
                <w:color w:val="000000"/>
                <w:lang w:val="en-AU"/>
              </w:rPr>
              <w:t>EARTH EXPLORATION-SATELLITE (space-to-Earth)</w:t>
            </w:r>
          </w:p>
          <w:p w:rsidR="009B463A" w:rsidRDefault="0036456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FIXED</w:t>
            </w:r>
          </w:p>
          <w:p w:rsidR="009B463A" w:rsidRDefault="0036456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FIXED-SATELLITE (Earth-to-space)</w:t>
            </w:r>
          </w:p>
          <w:p w:rsidR="009B463A" w:rsidRDefault="0036456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METEOROLOGICAL-SATELLITE (Earth-to-space)</w:t>
            </w:r>
          </w:p>
          <w:p w:rsidR="009B463A" w:rsidRDefault="0036456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MOBILE  </w:t>
            </w:r>
            <w:r>
              <w:rPr>
                <w:rStyle w:val="Artref"/>
                <w:color w:val="000000"/>
                <w:lang w:val="en-AU"/>
              </w:rPr>
              <w:t>5.463</w:t>
            </w:r>
          </w:p>
          <w:p w:rsidR="009B463A" w:rsidRDefault="0036456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>5.462A</w:t>
            </w:r>
          </w:p>
        </w:tc>
      </w:tr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4A3091" w:rsidRDefault="00364565" w:rsidP="00477577">
            <w:pPr>
              <w:pStyle w:val="TableTextS5"/>
              <w:spacing w:before="30" w:after="30"/>
            </w:pPr>
            <w:r w:rsidRPr="008D45E8">
              <w:rPr>
                <w:rStyle w:val="Tablefreq"/>
              </w:rPr>
              <w:t>8 215-8 400</w:t>
            </w:r>
            <w:r w:rsidRPr="004A3091">
              <w:tab/>
            </w:r>
            <w:r>
              <w:rPr>
                <w:color w:val="000000"/>
                <w:lang w:val="en-AU"/>
              </w:rPr>
              <w:t>EARTH EXPLORATION-SATELLITE (space-to-Earth)</w:t>
            </w:r>
          </w:p>
          <w:p w:rsidR="009B463A" w:rsidRPr="004A3091" w:rsidRDefault="00364565" w:rsidP="00477577">
            <w:pPr>
              <w:pStyle w:val="TableTextS5"/>
              <w:spacing w:before="30" w:after="30"/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FIXED</w:t>
            </w:r>
          </w:p>
          <w:p w:rsidR="009B463A" w:rsidRDefault="0036456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FIXED-SATELLITE (Earth-to-space)</w:t>
            </w:r>
          </w:p>
          <w:p w:rsidR="009B463A" w:rsidRDefault="0036456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MOBILE  </w:t>
            </w:r>
            <w:r>
              <w:rPr>
                <w:rStyle w:val="Artref"/>
                <w:color w:val="000000"/>
                <w:lang w:val="en-AU"/>
              </w:rPr>
              <w:t>5.463</w:t>
            </w:r>
          </w:p>
          <w:p w:rsidR="009B463A" w:rsidRDefault="00364565" w:rsidP="00477577">
            <w:pPr>
              <w:pStyle w:val="TableTextS5"/>
              <w:spacing w:before="30" w:after="30"/>
              <w:rPr>
                <w:b/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>5.462A</w:t>
            </w:r>
          </w:p>
        </w:tc>
      </w:tr>
    </w:tbl>
    <w:p w:rsidR="008D4F6C" w:rsidRDefault="00364565">
      <w:pPr>
        <w:pStyle w:val="Reasons"/>
      </w:pPr>
      <w:r>
        <w:rPr>
          <w:b/>
        </w:rPr>
        <w:t>Reasons:</w:t>
      </w:r>
      <w:r>
        <w:tab/>
      </w:r>
      <w:r w:rsidR="002B301A" w:rsidRPr="00E27A3A">
        <w:rPr>
          <w:lang w:eastAsia="ko-KR"/>
        </w:rPr>
        <w:t>The existing services are not fully protected from the interference of MMSS (Earth-to-space) in the band 8 025-8 400 MHz, taking into account the results of ITU-R sharing studies.</w:t>
      </w:r>
    </w:p>
    <w:p w:rsidR="008D4F6C" w:rsidRDefault="00364565">
      <w:pPr>
        <w:pStyle w:val="Proposal"/>
      </w:pPr>
      <w:r>
        <w:t>SUP</w:t>
      </w:r>
      <w:r>
        <w:tab/>
        <w:t>IND/107A9A2/2</w:t>
      </w:r>
    </w:p>
    <w:p w:rsidR="003638D8" w:rsidRPr="006905BC" w:rsidRDefault="00364565" w:rsidP="003638D8">
      <w:pPr>
        <w:pStyle w:val="ResNo"/>
      </w:pPr>
      <w:r w:rsidRPr="006905BC">
        <w:t xml:space="preserve">RESOLUTION </w:t>
      </w:r>
      <w:r w:rsidRPr="006905BC">
        <w:rPr>
          <w:rStyle w:val="href"/>
        </w:rPr>
        <w:t>758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364565" w:rsidP="00651EBE">
      <w:pPr>
        <w:pStyle w:val="Restitle"/>
      </w:pPr>
      <w:bookmarkStart w:id="10" w:name="_Toc327364581"/>
      <w:r w:rsidRPr="006905BC">
        <w:t>Allocation to the fixed-satellite service and the maritime-</w:t>
      </w:r>
      <w:r w:rsidRPr="006905BC">
        <w:br/>
        <w:t>mobile satellite service in the 7/8 GHz range</w:t>
      </w:r>
      <w:bookmarkEnd w:id="10"/>
    </w:p>
    <w:p w:rsidR="008D4F6C" w:rsidRDefault="00364565">
      <w:pPr>
        <w:pStyle w:val="Reasons"/>
        <w:rPr>
          <w:lang w:eastAsia="ko-KR"/>
        </w:rPr>
      </w:pPr>
      <w:r>
        <w:rPr>
          <w:b/>
        </w:rPr>
        <w:t>Reasons:</w:t>
      </w:r>
      <w:r>
        <w:tab/>
      </w:r>
      <w:r w:rsidR="002B301A" w:rsidRPr="00E27A3A">
        <w:rPr>
          <w:lang w:eastAsia="ko-KR"/>
        </w:rPr>
        <w:t>Further consideration and/or study are not needed any more.</w:t>
      </w:r>
    </w:p>
    <w:p w:rsidR="008475D2" w:rsidRDefault="008475D2" w:rsidP="0032202E">
      <w:pPr>
        <w:pStyle w:val="Reasons"/>
      </w:pPr>
    </w:p>
    <w:p w:rsidR="008475D2" w:rsidRDefault="008475D2">
      <w:pPr>
        <w:jc w:val="center"/>
      </w:pPr>
      <w:r>
        <w:t>______________</w:t>
      </w:r>
    </w:p>
    <w:p w:rsidR="002B301A" w:rsidRDefault="002B301A" w:rsidP="00364565">
      <w:pPr>
        <w:pStyle w:val="Reasons"/>
        <w:spacing w:line="480" w:lineRule="auto"/>
        <w:rPr>
          <w:lang w:eastAsia="ko-KR"/>
        </w:rPr>
      </w:pPr>
      <w:bookmarkStart w:id="11" w:name="_GoBack"/>
      <w:bookmarkEnd w:id="11"/>
    </w:p>
    <w:sectPr w:rsidR="002B301A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475D2">
      <w:rPr>
        <w:noProof/>
        <w:lang w:val="en-US"/>
      </w:rPr>
      <w:t>Y:\APP\BR\POOL\WRC-15\DOC (Contributions)\101-199\107ADD09ADD02E.docx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D18C2">
      <w:rPr>
        <w:noProof/>
      </w:rPr>
      <w:t>23.10.15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475D2">
      <w:rPr>
        <w:noProof/>
      </w:rPr>
      <w:t>21.10.15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493" w:rsidRPr="0041348E" w:rsidRDefault="00C21493" w:rsidP="00C21493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P:\ENG\ITU-R\CONF-R\CMR15\100\107ADD09ADD02E.docx</w:t>
    </w:r>
    <w:r>
      <w:fldChar w:fldCharType="end"/>
    </w:r>
    <w:r>
      <w:t xml:space="preserve"> (388835)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D18C2">
      <w:t>23.10.15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21493">
      <w:rPr>
        <w:lang w:val="en-US"/>
      </w:rPr>
      <w:t>P:\ENG\ITU-R\CONF-R\CMR15\100\107ADD09ADD02E.docx</w:t>
    </w:r>
    <w:r>
      <w:fldChar w:fldCharType="end"/>
    </w:r>
    <w:r w:rsidR="00C21493">
      <w:t xml:space="preserve"> (388835)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D18C2">
      <w:t>23.10.15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475D2">
      <w:t>21.10.15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3D18C2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2" w:name="OLE_LINK1"/>
    <w:bookmarkStart w:id="13" w:name="OLE_LINK2"/>
    <w:bookmarkStart w:id="14" w:name="OLE_LINK3"/>
    <w:r w:rsidR="00EB55C6">
      <w:t>107(Add.9)(Add.2)</w:t>
    </w:r>
    <w:bookmarkEnd w:id="12"/>
    <w:bookmarkEnd w:id="13"/>
    <w:bookmarkEnd w:id="14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394F5A5B"/>
    <w:multiLevelType w:val="hybridMultilevel"/>
    <w:tmpl w:val="C1D0DD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16907"/>
    <w:rsid w:val="00123B68"/>
    <w:rsid w:val="00126F2E"/>
    <w:rsid w:val="0014354C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01A"/>
    <w:rsid w:val="002B349C"/>
    <w:rsid w:val="002D58BE"/>
    <w:rsid w:val="00361B37"/>
    <w:rsid w:val="00364565"/>
    <w:rsid w:val="00377BD3"/>
    <w:rsid w:val="00384088"/>
    <w:rsid w:val="003852CE"/>
    <w:rsid w:val="0039169B"/>
    <w:rsid w:val="003A7F8C"/>
    <w:rsid w:val="003B2284"/>
    <w:rsid w:val="003B532E"/>
    <w:rsid w:val="003D0F8B"/>
    <w:rsid w:val="003D18C2"/>
    <w:rsid w:val="003E0DB6"/>
    <w:rsid w:val="0041348E"/>
    <w:rsid w:val="004159F6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475D2"/>
    <w:rsid w:val="00862A45"/>
    <w:rsid w:val="00872FC8"/>
    <w:rsid w:val="008845D0"/>
    <w:rsid w:val="00884D60"/>
    <w:rsid w:val="008B43F2"/>
    <w:rsid w:val="008B6CFF"/>
    <w:rsid w:val="008D4F6C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46AE3"/>
    <w:rsid w:val="00A538A6"/>
    <w:rsid w:val="00A54C25"/>
    <w:rsid w:val="00A710E7"/>
    <w:rsid w:val="00A7372E"/>
    <w:rsid w:val="00A93B85"/>
    <w:rsid w:val="00AA0B18"/>
    <w:rsid w:val="00AA3C65"/>
    <w:rsid w:val="00AA666F"/>
    <w:rsid w:val="00B14EA6"/>
    <w:rsid w:val="00B63361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93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D6EE9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C6F88017-72BA-4776-BF43-20883550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paragraph" w:styleId="ListParagraph">
    <w:name w:val="List Paragraph"/>
    <w:basedOn w:val="Normal"/>
    <w:uiPriority w:val="34"/>
    <w:qFormat/>
    <w:rsid w:val="00B1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R15-WRC15-C-0107!A9-A2!MSW-E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0525E-AFF5-4BDB-B853-A1A4D6D53BFD}">
  <ds:schemaRefs>
    <ds:schemaRef ds:uri="32a1a8c5-2265-4ebc-b7a0-2071e2c5c9bb"/>
    <ds:schemaRef ds:uri="http://schemas.microsoft.com/office/2006/documentManagement/types"/>
    <ds:schemaRef ds:uri="996b2e75-67fd-4955-a3b0-5ab9934cb50b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A7B96A-1707-47CF-87BF-91C4A279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8</TotalTime>
  <Pages>2</Pages>
  <Words>289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R15-WRC15-C-0107!A9-A2!MSW-E</vt:lpstr>
    </vt:vector>
  </TitlesOfParts>
  <Manager>General Secretariat - Pool</Manager>
  <Company>International Telecommunication Union (ITU)</Company>
  <LinksUpToDate>false</LinksUpToDate>
  <CharactersWithSpaces>2136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R15-WRC15-C-0107!A9-A2!MSW-E</dc:title>
  <dc:subject>World Radiocommunication Conference - 2015</dc:subject>
  <dc:creator>Documents Proposals Manager (DPM)</dc:creator>
  <cp:keywords>DPM_v5.2015.10.15_prod</cp:keywords>
  <dc:description>Uploaded on 2015.07.06</dc:description>
  <cp:lastModifiedBy>Neal, Sharon</cp:lastModifiedBy>
  <cp:revision>6</cp:revision>
  <cp:lastPrinted>2015-10-21T13:52:00Z</cp:lastPrinted>
  <dcterms:created xsi:type="dcterms:W3CDTF">2015-10-23T21:34:00Z</dcterms:created>
  <dcterms:modified xsi:type="dcterms:W3CDTF">2015-10-24T13:26:00Z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