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4C06E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4C06E3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4C06E3">
              <w:rPr>
                <w:rFonts w:ascii="Verdana" w:eastAsia="SimSun" w:hAnsi="Verdana" w:cs="Traditional Arabic"/>
                <w:b/>
                <w:sz w:val="20"/>
              </w:rPr>
              <w:t>Addéndum 1 al</w:t>
            </w:r>
            <w:r w:rsidRPr="004C06E3">
              <w:rPr>
                <w:rFonts w:ascii="Verdana" w:eastAsia="SimSun" w:hAnsi="Verdana" w:cs="Traditional Arabic"/>
                <w:b/>
                <w:sz w:val="20"/>
              </w:rPr>
              <w:br/>
              <w:t>Documento 107(Add.9)</w:t>
            </w:r>
            <w:r w:rsidR="0090121B" w:rsidRPr="004C06E3">
              <w:rPr>
                <w:rFonts w:ascii="Verdana" w:hAnsi="Verdana"/>
                <w:b/>
                <w:sz w:val="20"/>
              </w:rPr>
              <w:t>-</w:t>
            </w:r>
            <w:r w:rsidRPr="004C06E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4C06E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19 de octubre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India (República de la)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4C06E3" w:rsidRDefault="004C06E3" w:rsidP="004C06E3">
            <w:pPr>
              <w:pStyle w:val="Title1"/>
            </w:pPr>
            <w:bookmarkStart w:id="3" w:name="dtitle1" w:colFirst="0" w:colLast="0"/>
            <w:bookmarkEnd w:id="2"/>
            <w:r w:rsidRPr="004C06E3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E225E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1.9.1 del orden del día</w:t>
            </w:r>
          </w:p>
        </w:tc>
      </w:tr>
    </w:tbl>
    <w:bookmarkEnd w:id="5"/>
    <w:p w:rsidR="001C0E40" w:rsidRPr="00827E98" w:rsidRDefault="003714A1" w:rsidP="00827E98">
      <w:r w:rsidRPr="00211854">
        <w:t>1.9</w:t>
      </w:r>
      <w:r w:rsidRPr="00211854">
        <w:tab/>
        <w:t xml:space="preserve">considerar, con arreglo a la Resolución </w:t>
      </w:r>
      <w:r w:rsidRPr="00211854">
        <w:rPr>
          <w:b/>
          <w:bCs/>
        </w:rPr>
        <w:t>758 (CMR-12)</w:t>
      </w:r>
      <w:r w:rsidRPr="00211854">
        <w:t>:</w:t>
      </w:r>
    </w:p>
    <w:p w:rsidR="001C0E40" w:rsidRDefault="003714A1" w:rsidP="006B2798">
      <w:r w:rsidRPr="00211854">
        <w:t>1.9.1</w:t>
      </w:r>
      <w:r w:rsidRPr="00211854">
        <w:tab/>
        <w:t>posibles nuevas atribuciones al servicio fijo por satélite, en las bandas de frecuencias 7 150</w:t>
      </w:r>
      <w:r w:rsidRPr="00211854">
        <w:noBreakHyphen/>
        <w:t>7 250 MHz (espacio-Tierra) y 8 400-8 500 MHz (Tierra-espacio), sujetas a las condiciones de compartición pertinentes;</w:t>
      </w:r>
    </w:p>
    <w:p w:rsidR="002A1E61" w:rsidRPr="006B2798" w:rsidRDefault="002A1E61" w:rsidP="006B2798"/>
    <w:p w:rsidR="003714A1" w:rsidRPr="00040BC0" w:rsidRDefault="003714A1" w:rsidP="003714A1">
      <w:pPr>
        <w:pStyle w:val="Headingb"/>
        <w:rPr>
          <w:lang w:eastAsia="ko-KR"/>
        </w:rPr>
      </w:pPr>
      <w:r w:rsidRPr="00040BC0">
        <w:rPr>
          <w:lang w:eastAsia="ko-KR"/>
        </w:rPr>
        <w:t>Introducción</w:t>
      </w:r>
    </w:p>
    <w:p w:rsidR="003714A1" w:rsidRPr="00E939A0" w:rsidRDefault="003714A1" w:rsidP="00E019B5">
      <w:pPr>
        <w:rPr>
          <w:lang w:eastAsia="ko-KR"/>
        </w:rPr>
      </w:pPr>
      <w:r>
        <w:rPr>
          <w:lang w:eastAsia="ko-KR"/>
        </w:rPr>
        <w:t xml:space="preserve">El </w:t>
      </w:r>
      <w:r w:rsidRPr="00040BC0">
        <w:rPr>
          <w:lang w:eastAsia="ko-KR"/>
        </w:rPr>
        <w:t>servicio de investigación espacia</w:t>
      </w:r>
      <w:r>
        <w:rPr>
          <w:lang w:eastAsia="ko-KR"/>
        </w:rPr>
        <w:t xml:space="preserve">l, en particular la </w:t>
      </w:r>
      <w:r w:rsidRPr="00040BC0">
        <w:rPr>
          <w:lang w:eastAsia="ko-KR"/>
        </w:rPr>
        <w:t>investigación del espacio lejano</w:t>
      </w:r>
      <w:r>
        <w:rPr>
          <w:lang w:eastAsia="ko-KR"/>
        </w:rPr>
        <w:t>, reviste una gran importancia para la</w:t>
      </w:r>
      <w:r w:rsidRPr="00040BC0">
        <w:rPr>
          <w:lang w:eastAsia="ko-KR"/>
        </w:rPr>
        <w:t xml:space="preserve"> Administración de la India</w:t>
      </w:r>
      <w:r>
        <w:rPr>
          <w:lang w:eastAsia="ko-KR"/>
        </w:rPr>
        <w:t xml:space="preserve">. Los estudios demuestran que la coexistencia entre el SFS (espacio-Tierra) y el </w:t>
      </w:r>
      <w:r w:rsidRPr="00BF1AB5">
        <w:rPr>
          <w:lang w:eastAsia="ko-KR"/>
        </w:rPr>
        <w:t>SIE (Tierra-espacio)</w:t>
      </w:r>
      <w:r>
        <w:rPr>
          <w:lang w:eastAsia="ko-KR"/>
        </w:rPr>
        <w:t xml:space="preserve">, en particular el SIE del espacio lejano en la banda </w:t>
      </w:r>
      <w:r w:rsidR="00C110E4">
        <w:rPr>
          <w:lang w:eastAsia="ko-KR"/>
        </w:rPr>
        <w:t>7 145-7 190 </w:t>
      </w:r>
      <w:r w:rsidRPr="00BF1AB5">
        <w:rPr>
          <w:lang w:eastAsia="ko-KR"/>
        </w:rPr>
        <w:t>MHz</w:t>
      </w:r>
      <w:r>
        <w:rPr>
          <w:lang w:eastAsia="ko-KR"/>
        </w:rPr>
        <w:t xml:space="preserve"> durante </w:t>
      </w:r>
      <w:r w:rsidRPr="00BF1AB5">
        <w:rPr>
          <w:lang w:eastAsia="ko-KR"/>
        </w:rPr>
        <w:t xml:space="preserve">las fases de </w:t>
      </w:r>
      <w:r>
        <w:rPr>
          <w:lang w:eastAsia="ko-KR"/>
        </w:rPr>
        <w:t>las misiones</w:t>
      </w:r>
      <w:r w:rsidRPr="00BF1AB5">
        <w:rPr>
          <w:lang w:eastAsia="ko-KR"/>
        </w:rPr>
        <w:t xml:space="preserve"> </w:t>
      </w:r>
      <w:r w:rsidR="00E019B5">
        <w:rPr>
          <w:lang w:eastAsia="ko-KR"/>
        </w:rPr>
        <w:t>«</w:t>
      </w:r>
      <w:r w:rsidRPr="00BF1AB5">
        <w:rPr>
          <w:lang w:eastAsia="ko-KR"/>
        </w:rPr>
        <w:t>cerca de la Tierra</w:t>
      </w:r>
      <w:r w:rsidR="00E019B5">
        <w:rPr>
          <w:lang w:eastAsia="ko-KR"/>
        </w:rPr>
        <w:t>»</w:t>
      </w:r>
      <w:r>
        <w:rPr>
          <w:lang w:eastAsia="ko-KR"/>
        </w:rPr>
        <w:t xml:space="preserve"> es compleja y podría ocasionar interferencia inaceptable a las futuras misiones del SIE, en el caso de que el </w:t>
      </w:r>
      <w:r w:rsidRPr="004E0CEA">
        <w:rPr>
          <w:lang w:eastAsia="ko-KR"/>
        </w:rPr>
        <w:t>vehículo espacial del SIE</w:t>
      </w:r>
      <w:r>
        <w:rPr>
          <w:lang w:eastAsia="ko-KR"/>
        </w:rPr>
        <w:t xml:space="preserve"> se aproximara a u</w:t>
      </w:r>
      <w:r w:rsidR="00592C07">
        <w:rPr>
          <w:lang w:eastAsia="ko-KR"/>
        </w:rPr>
        <w:t>na cierta distancia de la OSG.</w:t>
      </w:r>
    </w:p>
    <w:p w:rsidR="003714A1" w:rsidRPr="00DB4A73" w:rsidRDefault="003714A1" w:rsidP="0061695C">
      <w:pPr>
        <w:rPr>
          <w:lang w:eastAsia="ko-KR"/>
        </w:rPr>
      </w:pPr>
      <w:r w:rsidRPr="00D90E55">
        <w:rPr>
          <w:lang w:eastAsia="ko-KR"/>
        </w:rPr>
        <w:t>Habida cuenta de ello, la Administraci</w:t>
      </w:r>
      <w:r>
        <w:rPr>
          <w:lang w:eastAsia="ko-KR"/>
        </w:rPr>
        <w:t xml:space="preserve">ón de la India propone que no se modifique el Reglamento de Radiocomunicaciones, a tenor del Método C del Informe de la RPC a la CMR-15, en lo concerniente a posibles nuevas atribuciones al </w:t>
      </w:r>
      <w:r w:rsidRPr="00DB4A73">
        <w:rPr>
          <w:lang w:eastAsia="ko-KR"/>
        </w:rPr>
        <w:t>servicio fijo por satélite</w:t>
      </w:r>
      <w:r>
        <w:rPr>
          <w:lang w:eastAsia="ko-KR"/>
        </w:rPr>
        <w:t xml:space="preserve"> en las bandas de frecuencias </w:t>
      </w:r>
      <w:r w:rsidRPr="00DB4A73">
        <w:rPr>
          <w:lang w:eastAsia="ko-KR"/>
        </w:rPr>
        <w:t>7 150-7 250 MHz (</w:t>
      </w:r>
      <w:r>
        <w:rPr>
          <w:lang w:eastAsia="ko-KR"/>
        </w:rPr>
        <w:t>espacio-Tierra</w:t>
      </w:r>
      <w:r w:rsidRPr="00DB4A73">
        <w:rPr>
          <w:lang w:eastAsia="ko-KR"/>
        </w:rPr>
        <w:t xml:space="preserve">) </w:t>
      </w:r>
      <w:r>
        <w:rPr>
          <w:lang w:eastAsia="ko-KR"/>
        </w:rPr>
        <w:t>y</w:t>
      </w:r>
      <w:r w:rsidRPr="00DB4A73">
        <w:rPr>
          <w:lang w:eastAsia="ko-KR"/>
        </w:rPr>
        <w:t xml:space="preserve"> 8 400-8 500 MHz (</w:t>
      </w:r>
      <w:r>
        <w:rPr>
          <w:lang w:eastAsia="ko-KR"/>
        </w:rPr>
        <w:t>Tierra-espacio</w:t>
      </w:r>
      <w:r w:rsidRPr="00DB4A73">
        <w:rPr>
          <w:lang w:eastAsia="ko-KR"/>
        </w:rPr>
        <w:t>)</w:t>
      </w:r>
      <w:r>
        <w:rPr>
          <w:lang w:eastAsia="ko-KR"/>
        </w:rPr>
        <w:t xml:space="preserve">, de conformidad con la Resolución </w:t>
      </w:r>
      <w:r w:rsidRPr="00DB4A73">
        <w:rPr>
          <w:lang w:eastAsia="ko-KR"/>
        </w:rPr>
        <w:t>758 (</w:t>
      </w:r>
      <w:r>
        <w:rPr>
          <w:lang w:eastAsia="ko-KR"/>
        </w:rPr>
        <w:t>CMR</w:t>
      </w:r>
      <w:r w:rsidRPr="00DB4A73">
        <w:rPr>
          <w:lang w:eastAsia="ko-KR"/>
        </w:rPr>
        <w:noBreakHyphen/>
        <w:t>12)</w:t>
      </w:r>
      <w:r w:rsidRPr="00DB4A73">
        <w:rPr>
          <w:rFonts w:hint="eastAsia"/>
          <w:lang w:eastAsia="ko-KR"/>
        </w:rPr>
        <w:t>.</w:t>
      </w:r>
    </w:p>
    <w:p w:rsidR="00363A65" w:rsidRDefault="003714A1" w:rsidP="003714A1">
      <w:pPr>
        <w:pStyle w:val="Headingb"/>
      </w:pPr>
      <w:r w:rsidRPr="00F210F5">
        <w:t>Pro</w:t>
      </w:r>
      <w:r>
        <w:t>puestas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3714A1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3714A1" w:rsidP="00D44B91">
      <w:pPr>
        <w:pStyle w:val="Arttitle"/>
      </w:pPr>
      <w:r w:rsidRPr="00245062">
        <w:t>Atribuciones de frecuencia</w:t>
      </w:r>
    </w:p>
    <w:p w:rsidR="00F008F3" w:rsidRPr="00245062" w:rsidRDefault="003714A1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="00C736CB">
        <w:rPr>
          <w:b w:val="0"/>
          <w:bCs/>
        </w:rPr>
        <w:br/>
      </w:r>
      <w:bookmarkStart w:id="6" w:name="_GoBack"/>
      <w:bookmarkEnd w:id="6"/>
      <w:r w:rsidRPr="00245062">
        <w:br/>
      </w:r>
    </w:p>
    <w:p w:rsidR="00142216" w:rsidRDefault="003714A1">
      <w:pPr>
        <w:pStyle w:val="Proposal"/>
      </w:pPr>
      <w:r>
        <w:rPr>
          <w:u w:val="single"/>
        </w:rPr>
        <w:t>NOC</w:t>
      </w:r>
      <w:r>
        <w:tab/>
        <w:t>IND/107A9A1/1</w:t>
      </w:r>
    </w:p>
    <w:p w:rsidR="00F008F3" w:rsidRPr="00245062" w:rsidRDefault="003714A1" w:rsidP="004D72B7">
      <w:pPr>
        <w:pStyle w:val="Tabletitle"/>
      </w:pPr>
      <w:r w:rsidRPr="00245062">
        <w:t>5 570-7 250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245062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48257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E225E5" w:rsidRPr="00245062" w:rsidTr="00FD527A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E5" w:rsidRPr="00245062" w:rsidRDefault="00E225E5" w:rsidP="0048257C">
            <w:pPr>
              <w:pStyle w:val="TableTextS5"/>
              <w:spacing w:before="20" w:after="20"/>
              <w:rPr>
                <w:color w:val="000000"/>
              </w:rPr>
            </w:pP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E5" w:rsidRPr="00245062" w:rsidRDefault="00E225E5" w:rsidP="0048257C">
            <w:pPr>
              <w:pStyle w:val="TableTextS5"/>
              <w:spacing w:before="20" w:after="20"/>
              <w:rPr>
                <w:color w:val="000000"/>
              </w:rPr>
            </w:pPr>
          </w:p>
        </w:tc>
        <w:tc>
          <w:tcPr>
            <w:tcW w:w="3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E5" w:rsidRPr="00245062" w:rsidRDefault="00E225E5" w:rsidP="0048257C">
            <w:pPr>
              <w:pStyle w:val="TableTextS5"/>
              <w:spacing w:before="20" w:after="20"/>
              <w:rPr>
                <w:color w:val="000000"/>
              </w:rPr>
            </w:pPr>
          </w:p>
        </w:tc>
      </w:tr>
      <w:tr w:rsidR="00E225E5" w:rsidRPr="00245062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E5" w:rsidRPr="00245062" w:rsidRDefault="00E225E5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7</w:t>
            </w:r>
            <w:r w:rsidRPr="00245062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245062">
              <w:rPr>
                <w:rStyle w:val="Tablefreq"/>
                <w:color w:val="000000"/>
              </w:rPr>
              <w:t>145-7</w:t>
            </w:r>
            <w:r w:rsidRPr="00245062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245062">
              <w:rPr>
                <w:rStyle w:val="Tablefreq"/>
                <w:color w:val="000000"/>
              </w:rPr>
              <w:t>235</w:t>
            </w:r>
            <w:r w:rsidRPr="00245062">
              <w:rPr>
                <w:color w:val="000000"/>
              </w:rPr>
              <w:tab/>
              <w:t>FIJO</w:t>
            </w:r>
          </w:p>
          <w:p w:rsidR="00E225E5" w:rsidRPr="00245062" w:rsidRDefault="00E225E5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  <w:t>MÓVIL</w:t>
            </w:r>
          </w:p>
          <w:p w:rsidR="00E225E5" w:rsidRPr="00245062" w:rsidRDefault="00E225E5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  <w:t xml:space="preserve">INVESTIGACIÓN ESPACIAL (Tierra-espacio)  </w:t>
            </w:r>
            <w:r w:rsidRPr="00245062">
              <w:rPr>
                <w:rStyle w:val="Artref"/>
                <w:color w:val="000000"/>
              </w:rPr>
              <w:t>5.460</w:t>
            </w:r>
          </w:p>
          <w:p w:rsidR="00E225E5" w:rsidRPr="00245062" w:rsidRDefault="00E225E5" w:rsidP="0048257C">
            <w:pPr>
              <w:pStyle w:val="TableTextS5"/>
              <w:spacing w:before="2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71678E">
              <w:rPr>
                <w:rStyle w:val="Artref10pt"/>
              </w:rPr>
              <w:t>5.458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5.459</w:t>
            </w:r>
          </w:p>
        </w:tc>
      </w:tr>
      <w:tr w:rsidR="00E225E5" w:rsidRPr="00245062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E5" w:rsidRPr="00245062" w:rsidRDefault="00E225E5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7</w:t>
            </w:r>
            <w:r w:rsidRPr="00245062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245062">
              <w:rPr>
                <w:rStyle w:val="Tablefreq"/>
                <w:color w:val="000000"/>
              </w:rPr>
              <w:t>235-7</w:t>
            </w:r>
            <w:r w:rsidRPr="00245062">
              <w:rPr>
                <w:rStyle w:val="Tablefreq"/>
                <w:rFonts w:ascii="Tms Rmn" w:hAnsi="Tms Rmn"/>
                <w:color w:val="000000"/>
                <w:sz w:val="12"/>
              </w:rPr>
              <w:t> </w:t>
            </w:r>
            <w:r w:rsidRPr="00245062">
              <w:rPr>
                <w:rStyle w:val="Tablefreq"/>
                <w:color w:val="000000"/>
              </w:rPr>
              <w:t>250</w:t>
            </w:r>
            <w:r w:rsidRPr="00245062">
              <w:rPr>
                <w:color w:val="000000"/>
              </w:rPr>
              <w:tab/>
              <w:t>FIJO</w:t>
            </w:r>
          </w:p>
          <w:p w:rsidR="00E225E5" w:rsidRPr="00245062" w:rsidRDefault="00E225E5" w:rsidP="0048257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  <w:t>MÓVIL</w:t>
            </w:r>
          </w:p>
          <w:p w:rsidR="00E225E5" w:rsidRPr="00245062" w:rsidRDefault="00E225E5" w:rsidP="0048257C">
            <w:pPr>
              <w:pStyle w:val="TableTextS5"/>
              <w:spacing w:before="20" w:after="2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71678E">
              <w:rPr>
                <w:rStyle w:val="Artref10pt"/>
              </w:rPr>
              <w:t>5.458</w:t>
            </w:r>
          </w:p>
        </w:tc>
      </w:tr>
    </w:tbl>
    <w:p w:rsidR="00142216" w:rsidRPr="00E225E5" w:rsidRDefault="003714A1" w:rsidP="00E225E5">
      <w:pPr>
        <w:pStyle w:val="Reasons"/>
      </w:pPr>
      <w:r w:rsidRPr="00E225E5">
        <w:rPr>
          <w:b/>
          <w:bCs/>
        </w:rPr>
        <w:t>Motivos:</w:t>
      </w:r>
      <w:r w:rsidRPr="00E225E5">
        <w:tab/>
      </w:r>
      <w:r w:rsidR="00E225E5" w:rsidRPr="00E225E5">
        <w:t>Sin modificaciones.</w:t>
      </w:r>
    </w:p>
    <w:p w:rsidR="00142216" w:rsidRDefault="003714A1">
      <w:pPr>
        <w:pStyle w:val="Proposal"/>
      </w:pPr>
      <w:r>
        <w:rPr>
          <w:u w:val="single"/>
        </w:rPr>
        <w:t>NOC</w:t>
      </w:r>
      <w:r>
        <w:tab/>
        <w:t>IND/107A9A1/2</w:t>
      </w:r>
    </w:p>
    <w:p w:rsidR="00F008F3" w:rsidRPr="00245062" w:rsidRDefault="003714A1" w:rsidP="004D72B7">
      <w:pPr>
        <w:pStyle w:val="Tabletitle"/>
      </w:pPr>
      <w:r w:rsidRPr="00245062">
        <w:t>7 250-8 500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245062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3067D6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3714A1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3067D6" w:rsidRPr="00245062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245062" w:rsidRDefault="003714A1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8 400-8 500</w:t>
            </w:r>
            <w:r w:rsidRPr="00245062">
              <w:rPr>
                <w:color w:val="000000"/>
              </w:rPr>
              <w:tab/>
              <w:t>FIJO</w:t>
            </w:r>
          </w:p>
          <w:p w:rsidR="003067D6" w:rsidRPr="00245062" w:rsidRDefault="003714A1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MÓVIL salvo móvil aeronáutico</w:t>
            </w:r>
          </w:p>
          <w:p w:rsidR="003067D6" w:rsidRPr="00245062" w:rsidRDefault="003714A1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 xml:space="preserve">INVESTIGACIÓN ESPACIAL (espacio-Tierra)  </w:t>
            </w:r>
            <w:r w:rsidRPr="00245062">
              <w:rPr>
                <w:rStyle w:val="Artref"/>
                <w:color w:val="000000"/>
              </w:rPr>
              <w:t>5.465</w:t>
            </w:r>
            <w:r w:rsidRPr="00245062">
              <w:rPr>
                <w:color w:val="000000"/>
              </w:rPr>
              <w:t xml:space="preserve">  </w:t>
            </w:r>
            <w:r w:rsidRPr="00245062">
              <w:rPr>
                <w:rStyle w:val="Artref"/>
                <w:color w:val="000000"/>
              </w:rPr>
              <w:t>5.466</w:t>
            </w:r>
          </w:p>
        </w:tc>
      </w:tr>
    </w:tbl>
    <w:p w:rsidR="00E225E5" w:rsidRDefault="00E225E5" w:rsidP="00E225E5">
      <w:pPr>
        <w:pStyle w:val="Reasons"/>
      </w:pPr>
      <w:r>
        <w:rPr>
          <w:b/>
        </w:rPr>
        <w:t>Motivos:</w:t>
      </w:r>
      <w:r>
        <w:tab/>
        <w:t>Sin modificaciones.</w:t>
      </w:r>
    </w:p>
    <w:p w:rsidR="00142216" w:rsidRDefault="003714A1">
      <w:pPr>
        <w:pStyle w:val="Proposal"/>
      </w:pPr>
      <w:r>
        <w:t>SUP</w:t>
      </w:r>
      <w:r>
        <w:tab/>
        <w:t>IND/107A9A1/3</w:t>
      </w:r>
    </w:p>
    <w:p w:rsidR="001B5C7C" w:rsidRPr="00D14182" w:rsidRDefault="003714A1" w:rsidP="001B5C7C">
      <w:pPr>
        <w:pStyle w:val="ResNo"/>
      </w:pPr>
      <w:bookmarkStart w:id="7" w:name="_Toc328141488"/>
      <w:r w:rsidRPr="00D14182">
        <w:t xml:space="preserve">RESOLUCIÓN </w:t>
      </w:r>
      <w:r w:rsidRPr="00D14182">
        <w:rPr>
          <w:rStyle w:val="href"/>
        </w:rPr>
        <w:t>758</w:t>
      </w:r>
      <w:r w:rsidRPr="00D14182">
        <w:t xml:space="preserve"> (CMR-12)</w:t>
      </w:r>
      <w:bookmarkEnd w:id="7"/>
    </w:p>
    <w:p w:rsidR="001B5C7C" w:rsidRPr="00D14182" w:rsidRDefault="003714A1" w:rsidP="001B5C7C">
      <w:pPr>
        <w:pStyle w:val="Restitle"/>
      </w:pPr>
      <w:bookmarkStart w:id="8" w:name="_Toc328141489"/>
      <w:r w:rsidRPr="00D14182">
        <w:t>Atribución al servicio fijo por satélite y al servicio móvil marítimo</w:t>
      </w:r>
      <w:r w:rsidRPr="00D14182">
        <w:br/>
        <w:t>por satélite en la gama 7/8 GHz</w:t>
      </w:r>
      <w:bookmarkEnd w:id="8"/>
    </w:p>
    <w:p w:rsidR="00E225E5" w:rsidRDefault="003714A1" w:rsidP="0032202E">
      <w:pPr>
        <w:pStyle w:val="Reasons"/>
      </w:pPr>
      <w:r>
        <w:rPr>
          <w:b/>
        </w:rPr>
        <w:t>Motivos:</w:t>
      </w:r>
      <w:r>
        <w:tab/>
      </w:r>
      <w:r w:rsidR="00E225E5" w:rsidRPr="00DB4A73">
        <w:t>Ya no es necesaria.</w:t>
      </w:r>
    </w:p>
    <w:p w:rsidR="00E225E5" w:rsidRDefault="00E225E5" w:rsidP="0032202E">
      <w:pPr>
        <w:pStyle w:val="Reasons"/>
      </w:pPr>
    </w:p>
    <w:p w:rsidR="00E225E5" w:rsidRDefault="00E225E5">
      <w:pPr>
        <w:jc w:val="center"/>
      </w:pPr>
      <w:r>
        <w:t>______________</w:t>
      </w:r>
    </w:p>
    <w:p w:rsidR="00142216" w:rsidRDefault="00142216">
      <w:pPr>
        <w:pStyle w:val="Reasons"/>
      </w:pPr>
    </w:p>
    <w:sectPr w:rsidR="001422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2B31">
      <w:rPr>
        <w:noProof/>
      </w:rPr>
      <w:t>30.10.15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A1" w:rsidRDefault="00C736CB" w:rsidP="003714A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3714A1">
      <w:t>P:\ESP\ITU-R\CONF-R\CMR15\100\107ADD09ADD01S.docx</w:t>
    </w:r>
    <w:r>
      <w:fldChar w:fldCharType="end"/>
    </w:r>
    <w:r w:rsidR="003714A1">
      <w:t xml:space="preserve"> (388842)</w:t>
    </w:r>
    <w:r w:rsidR="003714A1">
      <w:tab/>
    </w:r>
    <w:r w:rsidR="003714A1">
      <w:fldChar w:fldCharType="begin"/>
    </w:r>
    <w:r w:rsidR="003714A1">
      <w:instrText xml:space="preserve"> SAVEDATE \@ DD.MM.YY </w:instrText>
    </w:r>
    <w:r w:rsidR="003714A1">
      <w:fldChar w:fldCharType="separate"/>
    </w:r>
    <w:r w:rsidR="00A82B31">
      <w:t>30.10.15</w:t>
    </w:r>
    <w:r w:rsidR="003714A1">
      <w:fldChar w:fldCharType="end"/>
    </w:r>
    <w:r w:rsidR="003714A1">
      <w:tab/>
    </w:r>
    <w:r w:rsidR="003714A1">
      <w:fldChar w:fldCharType="begin"/>
    </w:r>
    <w:r w:rsidR="003714A1">
      <w:instrText xml:space="preserve"> PRINTDATE \@ DD.MM.YY </w:instrText>
    </w:r>
    <w:r w:rsidR="003714A1">
      <w:fldChar w:fldCharType="separate"/>
    </w:r>
    <w:r w:rsidR="003714A1">
      <w:t>19.02.03</w:t>
    </w:r>
    <w:r w:rsidR="003714A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A1" w:rsidRDefault="00E225E5">
    <w:pPr>
      <w:pStyle w:val="Footer"/>
    </w:pPr>
    <w:fldSimple w:instr=" FILENAME \p  \* MERGEFORMAT ">
      <w:r w:rsidR="003714A1">
        <w:t>P:\ESP\ITU-R\CONF-R\CMR15\100\107ADD09ADD01S.docx</w:t>
      </w:r>
    </w:fldSimple>
    <w:r w:rsidR="003714A1">
      <w:t xml:space="preserve"> (388842)</w:t>
    </w:r>
    <w:r w:rsidR="003714A1">
      <w:tab/>
    </w:r>
    <w:r w:rsidR="003714A1">
      <w:fldChar w:fldCharType="begin"/>
    </w:r>
    <w:r w:rsidR="003714A1">
      <w:instrText xml:space="preserve"> SAVEDATE \@ DD.MM.YY </w:instrText>
    </w:r>
    <w:r w:rsidR="003714A1">
      <w:fldChar w:fldCharType="separate"/>
    </w:r>
    <w:r w:rsidR="00A82B31">
      <w:t>30.10.15</w:t>
    </w:r>
    <w:r w:rsidR="003714A1">
      <w:fldChar w:fldCharType="end"/>
    </w:r>
    <w:r w:rsidR="003714A1">
      <w:tab/>
    </w:r>
    <w:r w:rsidR="003714A1">
      <w:fldChar w:fldCharType="begin"/>
    </w:r>
    <w:r w:rsidR="003714A1">
      <w:instrText xml:space="preserve"> PRINTDATE \@ DD.MM.YY </w:instrText>
    </w:r>
    <w:r w:rsidR="003714A1">
      <w:fldChar w:fldCharType="separate"/>
    </w:r>
    <w:r w:rsidR="003714A1">
      <w:t>19.02.03</w:t>
    </w:r>
    <w:r w:rsidR="003714A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A1" w:rsidRDefault="003714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36CB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107(Add.9)(Add.1)-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A1" w:rsidRDefault="00371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42216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1E61"/>
    <w:rsid w:val="002A791F"/>
    <w:rsid w:val="002C1B26"/>
    <w:rsid w:val="002C5D6C"/>
    <w:rsid w:val="002E701F"/>
    <w:rsid w:val="003248A9"/>
    <w:rsid w:val="00324FFA"/>
    <w:rsid w:val="0032680B"/>
    <w:rsid w:val="00363A65"/>
    <w:rsid w:val="003714A1"/>
    <w:rsid w:val="003B1E8C"/>
    <w:rsid w:val="003C2508"/>
    <w:rsid w:val="003D0AA3"/>
    <w:rsid w:val="00440B3A"/>
    <w:rsid w:val="0045384C"/>
    <w:rsid w:val="00454553"/>
    <w:rsid w:val="004B124A"/>
    <w:rsid w:val="004C06E3"/>
    <w:rsid w:val="005133B5"/>
    <w:rsid w:val="00532097"/>
    <w:rsid w:val="0058350F"/>
    <w:rsid w:val="00583C7E"/>
    <w:rsid w:val="00592C07"/>
    <w:rsid w:val="005D46FB"/>
    <w:rsid w:val="005F2605"/>
    <w:rsid w:val="005F3B0E"/>
    <w:rsid w:val="005F559C"/>
    <w:rsid w:val="0061695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B6E49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82B31"/>
    <w:rsid w:val="00AA5E6C"/>
    <w:rsid w:val="00AD235C"/>
    <w:rsid w:val="00AE5677"/>
    <w:rsid w:val="00AE658F"/>
    <w:rsid w:val="00AF2F78"/>
    <w:rsid w:val="00B239FA"/>
    <w:rsid w:val="00B52D55"/>
    <w:rsid w:val="00B651E2"/>
    <w:rsid w:val="00B8288C"/>
    <w:rsid w:val="00BE2E80"/>
    <w:rsid w:val="00BE5EDD"/>
    <w:rsid w:val="00BE6A1F"/>
    <w:rsid w:val="00C110E4"/>
    <w:rsid w:val="00C126C4"/>
    <w:rsid w:val="00C63EB5"/>
    <w:rsid w:val="00C736CB"/>
    <w:rsid w:val="00CC01E0"/>
    <w:rsid w:val="00CD5FEE"/>
    <w:rsid w:val="00CE60D2"/>
    <w:rsid w:val="00CE7431"/>
    <w:rsid w:val="00D0288A"/>
    <w:rsid w:val="00D72A5D"/>
    <w:rsid w:val="00DC629B"/>
    <w:rsid w:val="00E019B5"/>
    <w:rsid w:val="00E05BFF"/>
    <w:rsid w:val="00E225E5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F1AB852-0839-4A77-BC8E-556C382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714A1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R15-WRC15-C-0107!A9-A1!MSW-S</DPM_x0020_File_x0020_name>
    <DPM_x0020_Author xmlns="32a1a8c5-2265-4ebc-b7a0-2071e2c5c9bb" xsi:nil="false">Documents Proposals Manager (DPM)</DPM_x0020_Author>
    <DPM_x0020_Version xmlns="32a1a8c5-2265-4ebc-b7a0-2071e2c5c9bb" xsi:nil="false">DPM_v5.2015.10.290_prod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9FF53-D1A2-4013-AC76-A7FE118637F2}">
  <ds:schemaRefs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A9ED05-9811-40AD-B7EE-5BB7EB64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R15-WRC15-C-0107!A9-A1!MSW-S</vt:lpstr>
    </vt:vector>
  </TitlesOfParts>
  <Manager>Secretaría General - Pool</Manager>
  <Company>Unión Internacional de Telecomunicaciones (UIT)</Company>
  <LinksUpToDate>false</LinksUpToDate>
  <CharactersWithSpaces>2393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R15-WRC15-C-0107!A9-A1!MSW-S</dc:title>
  <dc:subject>Conferencia Mundial de Radiocomunicaciones - 2015</dc:subject>
  <dc:creator>Documents Proposals Manager (DPM)</dc:creator>
  <cp:keywords>DPM_v5.2015.10.290_prod</cp:keywords>
  <dc:description/>
  <cp:lastModifiedBy>Saez Grau, Ricardo</cp:lastModifiedBy>
  <cp:revision>16</cp:revision>
  <cp:lastPrinted>2003-02-19T20:20:00Z</cp:lastPrinted>
  <dcterms:created xsi:type="dcterms:W3CDTF">2015-10-30T16:27:00Z</dcterms:created>
  <dcterms:modified xsi:type="dcterms:W3CDTF">2015-11-01T14:24:00Z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