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1C168DBE" w14:textId="77777777" w:rsidTr="0050008E">
        <w:trPr>
          <w:cantSplit/>
        </w:trPr>
        <w:tc>
          <w:tcPr>
            <w:tcW w:w="6911" w:type="dxa"/>
          </w:tcPr>
          <w:p w14:paraId="1843E17A" w14:textId="77777777" w:rsidR="00BB1D82" w:rsidRPr="00930FFD" w:rsidRDefault="00851625" w:rsidP="00184526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14:paraId="7F2DD378" w14:textId="77777777" w:rsidR="00BB1D82" w:rsidRPr="002A6F8F" w:rsidRDefault="002C28A4" w:rsidP="00184526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16ECDF43" wp14:editId="183DD499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0DBA9464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8488246" w14:textId="77777777" w:rsidR="00BB1D82" w:rsidRPr="002A6F8F" w:rsidRDefault="002C28A4" w:rsidP="00184526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0BA7F84" w14:textId="77777777" w:rsidR="00BB1D82" w:rsidRPr="002A6F8F" w:rsidRDefault="00BB1D82" w:rsidP="00184526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6B0984C3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9DB84F7" w14:textId="77777777" w:rsidR="00BB1D82" w:rsidRPr="002A6F8F" w:rsidRDefault="00BB1D82" w:rsidP="0018452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588C566" w14:textId="77777777" w:rsidR="00BB1D82" w:rsidRPr="002A6F8F" w:rsidRDefault="00BB1D82" w:rsidP="00184526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69297767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67371B35" w14:textId="77777777" w:rsidR="00BB1D82" w:rsidRPr="00930FFD" w:rsidRDefault="006D4724" w:rsidP="0018452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14:paraId="481BAF86" w14:textId="77777777" w:rsidR="00BB1D82" w:rsidRPr="0056731F" w:rsidRDefault="006D4724" w:rsidP="00184526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56731F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1 au</w:t>
            </w:r>
            <w:r w:rsidRPr="0056731F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107(Add.9)</w:t>
            </w:r>
            <w:r w:rsidR="00BB1D82" w:rsidRPr="0056731F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56731F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14:paraId="108D5FFA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76D68E72" w14:textId="77777777" w:rsidR="00690C7B" w:rsidRPr="0056731F" w:rsidRDefault="00690C7B" w:rsidP="0018452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14:paraId="20239810" w14:textId="77777777" w:rsidR="00690C7B" w:rsidRPr="002A6F8F" w:rsidRDefault="00690C7B" w:rsidP="0018452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19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octobre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14:paraId="0EDD09CA" w14:textId="77777777" w:rsidTr="00BB1D82">
        <w:trPr>
          <w:cantSplit/>
        </w:trPr>
        <w:tc>
          <w:tcPr>
            <w:tcW w:w="6911" w:type="dxa"/>
          </w:tcPr>
          <w:p w14:paraId="1AA7BC36" w14:textId="77777777" w:rsidR="00690C7B" w:rsidRPr="002A6F8F" w:rsidRDefault="00690C7B" w:rsidP="0018452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2FEC148C" w14:textId="77777777" w:rsidR="00690C7B" w:rsidRPr="002A6F8F" w:rsidRDefault="00690C7B" w:rsidP="0018452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14:paraId="7079C82C" w14:textId="77777777" w:rsidTr="00C11970">
        <w:trPr>
          <w:cantSplit/>
        </w:trPr>
        <w:tc>
          <w:tcPr>
            <w:tcW w:w="10031" w:type="dxa"/>
            <w:gridSpan w:val="2"/>
          </w:tcPr>
          <w:p w14:paraId="50CD566F" w14:textId="77777777" w:rsidR="00690C7B" w:rsidRPr="002A6F8F" w:rsidRDefault="00690C7B" w:rsidP="00184526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489E137B" w14:textId="77777777" w:rsidTr="0050008E">
        <w:trPr>
          <w:cantSplit/>
        </w:trPr>
        <w:tc>
          <w:tcPr>
            <w:tcW w:w="10031" w:type="dxa"/>
            <w:gridSpan w:val="2"/>
          </w:tcPr>
          <w:p w14:paraId="0B0136C0" w14:textId="77777777" w:rsidR="00690C7B" w:rsidRPr="002A6F8F" w:rsidRDefault="00690C7B" w:rsidP="00184526">
            <w:pPr>
              <w:pStyle w:val="Source"/>
              <w:rPr>
                <w:lang w:val="en-US"/>
              </w:rPr>
            </w:pPr>
            <w:bookmarkStart w:id="2" w:name="dsource" w:colFirst="0" w:colLast="0"/>
            <w:proofErr w:type="spellStart"/>
            <w:r w:rsidRPr="002A6F8F">
              <w:rPr>
                <w:lang w:val="en-US"/>
              </w:rPr>
              <w:t>Inde</w:t>
            </w:r>
            <w:proofErr w:type="spellEnd"/>
            <w:r w:rsidRPr="002A6F8F">
              <w:rPr>
                <w:lang w:val="en-US"/>
              </w:rPr>
              <w:t xml:space="preserve"> (</w:t>
            </w:r>
            <w:proofErr w:type="spellStart"/>
            <w:r w:rsidRPr="002A6F8F">
              <w:rPr>
                <w:lang w:val="en-US"/>
              </w:rPr>
              <w:t>République</w:t>
            </w:r>
            <w:proofErr w:type="spellEnd"/>
            <w:r w:rsidRPr="002A6F8F">
              <w:rPr>
                <w:lang w:val="en-US"/>
              </w:rPr>
              <w:t xml:space="preserve"> de l')</w:t>
            </w:r>
          </w:p>
        </w:tc>
      </w:tr>
      <w:tr w:rsidR="00690C7B" w:rsidRPr="002A6F8F" w14:paraId="7D9FECE0" w14:textId="77777777" w:rsidTr="0050008E">
        <w:trPr>
          <w:cantSplit/>
        </w:trPr>
        <w:tc>
          <w:tcPr>
            <w:tcW w:w="10031" w:type="dxa"/>
            <w:gridSpan w:val="2"/>
          </w:tcPr>
          <w:p w14:paraId="735E2435" w14:textId="77777777" w:rsidR="00690C7B" w:rsidRPr="0056731F" w:rsidRDefault="0056731F" w:rsidP="00184526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56731F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2D966A8C" w14:textId="77777777" w:rsidTr="0050008E">
        <w:trPr>
          <w:cantSplit/>
        </w:trPr>
        <w:tc>
          <w:tcPr>
            <w:tcW w:w="10031" w:type="dxa"/>
            <w:gridSpan w:val="2"/>
          </w:tcPr>
          <w:p w14:paraId="7B4F55AB" w14:textId="77777777" w:rsidR="00690C7B" w:rsidRPr="0056731F" w:rsidRDefault="00690C7B" w:rsidP="00184526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14:paraId="66CC7F26" w14:textId="77777777" w:rsidTr="0050008E">
        <w:trPr>
          <w:cantSplit/>
        </w:trPr>
        <w:tc>
          <w:tcPr>
            <w:tcW w:w="10031" w:type="dxa"/>
            <w:gridSpan w:val="2"/>
          </w:tcPr>
          <w:p w14:paraId="7E824636" w14:textId="77777777" w:rsidR="00690C7B" w:rsidRDefault="00690C7B" w:rsidP="00184526">
            <w:pPr>
              <w:pStyle w:val="Agendaitem"/>
            </w:pPr>
            <w:bookmarkStart w:id="5" w:name="dtitle3" w:colFirst="0" w:colLast="0"/>
            <w:bookmarkEnd w:id="4"/>
            <w:r w:rsidRPr="006D4724">
              <w:t>Point 1.9.1 de l'ordre du jour</w:t>
            </w:r>
          </w:p>
        </w:tc>
      </w:tr>
    </w:tbl>
    <w:bookmarkEnd w:id="5"/>
    <w:p w14:paraId="4E36C69F" w14:textId="77777777" w:rsidR="001C0E40" w:rsidRPr="00346C84" w:rsidRDefault="0056731F" w:rsidP="00184526">
      <w:r w:rsidRPr="00346C84">
        <w:t>1.9</w:t>
      </w:r>
      <w:r w:rsidRPr="00346C84">
        <w:tab/>
        <w:t>examiner, conformément à la Résolution </w:t>
      </w:r>
      <w:r w:rsidRPr="002E06FA">
        <w:rPr>
          <w:b/>
          <w:bCs/>
        </w:rPr>
        <w:t>758 (CMR-12)</w:t>
      </w:r>
      <w:r w:rsidRPr="00346C84">
        <w:t>:</w:t>
      </w:r>
    </w:p>
    <w:p w14:paraId="0DA8931B" w14:textId="17201FD8" w:rsidR="00184526" w:rsidRPr="00A56A26" w:rsidRDefault="0056731F" w:rsidP="00184526">
      <w:pPr>
        <w:rPr>
          <w:lang w:val="fr-CA"/>
        </w:rPr>
      </w:pPr>
      <w:r w:rsidRPr="00A56A26">
        <w:rPr>
          <w:lang w:val="fr-CA"/>
        </w:rPr>
        <w:t>1.9.1</w:t>
      </w:r>
      <w:r w:rsidRPr="00A56A26">
        <w:rPr>
          <w:lang w:val="fr-CA"/>
        </w:rPr>
        <w:tab/>
        <w:t>la possibilité de faire de nouvelles attributions au service fixe par satellite dans les bandes de fréquences 7 150-7 250 MHz (espace vers Terre) et 8 400-8 500 MHz (Terre vers espace), à condition de prévoir des conditions de partage appropriées;</w:t>
      </w:r>
    </w:p>
    <w:p w14:paraId="7BD2DA6F" w14:textId="77777777" w:rsidR="0056731F" w:rsidRPr="00184526" w:rsidRDefault="0056731F" w:rsidP="00184526">
      <w:pPr>
        <w:pStyle w:val="Headingb"/>
        <w:rPr>
          <w:lang w:val="fr-CH" w:eastAsia="ko-KR"/>
        </w:rPr>
      </w:pPr>
      <w:r w:rsidRPr="00184526">
        <w:rPr>
          <w:lang w:val="fr-CH" w:eastAsia="ko-KR"/>
        </w:rPr>
        <w:t>Introduction</w:t>
      </w:r>
    </w:p>
    <w:p w14:paraId="6312CDB5" w14:textId="1B62A6DA" w:rsidR="00EE1B84" w:rsidRPr="00EE1B84" w:rsidRDefault="00184526" w:rsidP="00184526">
      <w:pPr>
        <w:rPr>
          <w:lang w:val="fr-CH" w:eastAsia="ko-KR"/>
        </w:rPr>
      </w:pPr>
      <w:r>
        <w:rPr>
          <w:lang w:val="fr-CH" w:eastAsia="ko-KR"/>
        </w:rPr>
        <w:t>L’Administration</w:t>
      </w:r>
      <w:r w:rsidR="00127AB2">
        <w:rPr>
          <w:lang w:val="fr-CH" w:eastAsia="ko-KR"/>
        </w:rPr>
        <w:t xml:space="preserve"> indienne</w:t>
      </w:r>
      <w:r w:rsidR="00EE1B84" w:rsidRPr="00EE1B84">
        <w:rPr>
          <w:lang w:val="fr-CH" w:eastAsia="ko-KR"/>
        </w:rPr>
        <w:t xml:space="preserve"> attache une grande importance au service de </w:t>
      </w:r>
      <w:r w:rsidR="00EE1B84">
        <w:rPr>
          <w:lang w:val="fr-CH" w:eastAsia="ko-KR"/>
        </w:rPr>
        <w:t>recherche</w:t>
      </w:r>
      <w:r w:rsidR="00EE1B84" w:rsidRPr="00EE1B84">
        <w:rPr>
          <w:lang w:val="fr-CH" w:eastAsia="ko-KR"/>
        </w:rPr>
        <w:t xml:space="preserve"> spatiale, y compris </w:t>
      </w:r>
      <w:r w:rsidR="00EE1B84">
        <w:rPr>
          <w:lang w:val="fr-CH" w:eastAsia="ko-KR"/>
        </w:rPr>
        <w:t>au service de recherche spatiale dans l’espace lointain. D’après certaines études, la coexistence entre le service fixe par satellite (espace vers Terre) et le service de recherche s</w:t>
      </w:r>
      <w:r>
        <w:rPr>
          <w:lang w:val="fr-CH" w:eastAsia="ko-KR"/>
        </w:rPr>
        <w:t xml:space="preserve">patiale (Terre vers espace), </w:t>
      </w:r>
      <w:r w:rsidR="00EE1B84">
        <w:rPr>
          <w:lang w:val="fr-CH" w:eastAsia="ko-KR"/>
        </w:rPr>
        <w:t xml:space="preserve">en particulier le service de recherche spatiale dans l’espace lointain, est difficile dans la bande de fréquences 7 145-7 190 MHz pendant les phases </w:t>
      </w:r>
      <w:r w:rsidR="00EE1B84">
        <w:rPr>
          <w:color w:val="000000"/>
        </w:rPr>
        <w:t xml:space="preserve">au voisinage de la Terre de missions de ce service, et des missions du service de recherche spatiale pourraient à l’avenir subir des brouillages inacceptables </w:t>
      </w:r>
      <w:r>
        <w:rPr>
          <w:color w:val="000000"/>
        </w:rPr>
        <w:t>au cas où</w:t>
      </w:r>
      <w:r w:rsidR="00EE1B84">
        <w:rPr>
          <w:color w:val="000000"/>
        </w:rPr>
        <w:t xml:space="preserve"> un engin spatial de ce service </w:t>
      </w:r>
      <w:r w:rsidR="00F45FCF">
        <w:rPr>
          <w:color w:val="000000"/>
        </w:rPr>
        <w:t>ne respecte</w:t>
      </w:r>
      <w:r>
        <w:rPr>
          <w:color w:val="000000"/>
        </w:rPr>
        <w:t>rait</w:t>
      </w:r>
      <w:r w:rsidR="005E0535">
        <w:rPr>
          <w:color w:val="000000"/>
        </w:rPr>
        <w:t xml:space="preserve"> pas certaines distances par rapport au </w:t>
      </w:r>
      <w:r w:rsidR="00F45FCF">
        <w:rPr>
          <w:color w:val="000000"/>
        </w:rPr>
        <w:t>système OSG</w:t>
      </w:r>
      <w:r w:rsidR="005E0535">
        <w:rPr>
          <w:color w:val="000000"/>
        </w:rPr>
        <w:t>.</w:t>
      </w:r>
      <w:bookmarkStart w:id="6" w:name="_GoBack"/>
      <w:bookmarkEnd w:id="6"/>
    </w:p>
    <w:p w14:paraId="636A7C7B" w14:textId="24F295F4" w:rsidR="0056731F" w:rsidRPr="00C503E6" w:rsidRDefault="00184526" w:rsidP="00184526">
      <w:pPr>
        <w:rPr>
          <w:lang w:eastAsia="ko-KR"/>
        </w:rPr>
      </w:pPr>
      <w:r>
        <w:rPr>
          <w:lang w:val="fr-CH" w:eastAsia="ko-KR"/>
        </w:rPr>
        <w:t>L</w:t>
      </w:r>
      <w:r w:rsidR="00A04E72" w:rsidRPr="00EE1B84">
        <w:rPr>
          <w:lang w:val="fr-CH" w:eastAsia="ko-KR"/>
        </w:rPr>
        <w:t xml:space="preserve">’Administration indienne </w:t>
      </w:r>
      <w:r w:rsidR="0080398E">
        <w:t xml:space="preserve">propose </w:t>
      </w:r>
      <w:r>
        <w:t xml:space="preserve">donc </w:t>
      </w:r>
      <w:r w:rsidR="0080398E">
        <w:t>de n’apporter aucune modification au</w:t>
      </w:r>
      <w:r w:rsidR="0056731F">
        <w:t xml:space="preserve"> Règlement des radiocommunications</w:t>
      </w:r>
      <w:r w:rsidR="0080398E">
        <w:t xml:space="preserve">, conformément à la méthode C proposée dans le Rapport de la RPC à la CMR-15, </w:t>
      </w:r>
      <w:r w:rsidR="0056731F" w:rsidRPr="00184526">
        <w:t>concernant la possibilité de faire de nouvelles attributions au service fixe par satellite dans les bandes de fréquences 7 150-7 250 MHz (espace vers Terre) et 8 400-8 500 MHz (Terre vers espace), conformément à la Résolution 758 (CMR-12).</w:t>
      </w:r>
    </w:p>
    <w:p w14:paraId="073671D3" w14:textId="77777777" w:rsidR="0056731F" w:rsidRDefault="0056731F" w:rsidP="00184526">
      <w:pPr>
        <w:pStyle w:val="Headingb"/>
      </w:pPr>
      <w:r w:rsidRPr="00F210F5">
        <w:t>Propos</w:t>
      </w:r>
      <w:r>
        <w:t>itions</w:t>
      </w:r>
    </w:p>
    <w:p w14:paraId="4EB957C9" w14:textId="77777777" w:rsidR="0015203F" w:rsidRDefault="0015203F" w:rsidP="0018452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37699356" w14:textId="77777777" w:rsidR="004A6A8C" w:rsidRDefault="0056731F" w:rsidP="00184526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14:paraId="6846117F" w14:textId="77777777" w:rsidR="004A6A8C" w:rsidRDefault="0056731F" w:rsidP="00184526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14:paraId="631A2B5F" w14:textId="77777777" w:rsidR="004A6A8C" w:rsidRPr="00375EEA" w:rsidRDefault="0056731F" w:rsidP="00184526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260AE5">
        <w:t>(</w:t>
      </w:r>
      <w:r w:rsidRPr="00185EA1">
        <w:rPr>
          <w:b w:val="0"/>
          <w:bCs/>
        </w:rPr>
        <w:t>Voir le numéro</w:t>
      </w:r>
      <w:r w:rsidRPr="00260AE5">
        <w:t xml:space="preserve"> 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14:paraId="7DFECD79" w14:textId="77777777" w:rsidR="00ED2CD2" w:rsidRDefault="0056731F" w:rsidP="00184526">
      <w:pPr>
        <w:pStyle w:val="Proposal"/>
      </w:pPr>
      <w:r>
        <w:rPr>
          <w:u w:val="single"/>
        </w:rPr>
        <w:t>NOC</w:t>
      </w:r>
      <w:r>
        <w:tab/>
        <w:t>IND/107A9A1/1</w:t>
      </w:r>
    </w:p>
    <w:p w14:paraId="331DA5BA" w14:textId="77777777" w:rsidR="004A6A8C" w:rsidRDefault="0056731F" w:rsidP="00184526">
      <w:pPr>
        <w:pStyle w:val="Tabletitle"/>
        <w:rPr>
          <w:color w:val="000000"/>
        </w:rPr>
      </w:pPr>
      <w:r>
        <w:rPr>
          <w:color w:val="000000"/>
        </w:rPr>
        <w:t>5 570-7 250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14:paraId="20FFF7A7" w14:textId="77777777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9356" w14:textId="77777777" w:rsidR="004A6A8C" w:rsidRDefault="0056731F" w:rsidP="0018452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14:paraId="4A835507" w14:textId="77777777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77FE" w14:textId="77777777" w:rsidR="004A6A8C" w:rsidRDefault="0056731F" w:rsidP="0018452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1933" w14:textId="77777777" w:rsidR="004A6A8C" w:rsidRDefault="0056731F" w:rsidP="0018452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8FC5" w14:textId="77777777" w:rsidR="004A6A8C" w:rsidRDefault="0056731F" w:rsidP="0018452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14:paraId="1A1EC504" w14:textId="77777777" w:rsidTr="00D94B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304" w:type="dxa"/>
            <w:gridSpan w:val="3"/>
          </w:tcPr>
          <w:p w14:paraId="2B61CCEE" w14:textId="77777777" w:rsidR="004A6A8C" w:rsidRDefault="0056731F" w:rsidP="00184526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t>7 145-7 235</w:t>
            </w:r>
            <w:r>
              <w:rPr>
                <w:color w:val="000000"/>
                <w:lang w:val="fr-CH"/>
              </w:rPr>
              <w:tab/>
              <w:t>FIXE</w:t>
            </w:r>
          </w:p>
          <w:p w14:paraId="61FF82B4" w14:textId="77777777" w:rsidR="004A6A8C" w:rsidRDefault="0056731F" w:rsidP="00184526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MOBILE</w:t>
            </w:r>
          </w:p>
          <w:p w14:paraId="22460EBB" w14:textId="4EC26DFB" w:rsidR="004A6A8C" w:rsidRDefault="0056731F" w:rsidP="00184526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rStyle w:val="Artref"/>
                <w:color w:val="000000"/>
              </w:rPr>
            </w:pPr>
            <w:r>
              <w:rPr>
                <w:color w:val="000000"/>
                <w:lang w:val="fr-CH"/>
              </w:rPr>
              <w:tab/>
              <w:t>RECHERCHE SPATIALE (Terre vers espace)</w:t>
            </w:r>
            <w:r w:rsidR="00A21680">
              <w:rPr>
                <w:color w:val="000000"/>
                <w:lang w:val="fr-CH"/>
              </w:rPr>
              <w:t xml:space="preserve"> </w:t>
            </w:r>
            <w:r>
              <w:rPr>
                <w:rStyle w:val="Artref"/>
                <w:color w:val="000000"/>
              </w:rPr>
              <w:t>5.460</w:t>
            </w:r>
          </w:p>
          <w:p w14:paraId="74AFDF84" w14:textId="3077ED78" w:rsidR="004A6A8C" w:rsidRDefault="0056731F" w:rsidP="00184526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10" w:after="10"/>
              <w:rPr>
                <w:rStyle w:val="Tablefreq"/>
                <w:color w:val="000000"/>
              </w:rPr>
            </w:pPr>
            <w:r>
              <w:rPr>
                <w:color w:val="000000"/>
                <w:lang w:val="fr-CH"/>
              </w:rPr>
              <w:tab/>
            </w:r>
            <w:r w:rsidRPr="00880E98">
              <w:t>5.458</w:t>
            </w:r>
            <w:r w:rsidR="00A21680">
              <w:rPr>
                <w:color w:val="000000"/>
                <w:lang w:val="fr-CH"/>
              </w:rPr>
              <w:t xml:space="preserve"> </w:t>
            </w:r>
            <w:r w:rsidRPr="00880E98">
              <w:t>5.459</w:t>
            </w:r>
          </w:p>
        </w:tc>
      </w:tr>
      <w:tr w:rsidR="004A6A8C" w14:paraId="73FC964C" w14:textId="77777777" w:rsidTr="00D94B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304" w:type="dxa"/>
            <w:gridSpan w:val="3"/>
          </w:tcPr>
          <w:p w14:paraId="2978D9E2" w14:textId="77777777" w:rsidR="004A6A8C" w:rsidRDefault="0056731F" w:rsidP="00184526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t>7 235-7 250</w:t>
            </w:r>
            <w:r>
              <w:rPr>
                <w:color w:val="000000"/>
                <w:lang w:val="fr-CH"/>
              </w:rPr>
              <w:tab/>
              <w:t>FIXE</w:t>
            </w:r>
          </w:p>
          <w:p w14:paraId="1C4B8C1E" w14:textId="77777777" w:rsidR="004A6A8C" w:rsidRDefault="0056731F" w:rsidP="00184526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MOBILE</w:t>
            </w:r>
          </w:p>
          <w:p w14:paraId="194B2CA6" w14:textId="77777777" w:rsidR="004A6A8C" w:rsidRPr="00880E98" w:rsidRDefault="0056731F" w:rsidP="00184526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3005"/>
              </w:tabs>
              <w:spacing w:before="10" w:after="10"/>
            </w:pPr>
            <w:r>
              <w:rPr>
                <w:color w:val="000000"/>
                <w:lang w:val="fr-CH"/>
              </w:rPr>
              <w:tab/>
            </w:r>
            <w:r w:rsidRPr="00880E98">
              <w:t>5.458</w:t>
            </w:r>
          </w:p>
        </w:tc>
      </w:tr>
    </w:tbl>
    <w:p w14:paraId="3C1ED214" w14:textId="0D21AAAB" w:rsidR="00ED2CD2" w:rsidRDefault="0056731F" w:rsidP="00184526">
      <w:pPr>
        <w:pStyle w:val="Reasons"/>
      </w:pPr>
      <w:r>
        <w:rPr>
          <w:b/>
        </w:rPr>
        <w:t>Motifs:</w:t>
      </w:r>
      <w:r>
        <w:tab/>
      </w:r>
      <w:r w:rsidR="007D1241">
        <w:t>Aucune modification</w:t>
      </w:r>
      <w:r>
        <w:t>.</w:t>
      </w:r>
    </w:p>
    <w:p w14:paraId="056E1579" w14:textId="77777777" w:rsidR="00ED2CD2" w:rsidRDefault="0056731F" w:rsidP="00184526">
      <w:pPr>
        <w:pStyle w:val="Proposal"/>
      </w:pPr>
      <w:r>
        <w:rPr>
          <w:u w:val="single"/>
        </w:rPr>
        <w:t>NOC</w:t>
      </w:r>
      <w:r>
        <w:tab/>
        <w:t>IND/107A9A1/2</w:t>
      </w:r>
    </w:p>
    <w:p w14:paraId="6B3A6C04" w14:textId="77777777" w:rsidR="004A6A8C" w:rsidRDefault="0056731F" w:rsidP="00184526">
      <w:pPr>
        <w:pStyle w:val="Tabletitle"/>
        <w:rPr>
          <w:color w:val="000000"/>
        </w:rPr>
      </w:pPr>
      <w:r>
        <w:rPr>
          <w:color w:val="000000"/>
        </w:rPr>
        <w:t>7 250-8 500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14:paraId="57C0FE4C" w14:textId="77777777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C3F9" w14:textId="77777777" w:rsidR="004A6A8C" w:rsidRDefault="0056731F" w:rsidP="0018452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14:paraId="52CA4AFC" w14:textId="77777777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9775" w14:textId="77777777" w:rsidR="004A6A8C" w:rsidRDefault="0056731F" w:rsidP="0018452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1EB" w14:textId="77777777" w:rsidR="004A6A8C" w:rsidRDefault="0056731F" w:rsidP="0018452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19F9" w14:textId="77777777" w:rsidR="004A6A8C" w:rsidRDefault="0056731F" w:rsidP="0018452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14:paraId="53B91D83" w14:textId="77777777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842F" w14:textId="77777777" w:rsidR="004A6A8C" w:rsidRDefault="0056731F" w:rsidP="00184526">
            <w:pPr>
              <w:pStyle w:val="TableTextS5"/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8 400-8 500</w:t>
            </w:r>
            <w:r>
              <w:rPr>
                <w:color w:val="000000"/>
              </w:rPr>
              <w:tab/>
              <w:t>FIXE</w:t>
            </w:r>
          </w:p>
          <w:p w14:paraId="0FFAC25D" w14:textId="77777777" w:rsidR="004A6A8C" w:rsidRDefault="0056731F" w:rsidP="00184526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sauf mobile aéronautique</w:t>
            </w:r>
          </w:p>
          <w:p w14:paraId="21FF219C" w14:textId="029A838D" w:rsidR="004A6A8C" w:rsidRDefault="0056731F" w:rsidP="00184526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 (espace vers Terre)</w:t>
            </w:r>
            <w:r w:rsidR="00A21680">
              <w:rPr>
                <w:color w:val="000000"/>
              </w:rPr>
              <w:t xml:space="preserve"> </w:t>
            </w:r>
            <w:r>
              <w:rPr>
                <w:rStyle w:val="Artref"/>
                <w:color w:val="000000"/>
              </w:rPr>
              <w:t>5.465</w:t>
            </w:r>
            <w:r w:rsidR="00A21680">
              <w:rPr>
                <w:color w:val="000000"/>
              </w:rPr>
              <w:t xml:space="preserve"> </w:t>
            </w:r>
            <w:r>
              <w:rPr>
                <w:rStyle w:val="Artref"/>
                <w:color w:val="000000"/>
              </w:rPr>
              <w:t>5.466</w:t>
            </w:r>
          </w:p>
        </w:tc>
      </w:tr>
    </w:tbl>
    <w:p w14:paraId="7FADFB22" w14:textId="25835B5A" w:rsidR="00ED2CD2" w:rsidRPr="00184526" w:rsidRDefault="0056731F" w:rsidP="00184526">
      <w:pPr>
        <w:pStyle w:val="Reasons"/>
        <w:rPr>
          <w:lang w:val="fr-CH"/>
        </w:rPr>
      </w:pPr>
      <w:r w:rsidRPr="00184526">
        <w:rPr>
          <w:b/>
          <w:lang w:val="fr-CH"/>
        </w:rPr>
        <w:t>Motifs:</w:t>
      </w:r>
      <w:r w:rsidRPr="00184526">
        <w:rPr>
          <w:lang w:val="fr-CH"/>
        </w:rPr>
        <w:tab/>
      </w:r>
      <w:r w:rsidR="007D1241">
        <w:t>Aucune modification</w:t>
      </w:r>
      <w:r w:rsidRPr="00184526">
        <w:rPr>
          <w:lang w:val="fr-CH"/>
        </w:rPr>
        <w:t>.</w:t>
      </w:r>
    </w:p>
    <w:p w14:paraId="508851AB" w14:textId="77777777" w:rsidR="00ED2CD2" w:rsidRPr="00184526" w:rsidRDefault="0056731F" w:rsidP="00184526">
      <w:pPr>
        <w:pStyle w:val="Proposal"/>
        <w:rPr>
          <w:lang w:val="fr-CH"/>
        </w:rPr>
      </w:pPr>
      <w:r w:rsidRPr="00184526">
        <w:rPr>
          <w:lang w:val="fr-CH"/>
        </w:rPr>
        <w:t>SUP</w:t>
      </w:r>
      <w:r w:rsidRPr="00184526">
        <w:rPr>
          <w:lang w:val="fr-CH"/>
        </w:rPr>
        <w:tab/>
        <w:t>IND/107A9A1/3</w:t>
      </w:r>
    </w:p>
    <w:p w14:paraId="18B1F2F4" w14:textId="77777777" w:rsidR="00DD4258" w:rsidRPr="00932C66" w:rsidRDefault="0056731F" w:rsidP="00184526">
      <w:pPr>
        <w:pStyle w:val="ResNo"/>
      </w:pPr>
      <w:r>
        <w:t>R</w:t>
      </w:r>
      <w:r w:rsidRPr="00520C96">
        <w:t>É</w:t>
      </w:r>
      <w:r>
        <w:t xml:space="preserve">SOLUTION </w:t>
      </w:r>
      <w:r w:rsidRPr="00B1433C">
        <w:rPr>
          <w:rStyle w:val="href"/>
        </w:rPr>
        <w:t>758</w:t>
      </w:r>
      <w:r w:rsidRPr="00932C66">
        <w:t xml:space="preserve"> (CMR-12)</w:t>
      </w:r>
    </w:p>
    <w:p w14:paraId="7DC22858" w14:textId="77777777" w:rsidR="00DD4258" w:rsidRPr="009C7CEE" w:rsidRDefault="0056731F" w:rsidP="00184526">
      <w:pPr>
        <w:pStyle w:val="Restitle"/>
      </w:pPr>
      <w:r w:rsidRPr="009C7CEE">
        <w:t xml:space="preserve">Attribution au service fixe par satellite et au service mobile maritime </w:t>
      </w:r>
      <w:r w:rsidRPr="009C7CEE">
        <w:br/>
        <w:t>par satellite dans la gamme 7/8 GHz</w:t>
      </w:r>
    </w:p>
    <w:p w14:paraId="1C92B088" w14:textId="358D30A9" w:rsidR="00ED2CD2" w:rsidRDefault="0056731F" w:rsidP="00184526">
      <w:pPr>
        <w:pStyle w:val="Reasons"/>
      </w:pPr>
      <w:r>
        <w:rPr>
          <w:b/>
        </w:rPr>
        <w:t>Motifs:</w:t>
      </w:r>
      <w:r>
        <w:tab/>
      </w:r>
      <w:r w:rsidR="007D1241">
        <w:t>Cette résolution n’est plus nécessaire</w:t>
      </w:r>
      <w:r>
        <w:t>.</w:t>
      </w:r>
    </w:p>
    <w:p w14:paraId="428B0EEC" w14:textId="77777777" w:rsidR="0056731F" w:rsidRDefault="0056731F" w:rsidP="00184526">
      <w:pPr>
        <w:pStyle w:val="Reasons"/>
      </w:pPr>
    </w:p>
    <w:p w14:paraId="6BC85271" w14:textId="77777777" w:rsidR="0056731F" w:rsidRDefault="0056731F" w:rsidP="00184526">
      <w:pPr>
        <w:jc w:val="center"/>
      </w:pPr>
      <w:r>
        <w:t>______________</w:t>
      </w:r>
    </w:p>
    <w:p w14:paraId="7F0FA9AA" w14:textId="77777777" w:rsidR="0056731F" w:rsidRDefault="0056731F" w:rsidP="00184526">
      <w:pPr>
        <w:pStyle w:val="Reasons"/>
      </w:pPr>
    </w:p>
    <w:sectPr w:rsidR="005673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7D328" w14:textId="77777777" w:rsidR="001F17E8" w:rsidRDefault="001F17E8">
      <w:r>
        <w:separator/>
      </w:r>
    </w:p>
  </w:endnote>
  <w:endnote w:type="continuationSeparator" w:id="0">
    <w:p w14:paraId="39264508" w14:textId="77777777"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2A042" w14:textId="7777777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27AB2">
      <w:rPr>
        <w:noProof/>
      </w:rPr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0B2F4" w14:textId="13078A37" w:rsidR="00936D25" w:rsidRPr="00C97FC2" w:rsidRDefault="00127AB2" w:rsidP="00C97FC2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C97FC2">
      <w:t>P:\FRA\ITU-R\CONF-R\CMR15\000\107ADD09ADD01F.docx</w:t>
    </w:r>
    <w:r>
      <w:fldChar w:fldCharType="end"/>
    </w:r>
    <w:r w:rsidR="00C97FC2">
      <w:tab/>
    </w:r>
    <w:r w:rsidR="00C97FC2">
      <w:fldChar w:fldCharType="begin"/>
    </w:r>
    <w:r w:rsidR="00C97FC2">
      <w:instrText xml:space="preserve"> SAVEDATE \@ DD.MM.YY </w:instrText>
    </w:r>
    <w:r w:rsidR="00C97FC2">
      <w:fldChar w:fldCharType="separate"/>
    </w:r>
    <w:r>
      <w:t>25.10.15</w:t>
    </w:r>
    <w:r w:rsidR="00C97FC2">
      <w:fldChar w:fldCharType="end"/>
    </w:r>
    <w:r w:rsidR="00C97FC2">
      <w:tab/>
    </w:r>
    <w:r w:rsidR="00C97FC2">
      <w:fldChar w:fldCharType="begin"/>
    </w:r>
    <w:r w:rsidR="00C97FC2">
      <w:instrText xml:space="preserve"> PRINTDATE \@ DD.MM.YY </w:instrText>
    </w:r>
    <w:r w:rsidR="00C97FC2">
      <w:fldChar w:fldCharType="separate"/>
    </w:r>
    <w:r w:rsidR="00C97FC2">
      <w:t>05.06.03</w:t>
    </w:r>
    <w:r w:rsidR="00C97FC2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6A62" w14:textId="10BDD4EA" w:rsidR="00936D25" w:rsidRPr="00184526" w:rsidRDefault="00127AB2" w:rsidP="00184526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184526">
      <w:t>P:\FRA\ITU-R\CONF-R\CMR15\000\107ADD09ADD01F.docx</w:t>
    </w:r>
    <w:r>
      <w:fldChar w:fldCharType="end"/>
    </w:r>
    <w:r w:rsidR="00184526">
      <w:t xml:space="preserve"> (388842)</w:t>
    </w:r>
    <w:r w:rsidR="00184526">
      <w:tab/>
    </w:r>
    <w:r w:rsidR="00184526">
      <w:fldChar w:fldCharType="begin"/>
    </w:r>
    <w:r w:rsidR="00184526">
      <w:instrText xml:space="preserve"> SAVEDATE \@ DD.MM.YY </w:instrText>
    </w:r>
    <w:r w:rsidR="00184526">
      <w:fldChar w:fldCharType="separate"/>
    </w:r>
    <w:r>
      <w:t>25.10.15</w:t>
    </w:r>
    <w:r w:rsidR="00184526">
      <w:fldChar w:fldCharType="end"/>
    </w:r>
    <w:r w:rsidR="00184526">
      <w:tab/>
    </w:r>
    <w:r w:rsidR="00184526">
      <w:fldChar w:fldCharType="begin"/>
    </w:r>
    <w:r w:rsidR="00184526">
      <w:instrText xml:space="preserve"> PRINTDATE \@ DD.MM.YY </w:instrText>
    </w:r>
    <w:r w:rsidR="00184526">
      <w:fldChar w:fldCharType="separate"/>
    </w:r>
    <w:r w:rsidR="00184526">
      <w:t>05.06.03</w:t>
    </w:r>
    <w:r w:rsidR="0018452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4D6DF" w14:textId="77777777" w:rsidR="001F17E8" w:rsidRDefault="001F17E8">
      <w:r>
        <w:rPr>
          <w:b/>
        </w:rPr>
        <w:t>_______________</w:t>
      </w:r>
    </w:p>
  </w:footnote>
  <w:footnote w:type="continuationSeparator" w:id="0">
    <w:p w14:paraId="6398AD1D" w14:textId="77777777"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14C3C" w14:textId="77777777" w:rsidR="00184526" w:rsidRDefault="001845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47FB2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27AB2">
      <w:rPr>
        <w:noProof/>
      </w:rPr>
      <w:t>2</w:t>
    </w:r>
    <w:r>
      <w:fldChar w:fldCharType="end"/>
    </w:r>
  </w:p>
  <w:p w14:paraId="39638CA8" w14:textId="77777777"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107(Add.9)(Add.1)-</w:t>
    </w:r>
    <w:r w:rsidR="00010B43" w:rsidRPr="00010B43">
      <w:t>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356A4" w14:textId="77777777" w:rsidR="00184526" w:rsidRDefault="001845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27AB2"/>
    <w:rsid w:val="0015203F"/>
    <w:rsid w:val="00160C64"/>
    <w:rsid w:val="0018169B"/>
    <w:rsid w:val="00184526"/>
    <w:rsid w:val="00185EA1"/>
    <w:rsid w:val="0019352B"/>
    <w:rsid w:val="001960D0"/>
    <w:rsid w:val="001F17E8"/>
    <w:rsid w:val="00204306"/>
    <w:rsid w:val="00232FD2"/>
    <w:rsid w:val="0026554E"/>
    <w:rsid w:val="00281282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1693D"/>
    <w:rsid w:val="0056731F"/>
    <w:rsid w:val="00586CF2"/>
    <w:rsid w:val="005C3768"/>
    <w:rsid w:val="005C6C3F"/>
    <w:rsid w:val="005E0535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7D1241"/>
    <w:rsid w:val="0080398E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04E72"/>
    <w:rsid w:val="00A21680"/>
    <w:rsid w:val="00A37105"/>
    <w:rsid w:val="00A606C3"/>
    <w:rsid w:val="00A83B09"/>
    <w:rsid w:val="00A84541"/>
    <w:rsid w:val="00AE36A0"/>
    <w:rsid w:val="00B00294"/>
    <w:rsid w:val="00B64FD0"/>
    <w:rsid w:val="00B74DA8"/>
    <w:rsid w:val="00BA5BD0"/>
    <w:rsid w:val="00BB1D82"/>
    <w:rsid w:val="00BF26E7"/>
    <w:rsid w:val="00C53FCA"/>
    <w:rsid w:val="00C76BAF"/>
    <w:rsid w:val="00C814B9"/>
    <w:rsid w:val="00C97FC2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B3FC4"/>
    <w:rsid w:val="00DB793F"/>
    <w:rsid w:val="00DC402B"/>
    <w:rsid w:val="00DE0932"/>
    <w:rsid w:val="00E03A27"/>
    <w:rsid w:val="00E049F1"/>
    <w:rsid w:val="00E35A6B"/>
    <w:rsid w:val="00E37A25"/>
    <w:rsid w:val="00E537FF"/>
    <w:rsid w:val="00E6539B"/>
    <w:rsid w:val="00E70A31"/>
    <w:rsid w:val="00EA3F38"/>
    <w:rsid w:val="00EA5AB6"/>
    <w:rsid w:val="00EC7615"/>
    <w:rsid w:val="00ED16AA"/>
    <w:rsid w:val="00ED2CD2"/>
    <w:rsid w:val="00EE1B84"/>
    <w:rsid w:val="00EF662E"/>
    <w:rsid w:val="00F148F1"/>
    <w:rsid w:val="00F45FCF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3AE0AD"/>
  <w15:docId w15:val="{B7F6BD0F-0567-4821-96C9-66BCFDC6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paragraph" w:styleId="ListParagraph">
    <w:name w:val="List Paragraph"/>
    <w:basedOn w:val="Normal"/>
    <w:uiPriority w:val="34"/>
    <w:qFormat/>
    <w:rsid w:val="0056731F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8039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398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398E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398E"/>
    <w:rPr>
      <w:rFonts w:ascii="Times New Roman" w:hAnsi="Times New Roman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80398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398E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R15-WRC15-C-0107!A9-A1!MSW-F</DPM_x0020_File_x0020_name>
    <DPM_x0020_Author xmlns="32a1a8c5-2265-4ebc-b7a0-2071e2c5c9bb" xsi:nil="false">Documents Proposals Manager (DPM)</DPM_x0020_Author>
    <DPM_x0020_Version xmlns="32a1a8c5-2265-4ebc-b7a0-2071e2c5c9bb" xsi:nil="false">DPM_v5.2015.10.220_prod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6EAD9F-AF81-4448-A481-02BD4BCE94CA}">
  <ds:schemaRefs>
    <ds:schemaRef ds:uri="996b2e75-67fd-4955-a3b0-5ab9934cb50b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R15-WRC15-C-0107!A9-A1!MSW-F</vt:lpstr>
    </vt:vector>
  </TitlesOfParts>
  <Manager>Secrétariat général - Pool</Manager>
  <Company>Union internationale des télécommunications (UIT)</Company>
  <LinksUpToDate>false</LinksUpToDate>
  <CharactersWithSpaces>2628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R15-WRC15-C-0107!A9-A1!MSW-F</dc:title>
  <dc:subject>Conférence mondiale des radiocommunications - 2015</dc:subject>
  <dc:creator>Documents Proposals Manager (DPM)</dc:creator>
  <cp:keywords>DPM_v5.2015.10.220_prod</cp:keywords>
  <dc:description/>
  <cp:lastModifiedBy>Acien, Clara</cp:lastModifiedBy>
  <cp:revision>5</cp:revision>
  <cp:lastPrinted>2003-06-05T19:34:00Z</cp:lastPrinted>
  <dcterms:created xsi:type="dcterms:W3CDTF">2015-10-25T13:24:00Z</dcterms:created>
  <dcterms:modified xsi:type="dcterms:W3CDTF">2015-10-28T19:30:00Z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