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>
        <w:trPr>
          <w:cantSplit/>
        </w:trPr>
        <w:tc>
          <w:tcPr>
            <w:tcW w:w="6911" w:type="dxa"/>
          </w:tcPr>
          <w:p w:rsidR="00A066F1" w:rsidRPr="00DF23FC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5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Geneva,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27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5</w:t>
            </w:r>
          </w:p>
        </w:tc>
        <w:tc>
          <w:tcPr>
            <w:tcW w:w="3120" w:type="dxa"/>
          </w:tcPr>
          <w:p w:rsidR="00A066F1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3B2284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3B2284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eastAsia="SimSun" w:hAnsi="Verdana" w:cs="Traditional Arabic"/>
                <w:b/>
                <w:sz w:val="20"/>
              </w:rPr>
              <w:t>Addendum 1 to</w:t>
            </w:r>
            <w:r>
              <w:rPr>
                <w:rFonts w:ascii="Verdana" w:eastAsia="SimSun" w:hAnsi="Verdana" w:cs="Traditional Arabic"/>
                <w:b/>
                <w:sz w:val="20"/>
              </w:rPr>
              <w:br/>
              <w:t>Document 107(Add.9)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  <w:shd w:val="clear" w:color="auto" w:fill="auto"/>
          </w:tcPr>
          <w:p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19 October 2015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884D60" w:rsidP="00E55816">
            <w:pPr>
              <w:pStyle w:val="Source"/>
            </w:pPr>
            <w:r>
              <w:t>India (Republic of)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E55816" w:rsidP="00E55816">
            <w:pPr>
              <w:pStyle w:val="Title2"/>
            </w:pPr>
          </w:p>
        </w:tc>
      </w:tr>
      <w:tr w:rsidR="00A538A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Default="004B13CB" w:rsidP="004B13CB">
            <w:pPr>
              <w:pStyle w:val="Agendaitem"/>
            </w:pPr>
            <w:r>
              <w:t>Agenda item 1.9.1</w:t>
            </w:r>
          </w:p>
        </w:tc>
      </w:tr>
    </w:tbl>
    <w:bookmarkEnd w:id="6"/>
    <w:bookmarkEnd w:id="7"/>
    <w:p w:rsidR="00ED71D1" w:rsidRPr="009A2B70" w:rsidRDefault="00E91EA5" w:rsidP="00ED71D1">
      <w:pPr>
        <w:overflowPunct/>
        <w:autoSpaceDE/>
        <w:autoSpaceDN/>
        <w:adjustRightInd/>
        <w:textAlignment w:val="auto"/>
      </w:pPr>
      <w:r w:rsidRPr="009A2B70">
        <w:t>1.9</w:t>
      </w:r>
      <w:r w:rsidRPr="009A2B70">
        <w:tab/>
        <w:t xml:space="preserve">to consider, in accordance with Resolution </w:t>
      </w:r>
      <w:r w:rsidRPr="009A2B70">
        <w:rPr>
          <w:b/>
        </w:rPr>
        <w:t>758 (WRC</w:t>
      </w:r>
      <w:r w:rsidRPr="009A2B70">
        <w:rPr>
          <w:b/>
        </w:rPr>
        <w:noBreakHyphen/>
        <w:t>12)</w:t>
      </w:r>
      <w:r w:rsidRPr="009A2B70">
        <w:t>:</w:t>
      </w:r>
    </w:p>
    <w:p w:rsidR="00ED71D1" w:rsidRDefault="00E91EA5" w:rsidP="00380105">
      <w:pPr>
        <w:overflowPunct/>
        <w:autoSpaceDE/>
        <w:autoSpaceDN/>
        <w:adjustRightInd/>
        <w:spacing w:before="100"/>
        <w:textAlignment w:val="auto"/>
      </w:pPr>
      <w:r w:rsidRPr="009A2B70">
        <w:t>1.9.1</w:t>
      </w:r>
      <w:r w:rsidRPr="009A2B70">
        <w:tab/>
        <w:t>possible new allocations to the fixed-satellite service in the frequency bands 7 150-7 250 MHz (space-to-Earth) and 8 400-8 500 MHz (Earth-to-space), subject to appropriate sharing conditions;</w:t>
      </w:r>
    </w:p>
    <w:p w:rsidR="00296849" w:rsidRPr="009A2B70" w:rsidRDefault="00296849" w:rsidP="00296849"/>
    <w:p w:rsidR="00C304A7" w:rsidRPr="00296849" w:rsidRDefault="00C304A7" w:rsidP="00296849">
      <w:pPr>
        <w:pStyle w:val="Headingb"/>
        <w:rPr>
          <w:lang w:val="en-US" w:eastAsia="ko-KR"/>
        </w:rPr>
      </w:pPr>
      <w:r w:rsidRPr="00296849">
        <w:rPr>
          <w:lang w:val="en-US" w:eastAsia="ko-KR"/>
        </w:rPr>
        <w:t>Introduction</w:t>
      </w:r>
    </w:p>
    <w:p w:rsidR="00C304A7" w:rsidRDefault="00E91EA5" w:rsidP="00296849">
      <w:pPr>
        <w:rPr>
          <w:lang w:val="en-US" w:eastAsia="ko-KR"/>
        </w:rPr>
      </w:pPr>
      <w:r>
        <w:rPr>
          <w:lang w:eastAsia="ko-KR"/>
        </w:rPr>
        <w:t>A</w:t>
      </w:r>
      <w:r w:rsidR="00C304A7" w:rsidRPr="009A6D07">
        <w:rPr>
          <w:lang w:eastAsia="ko-KR"/>
        </w:rPr>
        <w:t>dministration of India</w:t>
      </w:r>
      <w:r w:rsidR="00C304A7">
        <w:rPr>
          <w:lang w:eastAsia="ko-KR"/>
        </w:rPr>
        <w:t xml:space="preserve"> </w:t>
      </w:r>
      <w:r w:rsidR="00E53552">
        <w:rPr>
          <w:lang w:eastAsia="ko-KR"/>
        </w:rPr>
        <w:t>attaches</w:t>
      </w:r>
      <w:r w:rsidR="0092385C">
        <w:rPr>
          <w:lang w:eastAsia="ko-KR"/>
        </w:rPr>
        <w:t xml:space="preserve"> </w:t>
      </w:r>
      <w:r>
        <w:rPr>
          <w:lang w:eastAsia="ko-KR"/>
        </w:rPr>
        <w:t>much</w:t>
      </w:r>
      <w:r w:rsidR="00C304A7">
        <w:rPr>
          <w:lang w:eastAsia="ko-KR"/>
        </w:rPr>
        <w:t xml:space="preserve"> importance to Space Research Service, including Deep Space Research.</w:t>
      </w:r>
      <w:r w:rsidR="00296849">
        <w:rPr>
          <w:lang w:eastAsia="ko-KR"/>
        </w:rPr>
        <w:t xml:space="preserve"> </w:t>
      </w:r>
      <w:r w:rsidR="00C304A7">
        <w:rPr>
          <w:lang w:eastAsia="ko-KR"/>
        </w:rPr>
        <w:t xml:space="preserve">Studies show that </w:t>
      </w:r>
      <w:r w:rsidR="00C304A7">
        <w:rPr>
          <w:lang w:val="en-US" w:eastAsia="ko-KR"/>
        </w:rPr>
        <w:t>coexistence between FSS (</w:t>
      </w:r>
      <w:r w:rsidR="00296849">
        <w:rPr>
          <w:lang w:val="en-US" w:eastAsia="ko-KR"/>
        </w:rPr>
        <w:t>s</w:t>
      </w:r>
      <w:r w:rsidR="00C304A7" w:rsidRPr="002805A8">
        <w:rPr>
          <w:lang w:val="en-US" w:eastAsia="ko-KR"/>
        </w:rPr>
        <w:t xml:space="preserve">pace-to-Earth) and SRS (Earth-to-space), particularly deep-space SRS in the band 7 145-7 190 MHz during </w:t>
      </w:r>
      <w:r w:rsidR="00296849">
        <w:rPr>
          <w:lang w:val="en-US" w:eastAsia="ko-KR"/>
        </w:rPr>
        <w:t>“</w:t>
      </w:r>
      <w:r w:rsidR="00C304A7" w:rsidRPr="002805A8">
        <w:rPr>
          <w:lang w:val="en-US" w:eastAsia="ko-KR"/>
        </w:rPr>
        <w:t>near-Earth</w:t>
      </w:r>
      <w:r w:rsidR="00296849">
        <w:rPr>
          <w:lang w:val="en-US" w:eastAsia="ko-KR"/>
        </w:rPr>
        <w:t>”</w:t>
      </w:r>
      <w:r w:rsidR="00C304A7" w:rsidRPr="002805A8">
        <w:rPr>
          <w:lang w:val="en-US" w:eastAsia="ko-KR"/>
        </w:rPr>
        <w:t xml:space="preserve"> phases of missions</w:t>
      </w:r>
      <w:r w:rsidR="00C304A7">
        <w:rPr>
          <w:lang w:val="en-US" w:eastAsia="ko-KR"/>
        </w:rPr>
        <w:t xml:space="preserve"> is difficult and </w:t>
      </w:r>
      <w:r w:rsidR="00C304A7" w:rsidRPr="002805A8">
        <w:rPr>
          <w:lang w:val="en-US" w:eastAsia="ko-KR"/>
        </w:rPr>
        <w:t xml:space="preserve">future SRS missions may receive unacceptable interference if SRS spacecraft come within specific distances of the GSO. </w:t>
      </w:r>
    </w:p>
    <w:p w:rsidR="00C304A7" w:rsidRPr="00C503E6" w:rsidRDefault="00C304A7" w:rsidP="00296849">
      <w:pPr>
        <w:rPr>
          <w:lang w:eastAsia="ko-KR"/>
        </w:rPr>
      </w:pPr>
      <w:r>
        <w:rPr>
          <w:lang w:val="en-US" w:eastAsia="ko-KR"/>
        </w:rPr>
        <w:t xml:space="preserve">In view of this, </w:t>
      </w:r>
      <w:r w:rsidR="00296849">
        <w:rPr>
          <w:lang w:val="en-US" w:eastAsia="ko-KR"/>
        </w:rPr>
        <w:t xml:space="preserve">the </w:t>
      </w:r>
      <w:r w:rsidR="00E91EA5">
        <w:rPr>
          <w:lang w:val="en-US" w:eastAsia="ko-KR"/>
        </w:rPr>
        <w:t>A</w:t>
      </w:r>
      <w:r>
        <w:rPr>
          <w:lang w:val="en-US" w:eastAsia="ko-KR"/>
        </w:rPr>
        <w:t xml:space="preserve">dministration of India </w:t>
      </w:r>
      <w:r>
        <w:t>propo</w:t>
      </w:r>
      <w:r w:rsidRPr="00C503E6">
        <w:rPr>
          <w:rFonts w:hint="eastAsia"/>
          <w:lang w:eastAsia="ko-KR"/>
        </w:rPr>
        <w:t>s</w:t>
      </w:r>
      <w:r>
        <w:rPr>
          <w:lang w:eastAsia="ko-KR"/>
        </w:rPr>
        <w:t>e</w:t>
      </w:r>
      <w:r w:rsidR="0092385C">
        <w:rPr>
          <w:lang w:eastAsia="ko-KR"/>
        </w:rPr>
        <w:t>s</w:t>
      </w:r>
      <w:r w:rsidRPr="00C503E6">
        <w:rPr>
          <w:rFonts w:hint="eastAsia"/>
          <w:lang w:eastAsia="ko-KR"/>
        </w:rPr>
        <w:t xml:space="preserve"> </w:t>
      </w:r>
      <w:r w:rsidRPr="00C503E6">
        <w:rPr>
          <w:lang w:eastAsia="ko-KR"/>
        </w:rPr>
        <w:t>no change to the Radio Regulations</w:t>
      </w:r>
      <w:r w:rsidRPr="00C503E6">
        <w:rPr>
          <w:rFonts w:hint="eastAsia"/>
          <w:lang w:eastAsia="ko-KR"/>
        </w:rPr>
        <w:t xml:space="preserve">, </w:t>
      </w:r>
      <w:r>
        <w:rPr>
          <w:lang w:eastAsia="ko-KR"/>
        </w:rPr>
        <w:t xml:space="preserve">in line with Method C </w:t>
      </w:r>
      <w:r w:rsidR="0092385C">
        <w:rPr>
          <w:lang w:eastAsia="ko-KR"/>
        </w:rPr>
        <w:t>of</w:t>
      </w:r>
      <w:r w:rsidRPr="00C503E6">
        <w:rPr>
          <w:lang w:eastAsia="ko-KR"/>
        </w:rPr>
        <w:t xml:space="preserve"> the CPM Report to WRC</w:t>
      </w:r>
      <w:r w:rsidRPr="00C503E6">
        <w:rPr>
          <w:lang w:eastAsia="ko-KR"/>
        </w:rPr>
        <w:noBreakHyphen/>
        <w:t>15</w:t>
      </w:r>
      <w:r w:rsidRPr="00C503E6">
        <w:rPr>
          <w:rFonts w:hint="eastAsia"/>
          <w:lang w:eastAsia="ko-KR"/>
        </w:rPr>
        <w:t xml:space="preserve">, concerning </w:t>
      </w:r>
      <w:r w:rsidRPr="00C503E6">
        <w:rPr>
          <w:lang w:eastAsia="ko-KR"/>
        </w:rPr>
        <w:t>possible new allocations to the fixed-satellite service in the frequency bands 7 150-7 250 MHz (space-to-Earth) and 8 400-8 500 MHz (Earth-to-space)</w:t>
      </w:r>
      <w:r w:rsidR="00296849">
        <w:rPr>
          <w:lang w:eastAsia="ko-KR"/>
        </w:rPr>
        <w:t xml:space="preserve"> </w:t>
      </w:r>
      <w:r w:rsidRPr="00C503E6">
        <w:rPr>
          <w:lang w:eastAsia="ko-KR"/>
        </w:rPr>
        <w:t>in accordance with Resolution 758 (WRC</w:t>
      </w:r>
      <w:r w:rsidRPr="00C503E6">
        <w:rPr>
          <w:lang w:eastAsia="ko-KR"/>
        </w:rPr>
        <w:noBreakHyphen/>
        <w:t>12)</w:t>
      </w:r>
      <w:r w:rsidRPr="00C503E6">
        <w:rPr>
          <w:rFonts w:hint="eastAsia"/>
          <w:lang w:eastAsia="ko-KR"/>
        </w:rPr>
        <w:t>.</w:t>
      </w:r>
    </w:p>
    <w:p w:rsidR="00C304A7" w:rsidRDefault="00C304A7" w:rsidP="00296849">
      <w:pPr>
        <w:pStyle w:val="Headingb"/>
      </w:pPr>
      <w:bookmarkStart w:id="8" w:name="_GoBack"/>
      <w:bookmarkEnd w:id="8"/>
      <w:proofErr w:type="spellStart"/>
      <w:r w:rsidRPr="00F210F5">
        <w:t>Proposals</w:t>
      </w:r>
      <w:proofErr w:type="spellEnd"/>
    </w:p>
    <w:p w:rsidR="00187BD9" w:rsidRPr="00E91EA5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E91EA5">
        <w:br w:type="page"/>
      </w:r>
    </w:p>
    <w:p w:rsidR="009B463A" w:rsidRDefault="00E91EA5" w:rsidP="009B463A">
      <w:pPr>
        <w:pStyle w:val="ArtNo"/>
        <w:rPr>
          <w:lang w:val="en-AU"/>
        </w:rPr>
      </w:pPr>
      <w:bookmarkStart w:id="9" w:name="_Toc327956582"/>
      <w:r w:rsidRPr="006D07BF">
        <w:lastRenderedPageBreak/>
        <w:t>ARTICLE</w:t>
      </w:r>
      <w:r>
        <w:rPr>
          <w:lang w:val="en-AU"/>
        </w:rPr>
        <w:t xml:space="preserve"> </w:t>
      </w:r>
      <w:r>
        <w:rPr>
          <w:rStyle w:val="href"/>
          <w:rFonts w:eastAsiaTheme="majorEastAsia"/>
          <w:color w:val="000000"/>
          <w:lang w:val="en-AU"/>
        </w:rPr>
        <w:t>5</w:t>
      </w:r>
      <w:bookmarkEnd w:id="9"/>
    </w:p>
    <w:p w:rsidR="009B463A" w:rsidRDefault="00E91EA5" w:rsidP="009B463A">
      <w:pPr>
        <w:pStyle w:val="Arttitle"/>
        <w:rPr>
          <w:lang w:val="en-US"/>
        </w:rPr>
      </w:pPr>
      <w:bookmarkStart w:id="10" w:name="_Toc327956583"/>
      <w:r w:rsidRPr="006D07BF">
        <w:t>Frequency</w:t>
      </w:r>
      <w:r>
        <w:t xml:space="preserve"> allocations</w:t>
      </w:r>
      <w:bookmarkEnd w:id="10"/>
    </w:p>
    <w:p w:rsidR="009B463A" w:rsidRPr="00B25B23" w:rsidRDefault="00E91EA5" w:rsidP="009B463A">
      <w:pPr>
        <w:pStyle w:val="Section1"/>
        <w:keepNext/>
      </w:pPr>
      <w:r w:rsidRPr="002618F4">
        <w:t>Section</w:t>
      </w:r>
      <w:r>
        <w:rPr>
          <w:lang w:val="en-AU"/>
        </w:rPr>
        <w:t xml:space="preserve"> IV – Table of Frequency Allocations</w:t>
      </w:r>
      <w:r>
        <w:rPr>
          <w:lang w:val="en-AU"/>
        </w:rPr>
        <w:br/>
      </w:r>
      <w:r w:rsidRPr="003C6FED">
        <w:rPr>
          <w:b w:val="0"/>
          <w:bCs/>
        </w:rPr>
        <w:t xml:space="preserve">(See No. </w:t>
      </w:r>
      <w:r w:rsidRPr="003C6FED">
        <w:t>2.1</w:t>
      </w:r>
      <w:r w:rsidRPr="003C6FED">
        <w:rPr>
          <w:b w:val="0"/>
          <w:bCs/>
        </w:rPr>
        <w:t>)</w:t>
      </w:r>
      <w:r w:rsidRPr="003C6FED">
        <w:rPr>
          <w:b w:val="0"/>
          <w:bCs/>
        </w:rPr>
        <w:br/>
      </w:r>
      <w:r w:rsidRPr="00DE1868">
        <w:br/>
      </w:r>
    </w:p>
    <w:p w:rsidR="00B25112" w:rsidRDefault="00E91EA5">
      <w:pPr>
        <w:pStyle w:val="Proposal"/>
      </w:pPr>
      <w:r>
        <w:rPr>
          <w:u w:val="single"/>
        </w:rPr>
        <w:t>NOC</w:t>
      </w:r>
      <w:r>
        <w:tab/>
        <w:t>IND/107A9A1/1</w:t>
      </w:r>
    </w:p>
    <w:p w:rsidR="009B463A" w:rsidRPr="007915C9" w:rsidRDefault="00E91EA5" w:rsidP="009B463A">
      <w:pPr>
        <w:pStyle w:val="Tabletitle"/>
      </w:pPr>
      <w:r w:rsidRPr="007915C9">
        <w:t>5 570-7 250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1"/>
        <w:gridCol w:w="3101"/>
        <w:gridCol w:w="3102"/>
      </w:tblGrid>
      <w:tr w:rsidR="009B463A" w:rsidTr="00477577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B657C" w:rsidRDefault="00E91EA5" w:rsidP="00477577">
            <w:pPr>
              <w:pStyle w:val="Tablehead"/>
            </w:pPr>
            <w:r w:rsidRPr="002B657C">
              <w:t>Allocation to services</w:t>
            </w:r>
          </w:p>
        </w:tc>
      </w:tr>
      <w:tr w:rsidR="009B463A" w:rsidTr="00477577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63A" w:rsidRPr="002B657C" w:rsidRDefault="00E91EA5" w:rsidP="00477577">
            <w:pPr>
              <w:pStyle w:val="Tablehead"/>
            </w:pPr>
            <w:r w:rsidRPr="002B657C">
              <w:t>Region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63A" w:rsidRPr="002B657C" w:rsidRDefault="00E91EA5" w:rsidP="00477577">
            <w:pPr>
              <w:pStyle w:val="Tablehead"/>
            </w:pPr>
            <w:r w:rsidRPr="002B657C">
              <w:t>Region 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63A" w:rsidRPr="002B657C" w:rsidRDefault="00E91EA5" w:rsidP="00477577">
            <w:pPr>
              <w:pStyle w:val="Tablehead"/>
            </w:pPr>
            <w:r w:rsidRPr="002B657C">
              <w:t>Region 3</w:t>
            </w:r>
          </w:p>
        </w:tc>
      </w:tr>
      <w:tr w:rsidR="009B463A" w:rsidTr="00477577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Default="00E91EA5" w:rsidP="00477577">
            <w:pPr>
              <w:pStyle w:val="TableTextS5"/>
              <w:spacing w:before="20" w:after="20" w:line="220" w:lineRule="exact"/>
              <w:rPr>
                <w:color w:val="000000"/>
              </w:rPr>
            </w:pPr>
            <w:r w:rsidRPr="008D45E8">
              <w:rPr>
                <w:rStyle w:val="Tablefreq"/>
              </w:rPr>
              <w:t>7 145-7 235</w:t>
            </w:r>
            <w:r>
              <w:rPr>
                <w:color w:val="000000"/>
              </w:rPr>
              <w:tab/>
              <w:t>FIXED</w:t>
            </w:r>
          </w:p>
          <w:p w:rsidR="009B463A" w:rsidRDefault="00E91EA5" w:rsidP="00477577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20" w:after="20" w:line="220" w:lineRule="exact"/>
              <w:rPr>
                <w:color w:val="000000"/>
              </w:rPr>
            </w:pPr>
            <w:r>
              <w:rPr>
                <w:color w:val="000000"/>
              </w:rPr>
              <w:tab/>
              <w:t>MOBILE</w:t>
            </w:r>
          </w:p>
          <w:p w:rsidR="009B463A" w:rsidRDefault="00E91EA5" w:rsidP="00477577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20" w:after="20" w:line="220" w:lineRule="exact"/>
              <w:rPr>
                <w:color w:val="000000"/>
              </w:rPr>
            </w:pPr>
            <w:r>
              <w:rPr>
                <w:color w:val="000000"/>
              </w:rPr>
              <w:tab/>
              <w:t xml:space="preserve">SPACE RESEARCH (Earth-to-space)  </w:t>
            </w:r>
            <w:r>
              <w:rPr>
                <w:rStyle w:val="Artref"/>
                <w:color w:val="000000"/>
              </w:rPr>
              <w:t>5.460</w:t>
            </w:r>
          </w:p>
          <w:p w:rsidR="009B463A" w:rsidRDefault="00E91EA5" w:rsidP="00477577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20" w:after="20" w:line="220" w:lineRule="exact"/>
              <w:rPr>
                <w:rStyle w:val="Tablefreq"/>
                <w:color w:val="000000"/>
                <w:lang w:val="en-AU"/>
              </w:rPr>
            </w:pPr>
            <w:r>
              <w:rPr>
                <w:color w:val="000000"/>
              </w:rPr>
              <w:tab/>
            </w:r>
            <w:r>
              <w:rPr>
                <w:rStyle w:val="Artref"/>
                <w:color w:val="000000"/>
              </w:rPr>
              <w:t>5.458</w:t>
            </w:r>
            <w:r>
              <w:rPr>
                <w:color w:val="000000"/>
              </w:rPr>
              <w:t xml:space="preserve">  </w:t>
            </w:r>
            <w:r>
              <w:rPr>
                <w:rStyle w:val="Artref"/>
                <w:color w:val="000000"/>
              </w:rPr>
              <w:t>5.459</w:t>
            </w:r>
          </w:p>
        </w:tc>
      </w:tr>
      <w:tr w:rsidR="009B463A" w:rsidTr="00477577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63A" w:rsidRDefault="00E91EA5" w:rsidP="00477577">
            <w:pPr>
              <w:pStyle w:val="TableTextS5"/>
              <w:spacing w:before="20" w:after="20" w:line="220" w:lineRule="exact"/>
              <w:rPr>
                <w:color w:val="000000"/>
              </w:rPr>
            </w:pPr>
            <w:r w:rsidRPr="008D45E8">
              <w:rPr>
                <w:rStyle w:val="Tablefreq"/>
              </w:rPr>
              <w:t>7 235-7 250</w:t>
            </w:r>
            <w:r>
              <w:rPr>
                <w:color w:val="000000"/>
              </w:rPr>
              <w:tab/>
              <w:t>FIXED</w:t>
            </w:r>
          </w:p>
          <w:p w:rsidR="009B463A" w:rsidRDefault="00E91EA5" w:rsidP="00477577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20" w:after="20" w:line="220" w:lineRule="exact"/>
              <w:rPr>
                <w:color w:val="000000"/>
              </w:rPr>
            </w:pPr>
            <w:r>
              <w:rPr>
                <w:color w:val="000000"/>
              </w:rPr>
              <w:tab/>
              <w:t>MOBILE</w:t>
            </w:r>
          </w:p>
          <w:p w:rsidR="009B463A" w:rsidRDefault="00E91EA5" w:rsidP="00477577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20" w:after="20" w:line="220" w:lineRule="exact"/>
              <w:rPr>
                <w:rStyle w:val="Tablefreq"/>
                <w:color w:val="000000"/>
                <w:lang w:val="fr-FR"/>
              </w:rPr>
            </w:pPr>
            <w:r>
              <w:rPr>
                <w:color w:val="000000"/>
              </w:rPr>
              <w:tab/>
            </w:r>
            <w:r>
              <w:rPr>
                <w:rStyle w:val="Artref"/>
                <w:color w:val="000000"/>
              </w:rPr>
              <w:t>5.458</w:t>
            </w:r>
          </w:p>
        </w:tc>
      </w:tr>
    </w:tbl>
    <w:p w:rsidR="00B25112" w:rsidRDefault="00E91EA5">
      <w:pPr>
        <w:pStyle w:val="Reasons"/>
      </w:pPr>
      <w:r>
        <w:rPr>
          <w:b/>
        </w:rPr>
        <w:t>Reasons:</w:t>
      </w:r>
      <w:r>
        <w:tab/>
      </w:r>
      <w:r w:rsidR="00E53552">
        <w:t>No change.</w:t>
      </w:r>
    </w:p>
    <w:p w:rsidR="00B25112" w:rsidRDefault="00E91EA5">
      <w:pPr>
        <w:pStyle w:val="Proposal"/>
      </w:pPr>
      <w:r>
        <w:rPr>
          <w:u w:val="single"/>
        </w:rPr>
        <w:t>NOC</w:t>
      </w:r>
      <w:r>
        <w:tab/>
        <w:t>IND/107A9A1/2</w:t>
      </w:r>
    </w:p>
    <w:p w:rsidR="009B463A" w:rsidRPr="007915C9" w:rsidRDefault="00E91EA5" w:rsidP="009B463A">
      <w:pPr>
        <w:pStyle w:val="Tabletitle"/>
      </w:pPr>
      <w:r w:rsidRPr="007915C9">
        <w:t>7 250-8 500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1"/>
        <w:gridCol w:w="3101"/>
        <w:gridCol w:w="3102"/>
      </w:tblGrid>
      <w:tr w:rsidR="009B463A" w:rsidTr="00477577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B657C" w:rsidRDefault="00E91EA5" w:rsidP="00477577">
            <w:pPr>
              <w:pStyle w:val="Tablehead"/>
            </w:pPr>
            <w:r w:rsidRPr="002B657C">
              <w:t>Allocation to services</w:t>
            </w:r>
          </w:p>
        </w:tc>
      </w:tr>
      <w:tr w:rsidR="009B463A" w:rsidTr="00477577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B657C" w:rsidRDefault="00E91EA5" w:rsidP="00477577">
            <w:pPr>
              <w:pStyle w:val="Tablehead"/>
            </w:pPr>
            <w:r w:rsidRPr="002B657C">
              <w:t>Region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B657C" w:rsidRDefault="00E91EA5" w:rsidP="00477577">
            <w:pPr>
              <w:pStyle w:val="Tablehead"/>
            </w:pPr>
            <w:r w:rsidRPr="002B657C">
              <w:t>Region 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B657C" w:rsidRDefault="00E91EA5" w:rsidP="00477577">
            <w:pPr>
              <w:pStyle w:val="Tablehead"/>
            </w:pPr>
            <w:r w:rsidRPr="002B657C">
              <w:t>Region 3</w:t>
            </w:r>
          </w:p>
        </w:tc>
      </w:tr>
      <w:tr w:rsidR="009B463A" w:rsidTr="00477577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Default="00E91EA5" w:rsidP="00477577">
            <w:pPr>
              <w:pStyle w:val="TableTextS5"/>
              <w:spacing w:before="30" w:after="30"/>
              <w:rPr>
                <w:color w:val="000000"/>
                <w:lang w:val="en-AU"/>
              </w:rPr>
            </w:pPr>
            <w:r w:rsidRPr="008D45E8">
              <w:rPr>
                <w:rStyle w:val="Tablefreq"/>
              </w:rPr>
              <w:t>8 400-8 500</w:t>
            </w:r>
            <w:r>
              <w:rPr>
                <w:color w:val="000000"/>
                <w:lang w:val="en-AU"/>
              </w:rPr>
              <w:tab/>
              <w:t>FIXED</w:t>
            </w:r>
          </w:p>
          <w:p w:rsidR="009B463A" w:rsidRDefault="00E91EA5" w:rsidP="00477577">
            <w:pPr>
              <w:pStyle w:val="TableTextS5"/>
              <w:spacing w:before="30" w:after="30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>MOBILE except aeronautical mobile</w:t>
            </w:r>
          </w:p>
          <w:p w:rsidR="009B463A" w:rsidRDefault="00E91EA5" w:rsidP="00477577">
            <w:pPr>
              <w:pStyle w:val="TableTextS5"/>
              <w:spacing w:before="30" w:after="30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 xml:space="preserve">SPACE RESEARCH (space-to-Earth)  </w:t>
            </w:r>
            <w:r>
              <w:rPr>
                <w:rStyle w:val="Artref"/>
                <w:color w:val="000000"/>
                <w:lang w:val="en-AU"/>
              </w:rPr>
              <w:t>5.465</w:t>
            </w:r>
            <w:r>
              <w:rPr>
                <w:color w:val="000000"/>
                <w:lang w:val="en-AU"/>
              </w:rPr>
              <w:t xml:space="preserve">  </w:t>
            </w:r>
            <w:r>
              <w:rPr>
                <w:rStyle w:val="Artref"/>
                <w:color w:val="000000"/>
                <w:lang w:val="en-AU"/>
              </w:rPr>
              <w:t>5.466</w:t>
            </w:r>
          </w:p>
        </w:tc>
      </w:tr>
    </w:tbl>
    <w:p w:rsidR="00B25112" w:rsidRDefault="00E91EA5">
      <w:pPr>
        <w:pStyle w:val="Reasons"/>
      </w:pPr>
      <w:r>
        <w:rPr>
          <w:b/>
        </w:rPr>
        <w:t>Reasons:</w:t>
      </w:r>
      <w:r>
        <w:tab/>
      </w:r>
      <w:r w:rsidR="00E53552">
        <w:t>No change.</w:t>
      </w:r>
    </w:p>
    <w:p w:rsidR="00B25112" w:rsidRDefault="00E91EA5">
      <w:pPr>
        <w:pStyle w:val="Proposal"/>
      </w:pPr>
      <w:r>
        <w:t>SUP</w:t>
      </w:r>
      <w:r>
        <w:tab/>
        <w:t>IND/107A9A1/3</w:t>
      </w:r>
    </w:p>
    <w:p w:rsidR="003638D8" w:rsidRPr="006905BC" w:rsidRDefault="00E91EA5" w:rsidP="003638D8">
      <w:pPr>
        <w:pStyle w:val="ResNo"/>
      </w:pPr>
      <w:r w:rsidRPr="006905BC">
        <w:t xml:space="preserve">RESOLUTION </w:t>
      </w:r>
      <w:r w:rsidRPr="006905BC">
        <w:rPr>
          <w:rStyle w:val="href"/>
        </w:rPr>
        <w:t>758</w:t>
      </w:r>
      <w:r w:rsidRPr="006905BC">
        <w:t xml:space="preserve"> (WRC</w:t>
      </w:r>
      <w:r w:rsidRPr="006905BC">
        <w:noBreakHyphen/>
        <w:t>12)</w:t>
      </w:r>
    </w:p>
    <w:p w:rsidR="003638D8" w:rsidRPr="006905BC" w:rsidRDefault="00E91EA5" w:rsidP="00651EBE">
      <w:pPr>
        <w:pStyle w:val="Restitle"/>
      </w:pPr>
      <w:bookmarkStart w:id="11" w:name="_Toc327364581"/>
      <w:r w:rsidRPr="006905BC">
        <w:t>Allocation to the fixed-satellite service and the maritime-</w:t>
      </w:r>
      <w:r w:rsidRPr="006905BC">
        <w:br/>
        <w:t>mobile satellite service in the 7/8 GHz range</w:t>
      </w:r>
      <w:bookmarkEnd w:id="11"/>
    </w:p>
    <w:p w:rsidR="00B25112" w:rsidRDefault="00E91EA5">
      <w:pPr>
        <w:pStyle w:val="Reasons"/>
      </w:pPr>
      <w:r>
        <w:rPr>
          <w:b/>
        </w:rPr>
        <w:t>Reasons:</w:t>
      </w:r>
      <w:r>
        <w:tab/>
      </w:r>
      <w:r w:rsidR="00E53552">
        <w:t>No longer required.</w:t>
      </w:r>
    </w:p>
    <w:p w:rsidR="00E53552" w:rsidRDefault="00E53552" w:rsidP="0032202E">
      <w:pPr>
        <w:pStyle w:val="Reasons"/>
      </w:pPr>
    </w:p>
    <w:p w:rsidR="00E53552" w:rsidRDefault="00E53552">
      <w:pPr>
        <w:jc w:val="center"/>
      </w:pPr>
      <w:r>
        <w:t>______________</w:t>
      </w:r>
    </w:p>
    <w:p w:rsidR="00E53552" w:rsidRDefault="00E53552">
      <w:pPr>
        <w:pStyle w:val="Reasons"/>
      </w:pPr>
    </w:p>
    <w:sectPr w:rsidR="00E53552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F2" w:rsidRDefault="000705F2">
      <w:r>
        <w:separator/>
      </w:r>
    </w:p>
  </w:endnote>
  <w:endnote w:type="continuationSeparator" w:id="0">
    <w:p w:rsidR="000705F2" w:rsidRDefault="000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E91EA5">
      <w:rPr>
        <w:noProof/>
        <w:lang w:val="en-US"/>
      </w:rPr>
      <w:t>Y:\APP\BR\POOL\WRC-15\DOC (Contributions)\101-199\107ADD09ADD01E.docx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96849">
      <w:rPr>
        <w:noProof/>
      </w:rPr>
      <w:t>25.10.15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91EA5">
      <w:rPr>
        <w:noProof/>
      </w:rPr>
      <w:t>21.10.15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849" w:rsidRPr="0041348E" w:rsidRDefault="00296849" w:rsidP="00296849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>
      <w:rPr>
        <w:lang w:val="en-US"/>
      </w:rPr>
      <w:t>P:\ENG\ITU-R\CONF-R\CMR15\100\107ADD09ADD01E.docx</w:t>
    </w:r>
    <w:r>
      <w:fldChar w:fldCharType="end"/>
    </w:r>
    <w:r>
      <w:t xml:space="preserve"> (388842)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>
      <w:t>25.10.15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21.10.15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41348E" w:rsidRDefault="00E45D05" w:rsidP="00296849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296849">
      <w:rPr>
        <w:lang w:val="en-US"/>
      </w:rPr>
      <w:t>P:\ENG\ITU-R\CONF-R\CMR15\100\107ADD09ADD01E.docx</w:t>
    </w:r>
    <w:r>
      <w:fldChar w:fldCharType="end"/>
    </w:r>
    <w:r w:rsidR="00296849">
      <w:t xml:space="preserve"> (388842)</w:t>
    </w:r>
    <w:r w:rsidR="00296849">
      <w:tab/>
    </w:r>
    <w:r>
      <w:fldChar w:fldCharType="begin"/>
    </w:r>
    <w:r>
      <w:instrText xml:space="preserve"> SAVEDATE \@ DD.MM.YY </w:instrText>
    </w:r>
    <w:r>
      <w:fldChar w:fldCharType="separate"/>
    </w:r>
    <w:r w:rsidR="00296849">
      <w:t>25.10.15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96849">
      <w:t>21.10.15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F2" w:rsidRDefault="000705F2">
      <w:r>
        <w:rPr>
          <w:b/>
        </w:rPr>
        <w:t>_______________</w:t>
      </w:r>
    </w:p>
  </w:footnote>
  <w:footnote w:type="continuationSeparator" w:id="0">
    <w:p w:rsidR="000705F2" w:rsidRDefault="0007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296849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12" w:name="OLE_LINK1"/>
    <w:bookmarkStart w:id="13" w:name="OLE_LINK2"/>
    <w:bookmarkStart w:id="14" w:name="OLE_LINK3"/>
    <w:r w:rsidR="00EB55C6">
      <w:t>107(Add.9)(Add.1)</w:t>
    </w:r>
    <w:bookmarkEnd w:id="12"/>
    <w:bookmarkEnd w:id="13"/>
    <w:bookmarkEnd w:id="14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394F5A5B"/>
    <w:multiLevelType w:val="hybridMultilevel"/>
    <w:tmpl w:val="C1D0DD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86491"/>
    <w:rsid w:val="00091346"/>
    <w:rsid w:val="0009706C"/>
    <w:rsid w:val="000D154B"/>
    <w:rsid w:val="000F73FF"/>
    <w:rsid w:val="00114CF7"/>
    <w:rsid w:val="00123B68"/>
    <w:rsid w:val="00126F2E"/>
    <w:rsid w:val="00146F6F"/>
    <w:rsid w:val="00187BD9"/>
    <w:rsid w:val="00190B55"/>
    <w:rsid w:val="001C3B5F"/>
    <w:rsid w:val="001D058F"/>
    <w:rsid w:val="002009EA"/>
    <w:rsid w:val="00202CA0"/>
    <w:rsid w:val="00216B6D"/>
    <w:rsid w:val="00241FA2"/>
    <w:rsid w:val="00271316"/>
    <w:rsid w:val="00296849"/>
    <w:rsid w:val="002B349C"/>
    <w:rsid w:val="002D58BE"/>
    <w:rsid w:val="003173D0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50139F"/>
    <w:rsid w:val="0055140B"/>
    <w:rsid w:val="005964AB"/>
    <w:rsid w:val="005C099A"/>
    <w:rsid w:val="005C31A5"/>
    <w:rsid w:val="005E10C9"/>
    <w:rsid w:val="005E290B"/>
    <w:rsid w:val="005E61DD"/>
    <w:rsid w:val="006023DF"/>
    <w:rsid w:val="00616219"/>
    <w:rsid w:val="00657DE0"/>
    <w:rsid w:val="00685313"/>
    <w:rsid w:val="00692833"/>
    <w:rsid w:val="006A6E9B"/>
    <w:rsid w:val="006B7C2A"/>
    <w:rsid w:val="006C23DA"/>
    <w:rsid w:val="006E3D45"/>
    <w:rsid w:val="007149F9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11633"/>
    <w:rsid w:val="00841216"/>
    <w:rsid w:val="00872FC8"/>
    <w:rsid w:val="008845D0"/>
    <w:rsid w:val="00884D60"/>
    <w:rsid w:val="008B43F2"/>
    <w:rsid w:val="008B6CFF"/>
    <w:rsid w:val="0092385C"/>
    <w:rsid w:val="009274B4"/>
    <w:rsid w:val="00934EA2"/>
    <w:rsid w:val="00944A5C"/>
    <w:rsid w:val="00952A66"/>
    <w:rsid w:val="009B7C9A"/>
    <w:rsid w:val="009C56E5"/>
    <w:rsid w:val="009E5FC8"/>
    <w:rsid w:val="009E687A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B25112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04A7"/>
    <w:rsid w:val="00C324A8"/>
    <w:rsid w:val="00C512FF"/>
    <w:rsid w:val="00C54517"/>
    <w:rsid w:val="00C64CD8"/>
    <w:rsid w:val="00C97C68"/>
    <w:rsid w:val="00CA1A47"/>
    <w:rsid w:val="00CB44E5"/>
    <w:rsid w:val="00CC247A"/>
    <w:rsid w:val="00CE388F"/>
    <w:rsid w:val="00CE5E47"/>
    <w:rsid w:val="00CF020F"/>
    <w:rsid w:val="00CF2B5B"/>
    <w:rsid w:val="00D14CE0"/>
    <w:rsid w:val="00D268B3"/>
    <w:rsid w:val="00D54009"/>
    <w:rsid w:val="00D5651D"/>
    <w:rsid w:val="00D57A34"/>
    <w:rsid w:val="00D74898"/>
    <w:rsid w:val="00D801ED"/>
    <w:rsid w:val="00D936BC"/>
    <w:rsid w:val="00D96530"/>
    <w:rsid w:val="00DD44AF"/>
    <w:rsid w:val="00DE2AC3"/>
    <w:rsid w:val="00DE5692"/>
    <w:rsid w:val="00DF4BC6"/>
    <w:rsid w:val="00E03C94"/>
    <w:rsid w:val="00E205BC"/>
    <w:rsid w:val="00E26226"/>
    <w:rsid w:val="00E45D05"/>
    <w:rsid w:val="00E53552"/>
    <w:rsid w:val="00E55816"/>
    <w:rsid w:val="00E55AEF"/>
    <w:rsid w:val="00E91EA5"/>
    <w:rsid w:val="00E976C1"/>
    <w:rsid w:val="00EA12E5"/>
    <w:rsid w:val="00EB55C6"/>
    <w:rsid w:val="00EF1932"/>
    <w:rsid w:val="00F02766"/>
    <w:rsid w:val="00F05BD4"/>
    <w:rsid w:val="00F6155B"/>
    <w:rsid w:val="00F65C19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CD2587F8-3246-45AB-9D5D-BA1948BD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9B463A"/>
  </w:style>
  <w:style w:type="paragraph" w:styleId="ListParagraph">
    <w:name w:val="List Paragraph"/>
    <w:basedOn w:val="Normal"/>
    <w:uiPriority w:val="34"/>
    <w:qFormat/>
    <w:rsid w:val="00C30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R15-WRC15-C-0107!A9-A1!MSW-E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CFC97-5DE5-430F-8AA0-A536DED6E8AE}">
  <ds:schemaRefs>
    <ds:schemaRef ds:uri="http://purl.org/dc/terms/"/>
    <ds:schemaRef ds:uri="http://schemas.microsoft.com/office/2006/documentManagement/types"/>
    <ds:schemaRef ds:uri="http://www.w3.org/XML/1998/namespace"/>
    <ds:schemaRef ds:uri="32a1a8c5-2265-4ebc-b7a0-2071e2c5c9bb"/>
    <ds:schemaRef ds:uri="http://schemas.openxmlformats.org/package/2006/metadata/core-properties"/>
    <ds:schemaRef ds:uri="996b2e75-67fd-4955-a3b0-5ab9934cb50b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A988366-D0FB-42B4-B942-5B68CD49E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6</TotalTime>
  <Pages>2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R15-WRC15-C-0107!A9-A1!MSW-E</vt:lpstr>
    </vt:vector>
  </TitlesOfParts>
  <Manager>General Secretariat - Pool</Manager>
  <Company>International Telecommunication Union (ITU)</Company>
  <LinksUpToDate>false</LinksUpToDate>
  <CharactersWithSpaces>2066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R15-WRC15-C-0107!A9-A1!MSW-E</dc:title>
  <dc:subject>World Radiocommunication Conference - 2015</dc:subject>
  <dc:creator>Documents Proposals Manager (DPM)</dc:creator>
  <cp:keywords>DPM_v5.2015.10.15_prod</cp:keywords>
  <dc:description>Uploaded on 2015.07.06</dc:description>
  <cp:lastModifiedBy>Hourican, Maria</cp:lastModifiedBy>
  <cp:revision>3</cp:revision>
  <cp:lastPrinted>2015-10-21T19:52:00Z</cp:lastPrinted>
  <dcterms:created xsi:type="dcterms:W3CDTF">2015-10-25T10:32:00Z</dcterms:created>
  <dcterms:modified xsi:type="dcterms:W3CDTF">2015-10-25T10:38:00Z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