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B16D87" w:rsidTr="0050008E">
        <w:trPr>
          <w:cantSplit/>
        </w:trPr>
        <w:tc>
          <w:tcPr>
            <w:tcW w:w="6911" w:type="dxa"/>
          </w:tcPr>
          <w:p w:rsidR="0090121B" w:rsidRPr="00B16D87" w:rsidRDefault="005D46FB" w:rsidP="00B16D87">
            <w:pPr>
              <w:spacing w:before="400" w:after="48"/>
              <w:rPr>
                <w:rFonts w:ascii="Verdana" w:hAnsi="Verdana"/>
                <w:position w:val="6"/>
              </w:rPr>
            </w:pPr>
            <w:r w:rsidRPr="00B16D87">
              <w:rPr>
                <w:rFonts w:ascii="Verdana" w:hAnsi="Verdana" w:cs="Times"/>
                <w:b/>
                <w:position w:val="6"/>
                <w:sz w:val="20"/>
              </w:rPr>
              <w:t>Conferencia Mundial de Radiocomunicaciones (CMR-15)</w:t>
            </w:r>
            <w:r w:rsidRPr="00B16D87">
              <w:rPr>
                <w:rFonts w:ascii="Verdana" w:hAnsi="Verdana" w:cs="Times"/>
                <w:b/>
                <w:position w:val="6"/>
                <w:sz w:val="20"/>
              </w:rPr>
              <w:br/>
            </w:r>
            <w:r w:rsidRPr="00B16D87">
              <w:rPr>
                <w:rFonts w:ascii="Verdana" w:hAnsi="Verdana"/>
                <w:b/>
                <w:bCs/>
                <w:position w:val="6"/>
                <w:sz w:val="18"/>
                <w:szCs w:val="18"/>
              </w:rPr>
              <w:t>Ginebra, 2-27 de noviembre de 2015</w:t>
            </w:r>
          </w:p>
        </w:tc>
        <w:tc>
          <w:tcPr>
            <w:tcW w:w="3120" w:type="dxa"/>
          </w:tcPr>
          <w:p w:rsidR="0090121B" w:rsidRPr="00B16D87" w:rsidRDefault="00CE7431" w:rsidP="00B16D87">
            <w:pPr>
              <w:spacing w:before="0"/>
              <w:jc w:val="right"/>
            </w:pPr>
            <w:bookmarkStart w:id="0" w:name="ditulogo"/>
            <w:bookmarkEnd w:id="0"/>
            <w:r w:rsidRPr="00B16D87">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B16D87" w:rsidTr="0050008E">
        <w:trPr>
          <w:cantSplit/>
        </w:trPr>
        <w:tc>
          <w:tcPr>
            <w:tcW w:w="6911" w:type="dxa"/>
            <w:tcBorders>
              <w:bottom w:val="single" w:sz="12" w:space="0" w:color="auto"/>
            </w:tcBorders>
          </w:tcPr>
          <w:p w:rsidR="0090121B" w:rsidRPr="00B16D87" w:rsidRDefault="00CE7431" w:rsidP="00B16D87">
            <w:pPr>
              <w:spacing w:before="0" w:after="48"/>
              <w:rPr>
                <w:b/>
                <w:smallCaps/>
                <w:szCs w:val="24"/>
              </w:rPr>
            </w:pPr>
            <w:bookmarkStart w:id="1" w:name="dhead"/>
            <w:r w:rsidRPr="00B16D87">
              <w:rPr>
                <w:rFonts w:ascii="Verdana" w:hAnsi="Verdana"/>
                <w:b/>
                <w:smallCaps/>
                <w:sz w:val="20"/>
              </w:rPr>
              <w:t>UNIÓN INTERNACIONAL DE TELECOMUNICACIONES</w:t>
            </w:r>
          </w:p>
        </w:tc>
        <w:tc>
          <w:tcPr>
            <w:tcW w:w="3120" w:type="dxa"/>
            <w:tcBorders>
              <w:bottom w:val="single" w:sz="12" w:space="0" w:color="auto"/>
            </w:tcBorders>
          </w:tcPr>
          <w:p w:rsidR="0090121B" w:rsidRPr="00B16D87" w:rsidRDefault="0090121B" w:rsidP="00B16D87">
            <w:pPr>
              <w:spacing w:before="0"/>
              <w:rPr>
                <w:rFonts w:ascii="Verdana" w:hAnsi="Verdana"/>
                <w:szCs w:val="24"/>
              </w:rPr>
            </w:pPr>
          </w:p>
        </w:tc>
      </w:tr>
      <w:tr w:rsidR="0090121B" w:rsidRPr="00B16D87" w:rsidTr="0090121B">
        <w:trPr>
          <w:cantSplit/>
        </w:trPr>
        <w:tc>
          <w:tcPr>
            <w:tcW w:w="6911" w:type="dxa"/>
            <w:tcBorders>
              <w:top w:val="single" w:sz="12" w:space="0" w:color="auto"/>
            </w:tcBorders>
          </w:tcPr>
          <w:p w:rsidR="0090121B" w:rsidRPr="00B16D87" w:rsidRDefault="0090121B" w:rsidP="00B16D87">
            <w:pPr>
              <w:spacing w:before="0" w:after="48"/>
              <w:rPr>
                <w:rFonts w:ascii="Verdana" w:hAnsi="Verdana"/>
                <w:b/>
                <w:smallCaps/>
                <w:sz w:val="20"/>
              </w:rPr>
            </w:pPr>
          </w:p>
        </w:tc>
        <w:tc>
          <w:tcPr>
            <w:tcW w:w="3120" w:type="dxa"/>
            <w:tcBorders>
              <w:top w:val="single" w:sz="12" w:space="0" w:color="auto"/>
            </w:tcBorders>
          </w:tcPr>
          <w:p w:rsidR="0090121B" w:rsidRPr="00B16D87" w:rsidRDefault="0090121B" w:rsidP="00B16D87">
            <w:pPr>
              <w:spacing w:before="0"/>
              <w:rPr>
                <w:rFonts w:ascii="Verdana" w:hAnsi="Verdana"/>
                <w:sz w:val="20"/>
              </w:rPr>
            </w:pPr>
          </w:p>
        </w:tc>
      </w:tr>
      <w:tr w:rsidR="0090121B" w:rsidRPr="00B16D87" w:rsidTr="0090121B">
        <w:trPr>
          <w:cantSplit/>
        </w:trPr>
        <w:tc>
          <w:tcPr>
            <w:tcW w:w="6911" w:type="dxa"/>
            <w:shd w:val="clear" w:color="auto" w:fill="auto"/>
          </w:tcPr>
          <w:p w:rsidR="0090121B" w:rsidRPr="00B16D87" w:rsidRDefault="00AE658F" w:rsidP="00B16D87">
            <w:pPr>
              <w:spacing w:before="0"/>
              <w:rPr>
                <w:rFonts w:ascii="Verdana" w:hAnsi="Verdana"/>
                <w:b/>
                <w:sz w:val="20"/>
              </w:rPr>
            </w:pPr>
            <w:r w:rsidRPr="00B16D87">
              <w:rPr>
                <w:rFonts w:ascii="Verdana" w:hAnsi="Verdana"/>
                <w:b/>
                <w:sz w:val="20"/>
              </w:rPr>
              <w:t>SESIÓN PLENARIA</w:t>
            </w:r>
          </w:p>
        </w:tc>
        <w:tc>
          <w:tcPr>
            <w:tcW w:w="3120" w:type="dxa"/>
            <w:shd w:val="clear" w:color="auto" w:fill="auto"/>
          </w:tcPr>
          <w:p w:rsidR="0090121B" w:rsidRPr="00B16D87" w:rsidRDefault="00AE658F" w:rsidP="00B16D87">
            <w:pPr>
              <w:spacing w:before="0"/>
              <w:rPr>
                <w:rFonts w:ascii="Verdana" w:hAnsi="Verdana"/>
                <w:sz w:val="20"/>
              </w:rPr>
            </w:pPr>
            <w:r w:rsidRPr="00B16D87">
              <w:rPr>
                <w:rFonts w:ascii="Verdana" w:eastAsia="SimSun" w:hAnsi="Verdana" w:cs="Traditional Arabic"/>
                <w:b/>
                <w:sz w:val="20"/>
              </w:rPr>
              <w:t>Addéndum 2 al</w:t>
            </w:r>
            <w:r w:rsidRPr="00B16D87">
              <w:rPr>
                <w:rFonts w:ascii="Verdana" w:eastAsia="SimSun" w:hAnsi="Verdana" w:cs="Traditional Arabic"/>
                <w:b/>
                <w:sz w:val="20"/>
              </w:rPr>
              <w:br/>
              <w:t>Documento 107(Add.6)</w:t>
            </w:r>
            <w:r w:rsidR="0090121B" w:rsidRPr="00B16D87">
              <w:rPr>
                <w:rFonts w:ascii="Verdana" w:hAnsi="Verdana"/>
                <w:b/>
                <w:sz w:val="20"/>
              </w:rPr>
              <w:t>-</w:t>
            </w:r>
            <w:r w:rsidRPr="00B16D87">
              <w:rPr>
                <w:rFonts w:ascii="Verdana" w:hAnsi="Verdana"/>
                <w:b/>
                <w:sz w:val="20"/>
              </w:rPr>
              <w:t>S</w:t>
            </w:r>
          </w:p>
        </w:tc>
      </w:tr>
      <w:bookmarkEnd w:id="1"/>
      <w:tr w:rsidR="000A5B9A" w:rsidRPr="00B16D87" w:rsidTr="0090121B">
        <w:trPr>
          <w:cantSplit/>
        </w:trPr>
        <w:tc>
          <w:tcPr>
            <w:tcW w:w="6911" w:type="dxa"/>
            <w:shd w:val="clear" w:color="auto" w:fill="auto"/>
          </w:tcPr>
          <w:p w:rsidR="000A5B9A" w:rsidRPr="00B16D87" w:rsidRDefault="000A5B9A" w:rsidP="00B16D87">
            <w:pPr>
              <w:spacing w:before="0" w:after="48"/>
              <w:rPr>
                <w:rFonts w:ascii="Verdana" w:hAnsi="Verdana"/>
                <w:b/>
                <w:smallCaps/>
                <w:sz w:val="20"/>
              </w:rPr>
            </w:pPr>
          </w:p>
        </w:tc>
        <w:tc>
          <w:tcPr>
            <w:tcW w:w="3120" w:type="dxa"/>
            <w:shd w:val="clear" w:color="auto" w:fill="auto"/>
          </w:tcPr>
          <w:p w:rsidR="000A5B9A" w:rsidRPr="00B16D87" w:rsidRDefault="000A5B9A" w:rsidP="00B16D87">
            <w:pPr>
              <w:spacing w:before="0"/>
              <w:rPr>
                <w:rFonts w:ascii="Verdana" w:hAnsi="Verdana"/>
                <w:b/>
                <w:sz w:val="20"/>
              </w:rPr>
            </w:pPr>
            <w:r w:rsidRPr="00B16D87">
              <w:rPr>
                <w:rFonts w:ascii="Verdana" w:hAnsi="Verdana"/>
                <w:b/>
                <w:sz w:val="20"/>
              </w:rPr>
              <w:t>19 de octubre de 2015</w:t>
            </w:r>
          </w:p>
        </w:tc>
      </w:tr>
      <w:tr w:rsidR="000A5B9A" w:rsidRPr="00B16D87" w:rsidTr="0090121B">
        <w:trPr>
          <w:cantSplit/>
        </w:trPr>
        <w:tc>
          <w:tcPr>
            <w:tcW w:w="6911" w:type="dxa"/>
          </w:tcPr>
          <w:p w:rsidR="000A5B9A" w:rsidRPr="00B16D87" w:rsidRDefault="000A5B9A" w:rsidP="00B16D87">
            <w:pPr>
              <w:spacing w:before="0" w:after="48"/>
              <w:rPr>
                <w:rFonts w:ascii="Verdana" w:hAnsi="Verdana"/>
                <w:b/>
                <w:smallCaps/>
                <w:sz w:val="20"/>
              </w:rPr>
            </w:pPr>
          </w:p>
        </w:tc>
        <w:tc>
          <w:tcPr>
            <w:tcW w:w="3120" w:type="dxa"/>
          </w:tcPr>
          <w:p w:rsidR="000A5B9A" w:rsidRPr="00B16D87" w:rsidRDefault="000A5B9A" w:rsidP="00B16D87">
            <w:pPr>
              <w:spacing w:before="0"/>
              <w:rPr>
                <w:rFonts w:ascii="Verdana" w:hAnsi="Verdana"/>
                <w:b/>
                <w:sz w:val="20"/>
              </w:rPr>
            </w:pPr>
            <w:r w:rsidRPr="00B16D87">
              <w:rPr>
                <w:rFonts w:ascii="Verdana" w:hAnsi="Verdana"/>
                <w:b/>
                <w:sz w:val="20"/>
              </w:rPr>
              <w:t>Original: inglés</w:t>
            </w:r>
          </w:p>
        </w:tc>
      </w:tr>
      <w:tr w:rsidR="000A5B9A" w:rsidRPr="00B16D87" w:rsidTr="006744FC">
        <w:trPr>
          <w:cantSplit/>
        </w:trPr>
        <w:tc>
          <w:tcPr>
            <w:tcW w:w="10031" w:type="dxa"/>
            <w:gridSpan w:val="2"/>
          </w:tcPr>
          <w:p w:rsidR="000A5B9A" w:rsidRPr="00B16D87" w:rsidRDefault="000A5B9A" w:rsidP="00B16D87">
            <w:pPr>
              <w:spacing w:before="0"/>
              <w:rPr>
                <w:rFonts w:ascii="Verdana" w:hAnsi="Verdana"/>
                <w:b/>
                <w:sz w:val="20"/>
              </w:rPr>
            </w:pPr>
          </w:p>
        </w:tc>
      </w:tr>
      <w:tr w:rsidR="000A5B9A" w:rsidRPr="00B16D87" w:rsidTr="0050008E">
        <w:trPr>
          <w:cantSplit/>
        </w:trPr>
        <w:tc>
          <w:tcPr>
            <w:tcW w:w="10031" w:type="dxa"/>
            <w:gridSpan w:val="2"/>
          </w:tcPr>
          <w:p w:rsidR="000A5B9A" w:rsidRPr="00B16D87" w:rsidRDefault="000A5B9A" w:rsidP="00B16D87">
            <w:pPr>
              <w:pStyle w:val="Source"/>
            </w:pPr>
            <w:bookmarkStart w:id="2" w:name="dsource" w:colFirst="0" w:colLast="0"/>
            <w:r w:rsidRPr="00B16D87">
              <w:t>India (República de la)</w:t>
            </w:r>
          </w:p>
        </w:tc>
      </w:tr>
      <w:tr w:rsidR="000A5B9A" w:rsidRPr="00B16D87" w:rsidTr="0050008E">
        <w:trPr>
          <w:cantSplit/>
        </w:trPr>
        <w:tc>
          <w:tcPr>
            <w:tcW w:w="10031" w:type="dxa"/>
            <w:gridSpan w:val="2"/>
          </w:tcPr>
          <w:p w:rsidR="000A5B9A" w:rsidRPr="00B16D87" w:rsidRDefault="00C94619" w:rsidP="00B16D87">
            <w:pPr>
              <w:pStyle w:val="Title1"/>
            </w:pPr>
            <w:bookmarkStart w:id="3" w:name="dtitle1" w:colFirst="0" w:colLast="0"/>
            <w:bookmarkEnd w:id="2"/>
            <w:r w:rsidRPr="00B16D87">
              <w:t>PROPUESTAS PARA LOS TRABAJOS DE LA CONFERENCIA</w:t>
            </w:r>
          </w:p>
        </w:tc>
      </w:tr>
      <w:tr w:rsidR="000A5B9A" w:rsidRPr="00B16D87" w:rsidTr="0050008E">
        <w:trPr>
          <w:cantSplit/>
        </w:trPr>
        <w:tc>
          <w:tcPr>
            <w:tcW w:w="10031" w:type="dxa"/>
            <w:gridSpan w:val="2"/>
          </w:tcPr>
          <w:p w:rsidR="000A5B9A" w:rsidRPr="00B16D87" w:rsidRDefault="000A5B9A" w:rsidP="00B16D87">
            <w:pPr>
              <w:pStyle w:val="Title2"/>
            </w:pPr>
            <w:bookmarkStart w:id="4" w:name="dtitle2" w:colFirst="0" w:colLast="0"/>
            <w:bookmarkEnd w:id="3"/>
          </w:p>
        </w:tc>
      </w:tr>
      <w:tr w:rsidR="000A5B9A" w:rsidRPr="00B16D87" w:rsidTr="0050008E">
        <w:trPr>
          <w:cantSplit/>
        </w:trPr>
        <w:tc>
          <w:tcPr>
            <w:tcW w:w="10031" w:type="dxa"/>
            <w:gridSpan w:val="2"/>
          </w:tcPr>
          <w:p w:rsidR="000A5B9A" w:rsidRPr="00B16D87" w:rsidRDefault="000A5B9A" w:rsidP="00B16D87">
            <w:pPr>
              <w:pStyle w:val="Agendaitem"/>
            </w:pPr>
            <w:bookmarkStart w:id="5" w:name="dtitle3" w:colFirst="0" w:colLast="0"/>
            <w:bookmarkEnd w:id="4"/>
            <w:r w:rsidRPr="00B16D87">
              <w:t>Punto 1.6.2 del orden del día</w:t>
            </w:r>
          </w:p>
        </w:tc>
      </w:tr>
    </w:tbl>
    <w:bookmarkEnd w:id="5"/>
    <w:p w:rsidR="001C0E40" w:rsidRPr="00B16D87" w:rsidRDefault="003A2D04" w:rsidP="00B16D87">
      <w:r w:rsidRPr="00B16D87">
        <w:t>1.6</w:t>
      </w:r>
      <w:r w:rsidRPr="00B16D87">
        <w:tab/>
        <w:t>considerar posibles atribuciones adicionales a título primario:</w:t>
      </w:r>
    </w:p>
    <w:p w:rsidR="001C0E40" w:rsidRPr="00B16D87" w:rsidRDefault="003A2D04" w:rsidP="00B16D87">
      <w:r w:rsidRPr="00B16D87">
        <w:t>1.6.2</w:t>
      </w:r>
      <w:r w:rsidRPr="00B16D87">
        <w:tab/>
        <w:t>al servicio fijo por satélite (Tierra-espacio) de 250 MHz en la Región 2 y 300 MHz en la Región 3 en la gama 13-17 GHz;</w:t>
      </w:r>
    </w:p>
    <w:p w:rsidR="006D7258" w:rsidRPr="00B16D87" w:rsidRDefault="003A2D04" w:rsidP="00B16D87">
      <w:pPr>
        <w:rPr>
          <w:szCs w:val="24"/>
        </w:rPr>
      </w:pPr>
      <w:r w:rsidRPr="00B16D87">
        <w:rPr>
          <w:bCs/>
          <w:szCs w:val="24"/>
        </w:rPr>
        <w:t xml:space="preserve">y revisar las disposiciones reglamentarias relativas a las atribuciones actuales al servicio fijo por satélite en cada gama, teniendo en cuenta los resultados de los estudios del UIT-R, conforme a las Resoluciones </w:t>
      </w:r>
      <w:r w:rsidRPr="00B16D87">
        <w:rPr>
          <w:b/>
          <w:szCs w:val="24"/>
        </w:rPr>
        <w:t>151 (CMR-12)</w:t>
      </w:r>
      <w:r w:rsidRPr="00B16D87">
        <w:rPr>
          <w:bCs/>
          <w:szCs w:val="24"/>
        </w:rPr>
        <w:t xml:space="preserve"> y </w:t>
      </w:r>
      <w:r w:rsidRPr="00B16D87">
        <w:rPr>
          <w:b/>
          <w:szCs w:val="24"/>
        </w:rPr>
        <w:t xml:space="preserve">152 (CMR-12) </w:t>
      </w:r>
      <w:r w:rsidRPr="00B16D87">
        <w:rPr>
          <w:bCs/>
          <w:szCs w:val="24"/>
        </w:rPr>
        <w:t>respectivamente;</w:t>
      </w:r>
    </w:p>
    <w:p w:rsidR="006B0EAE" w:rsidRPr="00B16D87" w:rsidRDefault="00B8728F" w:rsidP="00B16D87">
      <w:pPr>
        <w:pStyle w:val="Headingb"/>
        <w:rPr>
          <w:lang w:eastAsia="ko-KR"/>
        </w:rPr>
      </w:pPr>
      <w:r>
        <w:rPr>
          <w:lang w:eastAsia="ko-KR"/>
        </w:rPr>
        <w:t>1</w:t>
      </w:r>
      <w:r>
        <w:rPr>
          <w:lang w:eastAsia="ko-KR"/>
        </w:rPr>
        <w:tab/>
      </w:r>
      <w:r w:rsidR="00DA3705" w:rsidRPr="00B16D87">
        <w:rPr>
          <w:lang w:eastAsia="ko-KR"/>
        </w:rPr>
        <w:t>Introducció</w:t>
      </w:r>
      <w:r w:rsidR="006B0EAE" w:rsidRPr="00B16D87">
        <w:rPr>
          <w:lang w:eastAsia="ko-KR"/>
        </w:rPr>
        <w:t>n</w:t>
      </w:r>
    </w:p>
    <w:p w:rsidR="006B0EAE" w:rsidRPr="00B16D87" w:rsidRDefault="004E541F" w:rsidP="00B16D87">
      <w:pPr>
        <w:rPr>
          <w:lang w:eastAsia="ko-KR"/>
        </w:rPr>
      </w:pPr>
      <w:r>
        <w:rPr>
          <w:lang w:eastAsia="ko-KR"/>
        </w:rPr>
        <w:t>Indi</w:t>
      </w:r>
      <w:r w:rsidR="00B16D87">
        <w:rPr>
          <w:lang w:eastAsia="ko-KR"/>
        </w:rPr>
        <w:t xml:space="preserve">a refrenda el método de no modificar </w:t>
      </w:r>
      <w:r w:rsidR="006B0EAE" w:rsidRPr="00B16D87">
        <w:rPr>
          <w:lang w:eastAsia="ko-KR"/>
        </w:rPr>
        <w:t xml:space="preserve">(NOC) </w:t>
      </w:r>
      <w:r w:rsidR="00B16D87">
        <w:rPr>
          <w:lang w:eastAsia="ko-KR"/>
        </w:rPr>
        <w:t xml:space="preserve">las bandas de frecuencias </w:t>
      </w:r>
      <w:r w:rsidR="006B0EAE" w:rsidRPr="00B16D87">
        <w:rPr>
          <w:lang w:eastAsia="ko-KR"/>
        </w:rPr>
        <w:t>13</w:t>
      </w:r>
      <w:r w:rsidR="00B16D87">
        <w:rPr>
          <w:lang w:eastAsia="ko-KR"/>
        </w:rPr>
        <w:t>,</w:t>
      </w:r>
      <w:r w:rsidR="006B0EAE" w:rsidRPr="00B16D87">
        <w:rPr>
          <w:lang w:eastAsia="ko-KR"/>
        </w:rPr>
        <w:t>25-13</w:t>
      </w:r>
      <w:r w:rsidR="00B16D87">
        <w:rPr>
          <w:lang w:eastAsia="ko-KR"/>
        </w:rPr>
        <w:t>,</w:t>
      </w:r>
      <w:r w:rsidR="006B0EAE" w:rsidRPr="00B16D87">
        <w:rPr>
          <w:lang w:eastAsia="ko-KR"/>
        </w:rPr>
        <w:t>4</w:t>
      </w:r>
      <w:r w:rsidR="009C4028">
        <w:rPr>
          <w:lang w:eastAsia="ko-KR"/>
        </w:rPr>
        <w:t> </w:t>
      </w:r>
      <w:bookmarkStart w:id="6" w:name="_GoBack"/>
      <w:bookmarkEnd w:id="6"/>
      <w:r w:rsidR="006B0EAE" w:rsidRPr="00B16D87">
        <w:rPr>
          <w:lang w:eastAsia="ko-KR"/>
        </w:rPr>
        <w:t xml:space="preserve">GHz </w:t>
      </w:r>
      <w:r w:rsidR="00B16D87">
        <w:rPr>
          <w:lang w:eastAsia="ko-KR"/>
        </w:rPr>
        <w:t xml:space="preserve">y </w:t>
      </w:r>
      <w:r w:rsidR="006B0EAE" w:rsidRPr="00B16D87">
        <w:rPr>
          <w:lang w:eastAsia="ko-KR"/>
        </w:rPr>
        <w:t>14</w:t>
      </w:r>
      <w:r w:rsidR="00B16D87">
        <w:rPr>
          <w:lang w:eastAsia="ko-KR"/>
        </w:rPr>
        <w:t>,</w:t>
      </w:r>
      <w:r w:rsidR="004273E9">
        <w:rPr>
          <w:lang w:eastAsia="ko-KR"/>
        </w:rPr>
        <w:t>8</w:t>
      </w:r>
      <w:r w:rsidR="004273E9">
        <w:rPr>
          <w:lang w:eastAsia="ko-KR"/>
        </w:rPr>
        <w:noBreakHyphen/>
      </w:r>
      <w:r w:rsidR="006B0EAE" w:rsidRPr="00B16D87">
        <w:rPr>
          <w:lang w:eastAsia="ko-KR"/>
        </w:rPr>
        <w:t>17</w:t>
      </w:r>
      <w:r w:rsidR="00B16D87">
        <w:rPr>
          <w:lang w:eastAsia="ko-KR"/>
        </w:rPr>
        <w:t xml:space="preserve"> </w:t>
      </w:r>
      <w:r w:rsidR="006B0EAE" w:rsidRPr="00B16D87">
        <w:rPr>
          <w:lang w:eastAsia="ko-KR"/>
        </w:rPr>
        <w:t xml:space="preserve">GHz </w:t>
      </w:r>
      <w:r w:rsidR="00B16D87">
        <w:rPr>
          <w:lang w:eastAsia="ko-KR"/>
        </w:rPr>
        <w:t>debido a la incompatibilidad con los servicios existentes</w:t>
      </w:r>
      <w:r w:rsidR="006B0EAE" w:rsidRPr="00B16D87">
        <w:rPr>
          <w:lang w:eastAsia="ko-KR"/>
        </w:rPr>
        <w:t>.</w:t>
      </w:r>
    </w:p>
    <w:p w:rsidR="006B0EAE" w:rsidRPr="00B16D87" w:rsidRDefault="006B0EAE" w:rsidP="00275CF1">
      <w:pPr>
        <w:rPr>
          <w:lang w:eastAsia="ko-KR"/>
        </w:rPr>
      </w:pPr>
      <w:r w:rsidRPr="00B16D87">
        <w:rPr>
          <w:lang w:eastAsia="ko-KR"/>
        </w:rPr>
        <w:t xml:space="preserve">India </w:t>
      </w:r>
      <w:r w:rsidR="00B16D87">
        <w:rPr>
          <w:lang w:eastAsia="ko-KR"/>
        </w:rPr>
        <w:t xml:space="preserve">no es partidaria de que se modifique el título de la atribución al SFS en la banda </w:t>
      </w:r>
      <w:r w:rsidRPr="00B16D87">
        <w:rPr>
          <w:lang w:eastAsia="ko-KR"/>
        </w:rPr>
        <w:t>14</w:t>
      </w:r>
      <w:r w:rsidR="00B16D87">
        <w:rPr>
          <w:lang w:eastAsia="ko-KR"/>
        </w:rPr>
        <w:t>,</w:t>
      </w:r>
      <w:r w:rsidR="004273E9">
        <w:rPr>
          <w:lang w:eastAsia="ko-KR"/>
        </w:rPr>
        <w:t>5</w:t>
      </w:r>
      <w:r w:rsidR="004273E9">
        <w:rPr>
          <w:lang w:eastAsia="ko-KR"/>
        </w:rPr>
        <w:noBreakHyphen/>
      </w:r>
      <w:r w:rsidRPr="00B16D87">
        <w:rPr>
          <w:lang w:eastAsia="ko-KR"/>
        </w:rPr>
        <w:t>14</w:t>
      </w:r>
      <w:r w:rsidR="00B16D87">
        <w:rPr>
          <w:lang w:eastAsia="ko-KR"/>
        </w:rPr>
        <w:t>,</w:t>
      </w:r>
      <w:r w:rsidR="004273E9">
        <w:rPr>
          <w:lang w:eastAsia="ko-KR"/>
        </w:rPr>
        <w:t>8 </w:t>
      </w:r>
      <w:r w:rsidRPr="00B16D87">
        <w:rPr>
          <w:lang w:eastAsia="ko-KR"/>
        </w:rPr>
        <w:t xml:space="preserve">GHz </w:t>
      </w:r>
      <w:r w:rsidR="00B16D87">
        <w:rPr>
          <w:lang w:eastAsia="ko-KR"/>
        </w:rPr>
        <w:t xml:space="preserve">debido a la actual atribución al enlace de conexión del Plan </w:t>
      </w:r>
      <w:r w:rsidR="00B16D87">
        <w:rPr>
          <w:rFonts w:eastAsia="BatangChe"/>
          <w:szCs w:val="24"/>
        </w:rPr>
        <w:t xml:space="preserve">del SRS en el </w:t>
      </w:r>
      <w:r w:rsidRPr="00B16D87">
        <w:rPr>
          <w:rFonts w:eastAsia="BatangChe"/>
          <w:szCs w:val="24"/>
        </w:rPr>
        <w:t>AP30A</w:t>
      </w:r>
      <w:r w:rsidR="003919DA" w:rsidRPr="00B16D87">
        <w:rPr>
          <w:rFonts w:eastAsia="BatangChe"/>
          <w:szCs w:val="24"/>
        </w:rPr>
        <w:t>.</w:t>
      </w:r>
    </w:p>
    <w:p w:rsidR="006B0EAE" w:rsidRPr="00B16D87" w:rsidRDefault="00275CF1" w:rsidP="00275CF1">
      <w:pPr>
        <w:rPr>
          <w:szCs w:val="24"/>
          <w:lang w:eastAsia="zh-CN"/>
        </w:rPr>
      </w:pPr>
      <w:r>
        <w:rPr>
          <w:szCs w:val="24"/>
          <w:lang w:eastAsia="zh-CN"/>
        </w:rPr>
        <w:t>En el Informe de la RPC a la CMR</w:t>
      </w:r>
      <w:r w:rsidR="006B0EAE" w:rsidRPr="00B16D87">
        <w:rPr>
          <w:szCs w:val="24"/>
          <w:lang w:eastAsia="zh-CN"/>
        </w:rPr>
        <w:t xml:space="preserve">-15 </w:t>
      </w:r>
      <w:r>
        <w:rPr>
          <w:szCs w:val="24"/>
          <w:lang w:eastAsia="zh-CN"/>
        </w:rPr>
        <w:t>se afirma que la compartición entre el enlace as</w:t>
      </w:r>
      <w:r w:rsidR="00A47A7B">
        <w:rPr>
          <w:szCs w:val="24"/>
          <w:lang w:eastAsia="zh-CN"/>
        </w:rPr>
        <w:t>cendente del SFS no planificado</w:t>
      </w:r>
      <w:r>
        <w:rPr>
          <w:szCs w:val="24"/>
          <w:lang w:eastAsia="zh-CN"/>
        </w:rPr>
        <w:t xml:space="preserve"> propuesto en la banda </w:t>
      </w:r>
      <w:r w:rsidR="006B0EAE" w:rsidRPr="00B16D87">
        <w:rPr>
          <w:szCs w:val="24"/>
          <w:lang w:eastAsia="zh-CN"/>
        </w:rPr>
        <w:t>14</w:t>
      </w:r>
      <w:r>
        <w:rPr>
          <w:szCs w:val="24"/>
          <w:lang w:eastAsia="zh-CN"/>
        </w:rPr>
        <w:t>,</w:t>
      </w:r>
      <w:r w:rsidR="006B0EAE" w:rsidRPr="00B16D87">
        <w:rPr>
          <w:szCs w:val="24"/>
          <w:lang w:eastAsia="zh-CN"/>
        </w:rPr>
        <w:t>5-14</w:t>
      </w:r>
      <w:r>
        <w:rPr>
          <w:szCs w:val="24"/>
          <w:lang w:eastAsia="zh-CN"/>
        </w:rPr>
        <w:t>,</w:t>
      </w:r>
      <w:r w:rsidR="006B0EAE" w:rsidRPr="00B16D87">
        <w:rPr>
          <w:szCs w:val="24"/>
          <w:lang w:eastAsia="zh-CN"/>
        </w:rPr>
        <w:t xml:space="preserve">8 GHz </w:t>
      </w:r>
      <w:r>
        <w:rPr>
          <w:szCs w:val="24"/>
          <w:lang w:eastAsia="zh-CN"/>
        </w:rPr>
        <w:t xml:space="preserve">y las adjudicación del Plan </w:t>
      </w:r>
      <w:r w:rsidR="006B0EAE" w:rsidRPr="00B16D87">
        <w:rPr>
          <w:szCs w:val="24"/>
          <w:lang w:eastAsia="zh-CN"/>
        </w:rPr>
        <w:t>AP30A</w:t>
      </w:r>
      <w:r>
        <w:rPr>
          <w:szCs w:val="24"/>
          <w:lang w:eastAsia="zh-CN"/>
        </w:rPr>
        <w:t xml:space="preserve"> es difícil</w:t>
      </w:r>
      <w:r w:rsidR="006B0EAE" w:rsidRPr="00B16D87">
        <w:rPr>
          <w:szCs w:val="24"/>
          <w:lang w:eastAsia="zh-CN"/>
        </w:rPr>
        <w:t xml:space="preserve">. </w:t>
      </w:r>
      <w:r>
        <w:rPr>
          <w:szCs w:val="24"/>
          <w:lang w:eastAsia="zh-CN"/>
        </w:rPr>
        <w:t xml:space="preserve">También se indica que es necesario elaborar procedimientos reglamentarios y métodos de cálculo adecuados para poder aplicar </w:t>
      </w:r>
      <w:r w:rsidR="0003698C" w:rsidRPr="00B16D87">
        <w:rPr>
          <w:szCs w:val="24"/>
          <w:lang w:eastAsia="zh-CN"/>
        </w:rPr>
        <w:t xml:space="preserve">cualquier criterio </w:t>
      </w:r>
      <w:r>
        <w:rPr>
          <w:szCs w:val="24"/>
          <w:lang w:eastAsia="zh-CN"/>
        </w:rPr>
        <w:t xml:space="preserve">que se acuerde </w:t>
      </w:r>
      <w:r w:rsidR="0003698C" w:rsidRPr="00B16D87">
        <w:rPr>
          <w:szCs w:val="24"/>
          <w:lang w:eastAsia="zh-CN"/>
        </w:rPr>
        <w:t>con el fin de proteger las asignaciones del Plan y la Lista del Apéndice 30A. En función de cual sea el procedimiento finalmente elegido, podrá ser necesario modificar el software de la Oficina. Para determinar los criterios de aplicación más adecuados, es necesario realizar una simulación de la interferencia debida al efecto acumulado del nuevo sistema del SFS que demuestre que se garantiza la protección del Plan del Apéndice 30A con niveles equivalentes a los de los criterios del MPE del RR junto con la situación de referencia del MPE de las asignaciones del Plan y de la Lista.</w:t>
      </w:r>
      <w:r w:rsidR="006B0EAE" w:rsidRPr="00B16D87">
        <w:rPr>
          <w:szCs w:val="24"/>
          <w:lang w:eastAsia="zh-CN"/>
        </w:rPr>
        <w:t xml:space="preserve"> </w:t>
      </w:r>
      <w:r w:rsidR="00A337C0" w:rsidRPr="00B16D87">
        <w:rPr>
          <w:szCs w:val="24"/>
          <w:lang w:eastAsia="zh-CN"/>
        </w:rPr>
        <w:t>Una de las dificultades de la utilización del enfoque del MPE para identificar las administraciones afectadas es que, debido a la estructura e implementación del software MSPACE, no se identifican como afectadas asignaciones con un MPE muy bajo. Este asunto ha sido planteado en varias CMR anteriores. Aún no se ha identificado una solución práctica y realizable.</w:t>
      </w:r>
    </w:p>
    <w:p w:rsidR="006B0EAE" w:rsidRPr="00B16D87" w:rsidRDefault="00275CF1" w:rsidP="00275CF1">
      <w:pPr>
        <w:rPr>
          <w:lang w:eastAsia="ko-KR"/>
        </w:rPr>
      </w:pPr>
      <w:r>
        <w:lastRenderedPageBreak/>
        <w:t xml:space="preserve">Habida cuenta de lo anterior y de que es muy importante proteger los enlaces de conexión del SRS con arreglo al Plan del </w:t>
      </w:r>
      <w:r w:rsidR="006B0EAE" w:rsidRPr="00B16D87">
        <w:t xml:space="preserve">AP30A, India </w:t>
      </w:r>
      <w:r>
        <w:t xml:space="preserve">refrenda el método </w:t>
      </w:r>
      <w:r w:rsidR="006B0EAE" w:rsidRPr="00B16D87">
        <w:t>NOC (</w:t>
      </w:r>
      <w:r>
        <w:t xml:space="preserve">Método </w:t>
      </w:r>
      <w:r w:rsidR="006B0EAE" w:rsidRPr="00B16D87">
        <w:t xml:space="preserve">FF1 </w:t>
      </w:r>
      <w:r>
        <w:t>del Informe de la RPC</w:t>
      </w:r>
      <w:r w:rsidR="006B0EAE" w:rsidRPr="00B16D87">
        <w:t xml:space="preserve">) </w:t>
      </w:r>
      <w:r>
        <w:t xml:space="preserve">en la banda </w:t>
      </w:r>
      <w:r w:rsidR="006B0EAE" w:rsidRPr="00B16D87">
        <w:t>14</w:t>
      </w:r>
      <w:r>
        <w:t>,</w:t>
      </w:r>
      <w:r w:rsidR="006B0EAE" w:rsidRPr="00B16D87">
        <w:t>5-14</w:t>
      </w:r>
      <w:r>
        <w:t>,</w:t>
      </w:r>
      <w:r w:rsidR="006B0EAE" w:rsidRPr="00B16D87">
        <w:t>8 GHz.</w:t>
      </w:r>
    </w:p>
    <w:p w:rsidR="00363A65" w:rsidRPr="00B16D87" w:rsidRDefault="00B8728F" w:rsidP="00B16D87">
      <w:pPr>
        <w:pStyle w:val="Headingb"/>
        <w:rPr>
          <w:lang w:eastAsia="ko-KR"/>
        </w:rPr>
      </w:pPr>
      <w:r>
        <w:rPr>
          <w:lang w:eastAsia="ko-KR"/>
        </w:rPr>
        <w:t>2</w:t>
      </w:r>
      <w:r>
        <w:rPr>
          <w:lang w:eastAsia="ko-KR"/>
        </w:rPr>
        <w:tab/>
      </w:r>
      <w:r w:rsidR="00DA3705" w:rsidRPr="00B16D87">
        <w:rPr>
          <w:lang w:eastAsia="ko-KR"/>
        </w:rPr>
        <w:t>Propuestas</w:t>
      </w:r>
    </w:p>
    <w:p w:rsidR="00F008F3" w:rsidRPr="00B16D87" w:rsidRDefault="003A2D04" w:rsidP="00B16D87">
      <w:pPr>
        <w:pStyle w:val="ArtNo"/>
      </w:pPr>
      <w:r w:rsidRPr="00B16D87">
        <w:t xml:space="preserve">ARTÍCULO </w:t>
      </w:r>
      <w:r w:rsidRPr="00B16D87">
        <w:rPr>
          <w:rStyle w:val="href"/>
        </w:rPr>
        <w:t>5</w:t>
      </w:r>
    </w:p>
    <w:p w:rsidR="00F008F3" w:rsidRPr="00B16D87" w:rsidRDefault="003A2D04" w:rsidP="00B16D87">
      <w:pPr>
        <w:pStyle w:val="Arttitle"/>
      </w:pPr>
      <w:r w:rsidRPr="00B16D87">
        <w:t>Atribuciones de frecuencia</w:t>
      </w:r>
    </w:p>
    <w:p w:rsidR="00F008F3" w:rsidRPr="00B16D87" w:rsidRDefault="003A2D04" w:rsidP="00B16D87">
      <w:pPr>
        <w:pStyle w:val="Section1"/>
      </w:pPr>
      <w:r w:rsidRPr="00B16D87">
        <w:t>Sección IV – Cuadro de atribución de bandas de frecuencias</w:t>
      </w:r>
      <w:r w:rsidRPr="00B16D87">
        <w:br/>
      </w:r>
      <w:r w:rsidRPr="00B16D87">
        <w:rPr>
          <w:b w:val="0"/>
          <w:bCs/>
        </w:rPr>
        <w:t>(Véase el número</w:t>
      </w:r>
      <w:r w:rsidRPr="00B16D87">
        <w:t xml:space="preserve"> </w:t>
      </w:r>
      <w:r w:rsidRPr="00B16D87">
        <w:rPr>
          <w:rStyle w:val="Artref"/>
        </w:rPr>
        <w:t>2.1</w:t>
      </w:r>
      <w:r w:rsidRPr="00B16D87">
        <w:rPr>
          <w:b w:val="0"/>
          <w:bCs/>
        </w:rPr>
        <w:t>)</w:t>
      </w:r>
      <w:r w:rsidRPr="00B16D87">
        <w:br/>
      </w:r>
    </w:p>
    <w:p w:rsidR="00393AE4" w:rsidRPr="00B16D87" w:rsidRDefault="003A2D04" w:rsidP="00B16D87">
      <w:pPr>
        <w:pStyle w:val="Proposal"/>
      </w:pPr>
      <w:r w:rsidRPr="00B16D87">
        <w:rPr>
          <w:u w:val="single"/>
        </w:rPr>
        <w:t>NOC</w:t>
      </w:r>
      <w:r w:rsidRPr="00B16D87">
        <w:tab/>
        <w:t>IND/107A6A2/1</w:t>
      </w:r>
    </w:p>
    <w:p w:rsidR="00F008F3" w:rsidRPr="00B16D87" w:rsidRDefault="003A2D04" w:rsidP="00B16D87">
      <w:pPr>
        <w:pStyle w:val="Tabletitle"/>
      </w:pPr>
      <w:r w:rsidRPr="00B16D87">
        <w:t>11,7-14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B16D87" w:rsidTr="00A011DC">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head"/>
              <w:spacing w:before="60" w:after="60"/>
              <w:rPr>
                <w:color w:val="000000"/>
              </w:rPr>
            </w:pPr>
            <w:r w:rsidRPr="00B16D87">
              <w:rPr>
                <w:color w:val="000000"/>
              </w:rPr>
              <w:t>Atribución a los servicios</w:t>
            </w:r>
          </w:p>
        </w:tc>
      </w:tr>
      <w:tr w:rsidR="00F008F3" w:rsidRPr="00B16D87" w:rsidTr="00A011DC">
        <w:trPr>
          <w:cantSplit/>
        </w:trPr>
        <w:tc>
          <w:tcPr>
            <w:tcW w:w="3101" w:type="dxa"/>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head"/>
              <w:spacing w:before="60" w:after="60"/>
              <w:rPr>
                <w:color w:val="000000"/>
              </w:rPr>
            </w:pPr>
            <w:r w:rsidRPr="00B16D87">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head"/>
              <w:spacing w:before="60" w:after="60"/>
              <w:rPr>
                <w:color w:val="000000"/>
              </w:rPr>
            </w:pPr>
            <w:r w:rsidRPr="00B16D87">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head"/>
              <w:spacing w:before="60" w:after="60"/>
              <w:rPr>
                <w:color w:val="000000"/>
              </w:rPr>
            </w:pPr>
            <w:r w:rsidRPr="00B16D87">
              <w:rPr>
                <w:color w:val="000000"/>
              </w:rPr>
              <w:t>Región 3</w:t>
            </w:r>
          </w:p>
        </w:tc>
      </w:tr>
      <w:tr w:rsidR="00F008F3" w:rsidRPr="00B16D87" w:rsidTr="00A011DC">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TextS5"/>
              <w:rPr>
                <w:color w:val="000000"/>
              </w:rPr>
            </w:pPr>
            <w:r w:rsidRPr="00B16D87">
              <w:rPr>
                <w:rStyle w:val="Tablefreq"/>
                <w:color w:val="000000"/>
              </w:rPr>
              <w:t>13,25-13,4</w:t>
            </w:r>
            <w:r w:rsidRPr="00B16D87">
              <w:rPr>
                <w:color w:val="000000"/>
              </w:rPr>
              <w:tab/>
              <w:t>EXPLORACIÓN DE LA TIERRA POR SATÉLITE (activo)</w:t>
            </w:r>
          </w:p>
          <w:p w:rsidR="00F008F3" w:rsidRPr="00B16D87" w:rsidRDefault="003A2D04" w:rsidP="00B16D87">
            <w:pPr>
              <w:pStyle w:val="TableTextS5"/>
              <w:rPr>
                <w:color w:val="000000"/>
              </w:rPr>
            </w:pPr>
            <w:r w:rsidRPr="00B16D87">
              <w:rPr>
                <w:color w:val="000000"/>
              </w:rPr>
              <w:tab/>
            </w:r>
            <w:r w:rsidRPr="00B16D87">
              <w:rPr>
                <w:color w:val="000000"/>
              </w:rPr>
              <w:tab/>
            </w:r>
            <w:r w:rsidRPr="00B16D87">
              <w:rPr>
                <w:color w:val="000000"/>
              </w:rPr>
              <w:tab/>
            </w:r>
            <w:r w:rsidRPr="00B16D87">
              <w:rPr>
                <w:color w:val="000000"/>
              </w:rPr>
              <w:tab/>
              <w:t xml:space="preserve">RADIONAVEGACIÓN AERONÁUTICA  </w:t>
            </w:r>
            <w:r w:rsidRPr="00B16D87">
              <w:rPr>
                <w:rStyle w:val="Artref10pt"/>
              </w:rPr>
              <w:t>5.497</w:t>
            </w:r>
          </w:p>
          <w:p w:rsidR="00F008F3" w:rsidRPr="00B16D87" w:rsidRDefault="003A2D04" w:rsidP="00B16D87">
            <w:pPr>
              <w:pStyle w:val="TableTextS5"/>
              <w:rPr>
                <w:color w:val="000000"/>
              </w:rPr>
            </w:pPr>
            <w:r w:rsidRPr="00B16D87">
              <w:rPr>
                <w:color w:val="000000"/>
              </w:rPr>
              <w:tab/>
            </w:r>
            <w:r w:rsidRPr="00B16D87">
              <w:rPr>
                <w:color w:val="000000"/>
              </w:rPr>
              <w:tab/>
            </w:r>
            <w:r w:rsidRPr="00B16D87">
              <w:rPr>
                <w:color w:val="000000"/>
              </w:rPr>
              <w:tab/>
            </w:r>
            <w:r w:rsidRPr="00B16D87">
              <w:rPr>
                <w:color w:val="000000"/>
              </w:rPr>
              <w:tab/>
              <w:t>INVESTIGACIÓN ESPACIAL (activo)</w:t>
            </w:r>
          </w:p>
          <w:p w:rsidR="00F008F3" w:rsidRPr="00B16D87" w:rsidRDefault="003A2D04" w:rsidP="00B16D87">
            <w:pPr>
              <w:pStyle w:val="TableTextS5"/>
              <w:rPr>
                <w:color w:val="000000"/>
              </w:rPr>
            </w:pPr>
            <w:r w:rsidRPr="00B16D87">
              <w:rPr>
                <w:color w:val="000000"/>
              </w:rPr>
              <w:tab/>
            </w:r>
            <w:r w:rsidRPr="00B16D87">
              <w:rPr>
                <w:color w:val="000000"/>
              </w:rPr>
              <w:tab/>
            </w:r>
            <w:r w:rsidRPr="00B16D87">
              <w:rPr>
                <w:color w:val="000000"/>
              </w:rPr>
              <w:tab/>
            </w:r>
            <w:r w:rsidRPr="00B16D87">
              <w:rPr>
                <w:color w:val="000000"/>
              </w:rPr>
              <w:tab/>
            </w:r>
            <w:r w:rsidRPr="00B16D87">
              <w:rPr>
                <w:rStyle w:val="Artref10pt"/>
              </w:rPr>
              <w:t>5.498A</w:t>
            </w:r>
            <w:r w:rsidRPr="00B16D87">
              <w:rPr>
                <w:color w:val="000000"/>
              </w:rPr>
              <w:t xml:space="preserve">  </w:t>
            </w:r>
            <w:r w:rsidRPr="00B16D87">
              <w:rPr>
                <w:rStyle w:val="Artref10pt"/>
              </w:rPr>
              <w:t>5.499</w:t>
            </w:r>
          </w:p>
        </w:tc>
      </w:tr>
    </w:tbl>
    <w:p w:rsidR="00393AE4" w:rsidRPr="00B16D87" w:rsidRDefault="003A2D04" w:rsidP="00275CF1">
      <w:pPr>
        <w:pStyle w:val="Reasons"/>
      </w:pPr>
      <w:r w:rsidRPr="00B16D87">
        <w:rPr>
          <w:b/>
        </w:rPr>
        <w:t>Motivos:</w:t>
      </w:r>
      <w:r w:rsidRPr="00B16D87">
        <w:tab/>
      </w:r>
      <w:r w:rsidR="00275CF1">
        <w:t xml:space="preserve">No modificar la banda </w:t>
      </w:r>
      <w:r w:rsidR="009920E0" w:rsidRPr="00B16D87">
        <w:t>13</w:t>
      </w:r>
      <w:r w:rsidR="00275CF1">
        <w:t>,</w:t>
      </w:r>
      <w:r w:rsidR="009920E0" w:rsidRPr="00B16D87">
        <w:t>25-13</w:t>
      </w:r>
      <w:r w:rsidR="00275CF1">
        <w:t>,</w:t>
      </w:r>
      <w:r w:rsidR="009920E0" w:rsidRPr="00B16D87">
        <w:t xml:space="preserve">4 GHz </w:t>
      </w:r>
      <w:r w:rsidR="00275CF1">
        <w:rPr>
          <w:szCs w:val="24"/>
          <w:lang w:eastAsia="zh-CN"/>
        </w:rPr>
        <w:t>debido a la incompatibilidad con los servicios existentes</w:t>
      </w:r>
      <w:r w:rsidR="009920E0" w:rsidRPr="00B16D87">
        <w:t>.</w:t>
      </w:r>
    </w:p>
    <w:p w:rsidR="00393AE4" w:rsidRPr="00B16D87" w:rsidRDefault="003A2D04" w:rsidP="00B16D87">
      <w:pPr>
        <w:pStyle w:val="Proposal"/>
      </w:pPr>
      <w:r w:rsidRPr="00B16D87">
        <w:rPr>
          <w:u w:val="single"/>
        </w:rPr>
        <w:t>NOC</w:t>
      </w:r>
      <w:r w:rsidRPr="00B16D87">
        <w:tab/>
        <w:t>IND/107A6A2/2</w:t>
      </w:r>
    </w:p>
    <w:p w:rsidR="00F008F3" w:rsidRPr="00B16D87" w:rsidRDefault="003A2D04" w:rsidP="00B16D87">
      <w:pPr>
        <w:pStyle w:val="Tabletitle"/>
      </w:pPr>
      <w:r w:rsidRPr="00B16D87">
        <w:t>14-15,4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B16D87" w:rsidTr="0048257C">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head"/>
              <w:spacing w:before="60" w:after="60"/>
              <w:rPr>
                <w:color w:val="000000"/>
              </w:rPr>
            </w:pPr>
            <w:r w:rsidRPr="00B16D87">
              <w:rPr>
                <w:color w:val="000000"/>
              </w:rPr>
              <w:t>Atribución a los servicios</w:t>
            </w:r>
          </w:p>
        </w:tc>
      </w:tr>
      <w:tr w:rsidR="00F008F3" w:rsidRPr="00B16D87" w:rsidTr="0048257C">
        <w:trPr>
          <w:cantSplit/>
        </w:trPr>
        <w:tc>
          <w:tcPr>
            <w:tcW w:w="3101" w:type="dxa"/>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head"/>
              <w:spacing w:before="60" w:after="60"/>
              <w:rPr>
                <w:color w:val="000000"/>
              </w:rPr>
            </w:pPr>
            <w:r w:rsidRPr="00B16D87">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head"/>
              <w:spacing w:before="60" w:after="60"/>
              <w:rPr>
                <w:color w:val="000000"/>
              </w:rPr>
            </w:pPr>
            <w:r w:rsidRPr="00B16D87">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head"/>
              <w:spacing w:before="60" w:after="60"/>
              <w:rPr>
                <w:color w:val="000000"/>
              </w:rPr>
            </w:pPr>
            <w:r w:rsidRPr="00B16D87">
              <w:rPr>
                <w:color w:val="000000"/>
              </w:rPr>
              <w:t>Región 3</w:t>
            </w:r>
          </w:p>
        </w:tc>
      </w:tr>
      <w:tr w:rsidR="00F008F3" w:rsidRPr="00B16D87" w:rsidTr="0048257C">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TextS5"/>
              <w:spacing w:before="30" w:after="30"/>
              <w:rPr>
                <w:color w:val="000000"/>
              </w:rPr>
            </w:pPr>
            <w:r w:rsidRPr="00B16D87">
              <w:rPr>
                <w:rStyle w:val="Tablefreq"/>
                <w:color w:val="000000"/>
              </w:rPr>
              <w:t>14,5-14,8</w:t>
            </w:r>
            <w:r w:rsidRPr="00B16D87">
              <w:rPr>
                <w:color w:val="000000"/>
              </w:rPr>
              <w:tab/>
              <w:t>FIJO</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t xml:space="preserve">FIJO POR SATÉLITE (Tierra-espacio)  </w:t>
            </w:r>
            <w:r w:rsidRPr="00B16D87">
              <w:rPr>
                <w:rStyle w:val="Artref"/>
                <w:color w:val="000000"/>
              </w:rPr>
              <w:t>5.510</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t>MÓVIL</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t>Investigación espacial</w:t>
            </w:r>
          </w:p>
        </w:tc>
      </w:tr>
      <w:tr w:rsidR="00F008F3" w:rsidRPr="00B16D87" w:rsidTr="0048257C">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TextS5"/>
              <w:spacing w:before="30" w:after="30"/>
              <w:rPr>
                <w:color w:val="000000"/>
              </w:rPr>
            </w:pPr>
            <w:r w:rsidRPr="00B16D87">
              <w:rPr>
                <w:rStyle w:val="Tablefreq"/>
                <w:color w:val="000000"/>
              </w:rPr>
              <w:t>14,8-15,35</w:t>
            </w:r>
            <w:r w:rsidRPr="00B16D87">
              <w:rPr>
                <w:color w:val="000000"/>
              </w:rPr>
              <w:tab/>
              <w:t>FIJO</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t>MÓVIL</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t>Investigación espacial</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r>
            <w:r w:rsidRPr="00B16D87">
              <w:rPr>
                <w:rStyle w:val="Artref"/>
                <w:color w:val="000000"/>
              </w:rPr>
              <w:t>5.339</w:t>
            </w:r>
          </w:p>
        </w:tc>
      </w:tr>
      <w:tr w:rsidR="00F008F3" w:rsidRPr="00B16D87" w:rsidTr="0048257C">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B16D87" w:rsidRDefault="003A2D04" w:rsidP="00B16D87">
            <w:pPr>
              <w:pStyle w:val="TableTextS5"/>
              <w:spacing w:before="30" w:after="30"/>
              <w:rPr>
                <w:color w:val="000000"/>
              </w:rPr>
            </w:pPr>
            <w:r w:rsidRPr="00B16D87">
              <w:rPr>
                <w:rStyle w:val="Tablefreq"/>
                <w:color w:val="000000"/>
              </w:rPr>
              <w:t>15,35-15,4</w:t>
            </w:r>
            <w:r w:rsidRPr="00B16D87">
              <w:rPr>
                <w:color w:val="000000"/>
              </w:rPr>
              <w:tab/>
              <w:t>EXPLORACIÓN DE LA TIERRA POR SATÉLITE (pasivo)</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t>RADIOASTRONOMÍA</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t>INVESTIGACIÓN ESPACIAL (pasivo)</w:t>
            </w:r>
          </w:p>
          <w:p w:rsidR="00F008F3" w:rsidRPr="00B16D87" w:rsidRDefault="003A2D04" w:rsidP="00B16D87">
            <w:pPr>
              <w:pStyle w:val="TableTextS5"/>
              <w:spacing w:before="30" w:after="30"/>
              <w:rPr>
                <w:color w:val="000000"/>
              </w:rPr>
            </w:pPr>
            <w:r w:rsidRPr="00B16D87">
              <w:rPr>
                <w:color w:val="000000"/>
              </w:rPr>
              <w:tab/>
            </w:r>
            <w:r w:rsidRPr="00B16D87">
              <w:rPr>
                <w:color w:val="000000"/>
              </w:rPr>
              <w:tab/>
            </w:r>
            <w:r w:rsidRPr="00B16D87">
              <w:rPr>
                <w:color w:val="000000"/>
              </w:rPr>
              <w:tab/>
            </w:r>
            <w:r w:rsidRPr="00B16D87">
              <w:rPr>
                <w:color w:val="000000"/>
              </w:rPr>
              <w:tab/>
            </w:r>
            <w:r w:rsidRPr="00B16D87">
              <w:rPr>
                <w:rStyle w:val="Artref"/>
                <w:color w:val="000000"/>
              </w:rPr>
              <w:t>5.340</w:t>
            </w:r>
            <w:r w:rsidRPr="00B16D87">
              <w:rPr>
                <w:color w:val="000000"/>
              </w:rPr>
              <w:t xml:space="preserve">  </w:t>
            </w:r>
            <w:r w:rsidRPr="00B16D87">
              <w:rPr>
                <w:rStyle w:val="Artref"/>
                <w:color w:val="000000"/>
              </w:rPr>
              <w:t>5.511</w:t>
            </w:r>
          </w:p>
        </w:tc>
      </w:tr>
    </w:tbl>
    <w:p w:rsidR="00393AE4" w:rsidRPr="00B16D87" w:rsidRDefault="003A2D04" w:rsidP="00275CF1">
      <w:pPr>
        <w:pStyle w:val="Reasons"/>
      </w:pPr>
      <w:r w:rsidRPr="00B16D87">
        <w:rPr>
          <w:b/>
        </w:rPr>
        <w:t>Motivos:</w:t>
      </w:r>
      <w:r w:rsidRPr="00B16D87">
        <w:tab/>
      </w:r>
      <w:r w:rsidR="00275CF1">
        <w:t xml:space="preserve">No modificar la banda </w:t>
      </w:r>
      <w:r w:rsidR="000C5D8A" w:rsidRPr="00B16D87">
        <w:t>14</w:t>
      </w:r>
      <w:r w:rsidR="00275CF1">
        <w:t>,</w:t>
      </w:r>
      <w:r w:rsidR="000C5D8A" w:rsidRPr="00B16D87">
        <w:t>5-14</w:t>
      </w:r>
      <w:r w:rsidR="00275CF1">
        <w:t>,</w:t>
      </w:r>
      <w:r w:rsidR="000C5D8A" w:rsidRPr="00B16D87">
        <w:t xml:space="preserve">8 GHz </w:t>
      </w:r>
      <w:r w:rsidR="00275CF1">
        <w:t xml:space="preserve">a fin de garantizar la protección del Plan del SRS con arreglo al </w:t>
      </w:r>
      <w:r w:rsidR="000C5D8A" w:rsidRPr="00B16D87">
        <w:t xml:space="preserve">AP30A </w:t>
      </w:r>
      <w:r w:rsidR="00275CF1">
        <w:t xml:space="preserve">en esta </w:t>
      </w:r>
      <w:r w:rsidR="000C5D8A" w:rsidRPr="00B16D87">
        <w:t>band</w:t>
      </w:r>
      <w:r w:rsidR="0074769A">
        <w:t>a</w:t>
      </w:r>
      <w:r w:rsidR="000C5D8A" w:rsidRPr="00B16D87">
        <w:t xml:space="preserve">. </w:t>
      </w:r>
      <w:r w:rsidR="00275CF1">
        <w:t xml:space="preserve">No modificar la banda </w:t>
      </w:r>
      <w:r w:rsidR="000C5D8A" w:rsidRPr="00B16D87">
        <w:t>14</w:t>
      </w:r>
      <w:r w:rsidR="00275CF1">
        <w:t>,</w:t>
      </w:r>
      <w:r w:rsidR="000C5D8A" w:rsidRPr="00B16D87">
        <w:t>8-15</w:t>
      </w:r>
      <w:r w:rsidR="00275CF1">
        <w:t>,</w:t>
      </w:r>
      <w:r w:rsidR="000C5D8A" w:rsidRPr="00B16D87">
        <w:t>4</w:t>
      </w:r>
      <w:r w:rsidR="00275CF1">
        <w:t xml:space="preserve"> </w:t>
      </w:r>
      <w:r w:rsidR="000C5D8A" w:rsidRPr="00B16D87">
        <w:t xml:space="preserve">GHz </w:t>
      </w:r>
      <w:r w:rsidR="00275CF1">
        <w:rPr>
          <w:szCs w:val="24"/>
          <w:lang w:eastAsia="zh-CN"/>
        </w:rPr>
        <w:t>debido a la incompatibilidad con los servicios existentes</w:t>
      </w:r>
      <w:r w:rsidR="000C5D8A" w:rsidRPr="00B16D87">
        <w:t>.</w:t>
      </w:r>
    </w:p>
    <w:p w:rsidR="00393AE4" w:rsidRPr="00B16D87" w:rsidRDefault="003A2D04" w:rsidP="00B16D87">
      <w:pPr>
        <w:pStyle w:val="Proposal"/>
      </w:pPr>
      <w:r w:rsidRPr="00B16D87">
        <w:lastRenderedPageBreak/>
        <w:t>SUP</w:t>
      </w:r>
      <w:r w:rsidRPr="00B16D87">
        <w:tab/>
        <w:t>IND/107A6A2/3</w:t>
      </w:r>
    </w:p>
    <w:p w:rsidR="006F3D41" w:rsidRPr="00B16D87" w:rsidRDefault="003A2D04" w:rsidP="00B16D87">
      <w:pPr>
        <w:pStyle w:val="ResNo"/>
      </w:pPr>
      <w:bookmarkStart w:id="7" w:name="_Toc328141305"/>
      <w:r w:rsidRPr="00B16D87">
        <w:t xml:space="preserve">RESOLUCIÓN </w:t>
      </w:r>
      <w:r w:rsidRPr="00B16D87">
        <w:rPr>
          <w:rStyle w:val="href"/>
        </w:rPr>
        <w:t>152</w:t>
      </w:r>
      <w:r w:rsidRPr="00B16D87">
        <w:t xml:space="preserve"> (cmr-12)</w:t>
      </w:r>
      <w:bookmarkEnd w:id="7"/>
    </w:p>
    <w:p w:rsidR="006F3D41" w:rsidRPr="00B16D87" w:rsidRDefault="003A2D04" w:rsidP="00B16D87">
      <w:pPr>
        <w:pStyle w:val="Restitle"/>
      </w:pPr>
      <w:bookmarkStart w:id="8" w:name="_Toc328141306"/>
      <w:r w:rsidRPr="00B16D87">
        <w:t xml:space="preserve">Atribuciones adicionales a título primario al servicio fijo por satélite </w:t>
      </w:r>
      <w:r w:rsidRPr="00B16D87">
        <w:br/>
        <w:t xml:space="preserve">en el sentido Tierra-espacio en las bandas de frecuencias comprendidas </w:t>
      </w:r>
      <w:r w:rsidRPr="00B16D87">
        <w:br/>
        <w:t>entre 13 y 17 GHz en las Regiones 2 y 3</w:t>
      </w:r>
      <w:bookmarkEnd w:id="8"/>
    </w:p>
    <w:p w:rsidR="00393AE4" w:rsidRPr="00B16D87" w:rsidRDefault="003A2D04" w:rsidP="00275CF1">
      <w:pPr>
        <w:pStyle w:val="Reasons"/>
      </w:pPr>
      <w:r w:rsidRPr="00B16D87">
        <w:rPr>
          <w:b/>
        </w:rPr>
        <w:t>Motivos:</w:t>
      </w:r>
      <w:r w:rsidRPr="00B16D87">
        <w:tab/>
      </w:r>
      <w:r w:rsidR="00275CF1">
        <w:t>Los estudios solicitados en este punto del orden del día ya se han finalizado</w:t>
      </w:r>
      <w:r w:rsidR="004D5C43" w:rsidRPr="00B16D87">
        <w:t>.</w:t>
      </w:r>
    </w:p>
    <w:p w:rsidR="004D5C43" w:rsidRPr="00B16D87" w:rsidRDefault="004D5C43" w:rsidP="00B16D87">
      <w:pPr>
        <w:pStyle w:val="Reasons"/>
      </w:pPr>
    </w:p>
    <w:p w:rsidR="004D5C43" w:rsidRPr="00B16D87" w:rsidRDefault="004D5C43" w:rsidP="00B16D87">
      <w:pPr>
        <w:jc w:val="center"/>
      </w:pPr>
      <w:r w:rsidRPr="00B16D87">
        <w:t>______________</w:t>
      </w:r>
    </w:p>
    <w:p w:rsidR="004D5C43" w:rsidRPr="00B16D87" w:rsidRDefault="004D5C43" w:rsidP="00B16D87">
      <w:pPr>
        <w:pStyle w:val="Reasons"/>
      </w:pPr>
    </w:p>
    <w:sectPr w:rsidR="004D5C43" w:rsidRPr="00B16D87">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B8728F">
      <w:rPr>
        <w:noProof/>
      </w:rPr>
      <w:t>26.10.15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A4" w:rsidRDefault="00355BA4" w:rsidP="00355BA4">
    <w:pPr>
      <w:pStyle w:val="Footer"/>
    </w:pPr>
    <w:fldSimple w:instr=" FILENAME \p  \* MERGEFORMAT ">
      <w:r>
        <w:t>P:\ESP\ITU-R\CONF-R\CMR15\100\107ADD06ADD02S.docx</w:t>
      </w:r>
    </w:fldSimple>
    <w:r>
      <w:t xml:space="preserve"> (388841)</w:t>
    </w:r>
    <w:r>
      <w:tab/>
    </w:r>
    <w:r>
      <w:fldChar w:fldCharType="begin"/>
    </w:r>
    <w:r>
      <w:instrText xml:space="preserve"> SAVEDATE \@ DD.MM.YY </w:instrText>
    </w:r>
    <w:r>
      <w:fldChar w:fldCharType="separate"/>
    </w:r>
    <w:r w:rsidR="00B8728F">
      <w:t>26.10.15</w:t>
    </w:r>
    <w:r>
      <w:fldChar w:fldCharType="end"/>
    </w:r>
    <w: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A4" w:rsidRDefault="009C4028">
    <w:pPr>
      <w:pStyle w:val="Footer"/>
    </w:pPr>
    <w:r>
      <w:fldChar w:fldCharType="begin"/>
    </w:r>
    <w:r>
      <w:instrText xml:space="preserve"> FILENAME \p  \* MERGEFORMAT </w:instrText>
    </w:r>
    <w:r>
      <w:fldChar w:fldCharType="separate"/>
    </w:r>
    <w:r w:rsidR="00355BA4">
      <w:t>P:\ESP\ITU-R\CONF-R\CMR15\100\107ADD06ADD02S.docx</w:t>
    </w:r>
    <w:r>
      <w:fldChar w:fldCharType="end"/>
    </w:r>
    <w:r w:rsidR="00355BA4">
      <w:t xml:space="preserve"> (388841)</w:t>
    </w:r>
    <w:r w:rsidR="00355BA4">
      <w:tab/>
    </w:r>
    <w:r w:rsidR="00355BA4">
      <w:fldChar w:fldCharType="begin"/>
    </w:r>
    <w:r w:rsidR="00355BA4">
      <w:instrText xml:space="preserve"> SAVEDATE \@ DD.MM.YY </w:instrText>
    </w:r>
    <w:r w:rsidR="00355BA4">
      <w:fldChar w:fldCharType="separate"/>
    </w:r>
    <w:r w:rsidR="00B8728F">
      <w:t>26.10.15</w:t>
    </w:r>
    <w:r w:rsidR="00355BA4">
      <w:fldChar w:fldCharType="end"/>
    </w:r>
    <w:r w:rsidR="00355BA4">
      <w:tab/>
    </w:r>
    <w:r w:rsidR="00355BA4">
      <w:fldChar w:fldCharType="begin"/>
    </w:r>
    <w:r w:rsidR="00355BA4">
      <w:instrText xml:space="preserve"> PRINTDATE \@ DD.MM.YY </w:instrText>
    </w:r>
    <w:r w:rsidR="00355BA4">
      <w:fldChar w:fldCharType="separate"/>
    </w:r>
    <w:r w:rsidR="00355BA4">
      <w:t>19.02.03</w:t>
    </w:r>
    <w:r w:rsidR="00355BA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C4028">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107(Add.6)(Add.2)-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3698C"/>
    <w:rsid w:val="00087AE8"/>
    <w:rsid w:val="000A5B9A"/>
    <w:rsid w:val="000C5D8A"/>
    <w:rsid w:val="000E5BF9"/>
    <w:rsid w:val="000F0E6D"/>
    <w:rsid w:val="00121170"/>
    <w:rsid w:val="00123CC5"/>
    <w:rsid w:val="00147F84"/>
    <w:rsid w:val="0015142D"/>
    <w:rsid w:val="001616DC"/>
    <w:rsid w:val="00163962"/>
    <w:rsid w:val="001673D0"/>
    <w:rsid w:val="0017453A"/>
    <w:rsid w:val="00191A97"/>
    <w:rsid w:val="001A083F"/>
    <w:rsid w:val="001C41FA"/>
    <w:rsid w:val="001E2B52"/>
    <w:rsid w:val="001E3F27"/>
    <w:rsid w:val="00236D2A"/>
    <w:rsid w:val="00252975"/>
    <w:rsid w:val="00255F12"/>
    <w:rsid w:val="00262C09"/>
    <w:rsid w:val="00275CF1"/>
    <w:rsid w:val="002A61F5"/>
    <w:rsid w:val="002A791F"/>
    <w:rsid w:val="002C1B26"/>
    <w:rsid w:val="002C5D6C"/>
    <w:rsid w:val="002E701F"/>
    <w:rsid w:val="003248A9"/>
    <w:rsid w:val="00324FFA"/>
    <w:rsid w:val="0032680B"/>
    <w:rsid w:val="00355BA4"/>
    <w:rsid w:val="00363A65"/>
    <w:rsid w:val="003919DA"/>
    <w:rsid w:val="00393AE4"/>
    <w:rsid w:val="003A2D04"/>
    <w:rsid w:val="003B1E8C"/>
    <w:rsid w:val="003C2508"/>
    <w:rsid w:val="003D0AA3"/>
    <w:rsid w:val="004273E9"/>
    <w:rsid w:val="00440B3A"/>
    <w:rsid w:val="0045384C"/>
    <w:rsid w:val="00454553"/>
    <w:rsid w:val="0049181C"/>
    <w:rsid w:val="004B124A"/>
    <w:rsid w:val="004D5C43"/>
    <w:rsid w:val="004E541F"/>
    <w:rsid w:val="005133B5"/>
    <w:rsid w:val="00532097"/>
    <w:rsid w:val="0058350F"/>
    <w:rsid w:val="00583C7E"/>
    <w:rsid w:val="005D46FB"/>
    <w:rsid w:val="005F2605"/>
    <w:rsid w:val="005F3B0E"/>
    <w:rsid w:val="005F50C3"/>
    <w:rsid w:val="005F559C"/>
    <w:rsid w:val="00662BA0"/>
    <w:rsid w:val="00692AAE"/>
    <w:rsid w:val="006B0EAE"/>
    <w:rsid w:val="006D6E67"/>
    <w:rsid w:val="006E1A13"/>
    <w:rsid w:val="00701C20"/>
    <w:rsid w:val="00702F3D"/>
    <w:rsid w:val="0070518E"/>
    <w:rsid w:val="007354E9"/>
    <w:rsid w:val="0074769A"/>
    <w:rsid w:val="00765578"/>
    <w:rsid w:val="0077084A"/>
    <w:rsid w:val="007952C7"/>
    <w:rsid w:val="007C0B95"/>
    <w:rsid w:val="007C2317"/>
    <w:rsid w:val="007D330A"/>
    <w:rsid w:val="007D7010"/>
    <w:rsid w:val="007F5BAE"/>
    <w:rsid w:val="00866AE6"/>
    <w:rsid w:val="008750A8"/>
    <w:rsid w:val="00885FCF"/>
    <w:rsid w:val="008E5AF2"/>
    <w:rsid w:val="0090121B"/>
    <w:rsid w:val="009144C9"/>
    <w:rsid w:val="00922170"/>
    <w:rsid w:val="0094091F"/>
    <w:rsid w:val="00973754"/>
    <w:rsid w:val="009920E0"/>
    <w:rsid w:val="009A70B4"/>
    <w:rsid w:val="009C0BED"/>
    <w:rsid w:val="009C4028"/>
    <w:rsid w:val="009E11EC"/>
    <w:rsid w:val="00A118DB"/>
    <w:rsid w:val="00A337C0"/>
    <w:rsid w:val="00A4450C"/>
    <w:rsid w:val="00A47A7B"/>
    <w:rsid w:val="00AA5E6C"/>
    <w:rsid w:val="00AE5677"/>
    <w:rsid w:val="00AE658F"/>
    <w:rsid w:val="00AF2F78"/>
    <w:rsid w:val="00AF72E3"/>
    <w:rsid w:val="00B16D87"/>
    <w:rsid w:val="00B239FA"/>
    <w:rsid w:val="00B52D55"/>
    <w:rsid w:val="00B8288C"/>
    <w:rsid w:val="00B8728F"/>
    <w:rsid w:val="00BE2E80"/>
    <w:rsid w:val="00BE5EDD"/>
    <w:rsid w:val="00BE6A1F"/>
    <w:rsid w:val="00C126C4"/>
    <w:rsid w:val="00C20251"/>
    <w:rsid w:val="00C63EB5"/>
    <w:rsid w:val="00C94619"/>
    <w:rsid w:val="00CC01E0"/>
    <w:rsid w:val="00CD5FEE"/>
    <w:rsid w:val="00CE60D2"/>
    <w:rsid w:val="00CE7431"/>
    <w:rsid w:val="00D0288A"/>
    <w:rsid w:val="00D72A5D"/>
    <w:rsid w:val="00DA3705"/>
    <w:rsid w:val="00DC629B"/>
    <w:rsid w:val="00E05BFF"/>
    <w:rsid w:val="00E262F1"/>
    <w:rsid w:val="00E3176A"/>
    <w:rsid w:val="00E54754"/>
    <w:rsid w:val="00E56BD3"/>
    <w:rsid w:val="00E71D14"/>
    <w:rsid w:val="00F57E5E"/>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B21C4A3-CDA7-46F2-9B75-4B0F367F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customStyle="1" w:styleId="Normalaftertitle0">
    <w:name w:val="Normal_after_title"/>
    <w:basedOn w:val="Normal"/>
    <w:next w:val="Normal"/>
    <w:rsid w:val="00786F85"/>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R15-WRC15-C-0107!A6-A2!MSW-S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E86D4A35-7A36-46D4-B093-8FAD22CF55D2}">
  <ds:schemaRef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2006/metadata/properties"/>
    <ds:schemaRef ds:uri="996b2e75-67fd-4955-a3b0-5ab9934cb50b"/>
    <ds:schemaRef ds:uri="http://schemas.microsoft.com/office/infopath/2007/PartnerControls"/>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1E0907-8598-4814-8411-2B88B834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R15-WRC15-C-0107!A6-A2!MSW-S</vt:lpstr>
    </vt:vector>
  </TitlesOfParts>
  <Manager>Secretaría General - Pool</Manager>
  <Company>Unión Internacional de Telecomunicaciones (UIT)</Company>
  <LinksUpToDate>false</LinksUpToDate>
  <CharactersWithSpaces>4091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R15-WRC15-C-0107!A6-A2!MSW-S</dc:title>
  <dc:subject>Conferencia Mundial de Radiocomunicaciones - 2015</dc:subject>
  <dc:creator>Documents Proposals Manager (DPM)</dc:creator>
  <cp:keywords>DPM_v5.2015.10.230_prod</cp:keywords>
  <dc:description/>
  <cp:lastModifiedBy>Spanish</cp:lastModifiedBy>
  <cp:revision>11</cp:revision>
  <cp:lastPrinted>2003-02-19T20:20:00Z</cp:lastPrinted>
  <dcterms:created xsi:type="dcterms:W3CDTF">2015-10-26T12:37:00Z</dcterms:created>
  <dcterms:modified xsi:type="dcterms:W3CDTF">2015-10-28T07:36:00Z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