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5E3A53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 w:cs="Traditional Arabic"/>
                <w:b/>
                <w:sz w:val="20"/>
              </w:rPr>
              <w:t xml:space="preserve"> 107(Add.6)</w:t>
            </w:r>
            <w:r w:rsidR="005E3A53">
              <w:rPr>
                <w:rFonts w:ascii="Verdana" w:hAnsi="Verdana" w:cs="Traditional Arabic"/>
                <w:b/>
                <w:sz w:val="20"/>
              </w:rPr>
              <w:t>(Add.2)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Pr="00FD23FE" w:rsidRDefault="008221A4" w:rsidP="008221A4">
            <w:pPr>
              <w:pStyle w:val="Source"/>
              <w:rPr>
                <w:lang w:val="en-US"/>
              </w:rPr>
            </w:pPr>
            <w:bookmarkStart w:id="4" w:name="dsource" w:colFirst="0" w:colLast="0"/>
            <w:proofErr w:type="spellStart"/>
            <w:r w:rsidRPr="000273B7">
              <w:t>印度（共和国</w:t>
            </w:r>
            <w:proofErr w:type="spellEnd"/>
            <w:r w:rsidRPr="000273B7">
              <w:t>）</w:t>
            </w:r>
            <w:bookmarkStart w:id="5" w:name="_GoBack"/>
            <w:bookmarkEnd w:id="5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E86CDE" w:rsidP="008221A4">
            <w:pPr>
              <w:pStyle w:val="Title1"/>
            </w:pPr>
            <w:bookmarkStart w:id="6" w:name="dtitle1" w:colFirst="0" w:colLast="0"/>
            <w:bookmarkEnd w:id="4"/>
            <w:proofErr w:type="spellStart"/>
            <w:r w:rsidRPr="00E86CDE">
              <w:rPr>
                <w:rFonts w:hint="eastAsia"/>
              </w:rPr>
              <w:t>有关大会工作的提案</w:t>
            </w:r>
            <w:proofErr w:type="spellEnd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1.6.2</w:t>
            </w:r>
          </w:p>
        </w:tc>
      </w:tr>
    </w:tbl>
    <w:bookmarkEnd w:id="8"/>
    <w:p w:rsidR="008B60D0" w:rsidRPr="00111152" w:rsidRDefault="00E86CDE" w:rsidP="00E86CDE">
      <w:pPr>
        <w:pStyle w:val="Normalaftertitle0"/>
        <w:rPr>
          <w:lang w:eastAsia="zh-CN"/>
        </w:rPr>
      </w:pPr>
      <w:r w:rsidRPr="00367FB2">
        <w:rPr>
          <w:lang w:eastAsia="zh-CN"/>
        </w:rPr>
        <w:t>1.6</w:t>
      </w:r>
      <w:r w:rsidRPr="00367FB2">
        <w:rPr>
          <w:lang w:eastAsia="zh-CN"/>
        </w:rPr>
        <w:tab/>
      </w:r>
      <w:r>
        <w:rPr>
          <w:rFonts w:hint="eastAsia"/>
          <w:lang w:eastAsia="zh-CN"/>
        </w:rPr>
        <w:t>审议</w:t>
      </w:r>
      <w:r w:rsidRPr="00367FB2">
        <w:rPr>
          <w:rFonts w:hint="eastAsia"/>
          <w:lang w:eastAsia="zh-CN"/>
        </w:rPr>
        <w:t>可能的主要业务附加划分：</w:t>
      </w:r>
    </w:p>
    <w:p w:rsidR="008B60D0" w:rsidRPr="00111152" w:rsidRDefault="00E86CDE" w:rsidP="00ED112B">
      <w:pPr>
        <w:rPr>
          <w:lang w:eastAsia="zh-CN"/>
        </w:rPr>
      </w:pPr>
      <w:r w:rsidRPr="009C33AA">
        <w:rPr>
          <w:lang w:eastAsia="zh-CN"/>
        </w:rPr>
        <w:t>1.6.2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在</w:t>
      </w:r>
      <w:r w:rsidRPr="009C33AA">
        <w:rPr>
          <w:lang w:eastAsia="zh-CN"/>
        </w:rPr>
        <w:t>2</w:t>
      </w:r>
      <w:r w:rsidRPr="009C33AA">
        <w:rPr>
          <w:rFonts w:hint="eastAsia"/>
          <w:lang w:eastAsia="zh-CN"/>
        </w:rPr>
        <w:t>区和</w:t>
      </w:r>
      <w:r w:rsidRPr="009C33AA">
        <w:rPr>
          <w:lang w:eastAsia="zh-CN"/>
        </w:rPr>
        <w:t>3</w:t>
      </w:r>
      <w:r w:rsidRPr="009C33AA">
        <w:rPr>
          <w:rFonts w:hint="eastAsia"/>
          <w:lang w:eastAsia="zh-CN"/>
        </w:rPr>
        <w:t>区的</w:t>
      </w:r>
      <w:r w:rsidRPr="009C33AA">
        <w:rPr>
          <w:lang w:eastAsia="zh-CN"/>
        </w:rPr>
        <w:t>13-17 GHz</w:t>
      </w:r>
      <w:r w:rsidRPr="009C33AA">
        <w:rPr>
          <w:rFonts w:hint="eastAsia"/>
          <w:lang w:eastAsia="zh-CN"/>
        </w:rPr>
        <w:t>范围内为卫星固定业务（地对空）分别增加</w:t>
      </w:r>
      <w:r w:rsidRPr="009C33AA">
        <w:rPr>
          <w:lang w:eastAsia="zh-CN"/>
        </w:rPr>
        <w:t>250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300</w:t>
      </w:r>
      <w:r>
        <w:rPr>
          <w:lang w:eastAsia="zh-CN"/>
        </w:rPr>
        <w:t> </w:t>
      </w:r>
      <w:r w:rsidRPr="009C33AA">
        <w:rPr>
          <w:lang w:eastAsia="zh-CN"/>
        </w:rPr>
        <w:t>MHz</w:t>
      </w:r>
      <w:r w:rsidRPr="009C33AA">
        <w:rPr>
          <w:rFonts w:hint="eastAsia"/>
          <w:lang w:eastAsia="zh-CN"/>
        </w:rPr>
        <w:t>；</w:t>
      </w:r>
    </w:p>
    <w:p w:rsidR="008B60D0" w:rsidRDefault="00E86CDE" w:rsidP="00FE51A2">
      <w:pPr>
        <w:ind w:firstLineChars="200" w:firstLine="480"/>
        <w:rPr>
          <w:rFonts w:ascii="SimSun" w:hAnsi="SimSun" w:cs="SimSun"/>
          <w:lang w:eastAsia="zh-CN"/>
        </w:rPr>
      </w:pPr>
      <w:r>
        <w:rPr>
          <w:rFonts w:ascii="SimSun" w:hAnsi="SimSun" w:cs="SimSun" w:hint="eastAsia"/>
          <w:lang w:eastAsia="zh-CN"/>
        </w:rPr>
        <w:t>并分别根据第</w:t>
      </w:r>
      <w:r>
        <w:rPr>
          <w:rFonts w:eastAsia="MS Mincho"/>
          <w:b/>
          <w:lang w:eastAsia="ja-JP"/>
        </w:rPr>
        <w:t>151</w:t>
      </w:r>
      <w:r>
        <w:rPr>
          <w:rFonts w:ascii="SimSun" w:hAnsi="SimSun" w:cs="SimSun" w:hint="eastAsia"/>
          <w:lang w:eastAsia="zh-CN"/>
        </w:rPr>
        <w:t>号决议</w:t>
      </w:r>
      <w:r>
        <w:rPr>
          <w:rFonts w:ascii="SimSun" w:hAnsi="SimSun" w:cs="SimSun"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ascii="SimSun" w:hAnsi="SimSun" w:cs="SimSun" w:hint="eastAsia"/>
          <w:b/>
          <w:bCs/>
          <w:lang w:eastAsia="zh-CN"/>
        </w:rPr>
        <w:t>）</w:t>
      </w:r>
      <w:r>
        <w:rPr>
          <w:rFonts w:ascii="SimSun" w:hAnsi="SimSun" w:cs="SimSun" w:hint="eastAsia"/>
          <w:lang w:eastAsia="zh-CN"/>
        </w:rPr>
        <w:t>和第</w:t>
      </w:r>
      <w:r>
        <w:rPr>
          <w:rFonts w:eastAsia="MS Mincho"/>
          <w:b/>
          <w:lang w:eastAsia="ja-JP"/>
        </w:rPr>
        <w:t>152</w:t>
      </w:r>
      <w:r>
        <w:rPr>
          <w:rFonts w:ascii="SimSun" w:hAnsi="SimSun" w:cs="SimSun" w:hint="eastAsia"/>
          <w:lang w:eastAsia="zh-CN"/>
        </w:rPr>
        <w:t>号决议</w:t>
      </w:r>
      <w:r>
        <w:rPr>
          <w:rFonts w:ascii="SimSun" w:hAnsi="SimSun" w:cs="SimSun" w:hint="eastAsia"/>
          <w:b/>
          <w:bCs/>
          <w:lang w:eastAsia="zh-CN"/>
        </w:rPr>
        <w:t>（</w:t>
      </w:r>
      <w:r>
        <w:rPr>
          <w:b/>
          <w:bCs/>
          <w:lang w:eastAsia="zh-CN"/>
        </w:rPr>
        <w:t>WRC-12</w:t>
      </w:r>
      <w:r>
        <w:rPr>
          <w:rFonts w:ascii="SimSun" w:hAnsi="SimSun" w:cs="SimSun" w:hint="eastAsia"/>
          <w:b/>
          <w:bCs/>
          <w:lang w:eastAsia="zh-CN"/>
        </w:rPr>
        <w:t>）</w:t>
      </w:r>
      <w:r>
        <w:rPr>
          <w:rFonts w:ascii="SimSun" w:hAnsi="SimSun" w:cs="SimSun" w:hint="eastAsia"/>
          <w:lang w:eastAsia="zh-CN"/>
        </w:rPr>
        <w:t>，并在考虑到</w:t>
      </w:r>
      <w:r>
        <w:rPr>
          <w:lang w:eastAsia="zh-CN"/>
        </w:rPr>
        <w:t>ITU-R</w:t>
      </w:r>
      <w:r>
        <w:rPr>
          <w:rFonts w:ascii="SimSun" w:hAnsi="SimSun" w:cs="SimSun" w:hint="eastAsia"/>
          <w:lang w:eastAsia="zh-CN"/>
        </w:rPr>
        <w:t>研究结果的同时，审议各范围内卫星固定业务现有划分的规则条款；</w:t>
      </w:r>
    </w:p>
    <w:p w:rsidR="00E326B1" w:rsidRPr="00111152" w:rsidRDefault="00E326B1" w:rsidP="001A632B">
      <w:pPr>
        <w:rPr>
          <w:lang w:eastAsia="zh-CN"/>
        </w:rPr>
      </w:pPr>
    </w:p>
    <w:p w:rsidR="00E86CDE" w:rsidRPr="00687F19" w:rsidRDefault="00E326B1" w:rsidP="005E3A53">
      <w:pPr>
        <w:pStyle w:val="Headingb"/>
        <w:rPr>
          <w:lang w:val="en-US" w:eastAsia="ko-KR"/>
        </w:rPr>
      </w:pPr>
      <w:r>
        <w:rPr>
          <w:lang w:val="en-US" w:eastAsia="ko-KR"/>
        </w:rPr>
        <w:t>1</w:t>
      </w:r>
      <w:r w:rsidR="00E86CDE">
        <w:rPr>
          <w:lang w:val="en-US" w:eastAsia="ko-KR"/>
        </w:rPr>
        <w:tab/>
      </w:r>
      <w:r w:rsidR="005E3A53">
        <w:rPr>
          <w:rFonts w:hint="eastAsia"/>
          <w:lang w:val="en-US" w:eastAsia="zh-CN"/>
        </w:rPr>
        <w:t>引言</w:t>
      </w:r>
    </w:p>
    <w:p w:rsidR="005E3A53" w:rsidRDefault="005E3A53" w:rsidP="005E3A53">
      <w:pPr>
        <w:ind w:firstLineChars="200" w:firstLine="480"/>
        <w:rPr>
          <w:lang w:eastAsia="zh-CN"/>
        </w:rPr>
      </w:pPr>
      <w:r>
        <w:rPr>
          <w:rFonts w:hint="eastAsia"/>
          <w:szCs w:val="24"/>
          <w:lang w:val="en-IN" w:eastAsia="zh-CN"/>
        </w:rPr>
        <w:t>由于与现有业务不兼容，印度支持不改动（</w:t>
      </w:r>
      <w:r>
        <w:rPr>
          <w:rFonts w:hint="eastAsia"/>
          <w:szCs w:val="24"/>
          <w:lang w:val="en-IN" w:eastAsia="zh-CN"/>
        </w:rPr>
        <w:t>NOC</w:t>
      </w:r>
      <w:r>
        <w:rPr>
          <w:rFonts w:hint="eastAsia"/>
          <w:szCs w:val="24"/>
          <w:lang w:val="en-IN" w:eastAsia="zh-CN"/>
        </w:rPr>
        <w:t>）</w:t>
      </w:r>
      <w:r>
        <w:rPr>
          <w:lang w:eastAsia="ko-KR"/>
        </w:rPr>
        <w:t>13.25-13.4</w:t>
      </w:r>
      <w:r>
        <w:rPr>
          <w:rFonts w:hint="eastAsia"/>
          <w:lang w:eastAsia="zh-CN"/>
        </w:rPr>
        <w:t xml:space="preserve"> </w:t>
      </w:r>
      <w:r>
        <w:rPr>
          <w:lang w:eastAsia="ko-KR"/>
        </w:rPr>
        <w:t>GHz</w:t>
      </w:r>
      <w:r>
        <w:rPr>
          <w:rFonts w:hint="eastAsia"/>
          <w:lang w:eastAsia="zh-CN"/>
        </w:rPr>
        <w:t>和</w:t>
      </w:r>
      <w:r>
        <w:rPr>
          <w:lang w:eastAsia="ko-KR"/>
        </w:rPr>
        <w:t>14.8</w:t>
      </w:r>
      <w:r w:rsidRPr="001C43EF">
        <w:rPr>
          <w:lang w:eastAsia="ko-KR"/>
        </w:rPr>
        <w:t>-17</w:t>
      </w:r>
      <w:r>
        <w:rPr>
          <w:rFonts w:hint="eastAsia"/>
          <w:lang w:eastAsia="zh-CN"/>
        </w:rPr>
        <w:t xml:space="preserve"> </w:t>
      </w:r>
      <w:r w:rsidRPr="001C43EF">
        <w:rPr>
          <w:lang w:eastAsia="ko-KR"/>
        </w:rPr>
        <w:t>GHz</w:t>
      </w:r>
      <w:r>
        <w:rPr>
          <w:rFonts w:hint="eastAsia"/>
          <w:lang w:eastAsia="zh-CN"/>
        </w:rPr>
        <w:t>频段的方法。</w:t>
      </w:r>
    </w:p>
    <w:p w:rsidR="005E3A53" w:rsidRPr="005E3A53" w:rsidRDefault="005E3A53" w:rsidP="00484483">
      <w:pPr>
        <w:ind w:firstLineChars="200" w:firstLine="480"/>
        <w:rPr>
          <w:lang w:eastAsia="ko-KR"/>
        </w:rPr>
      </w:pPr>
      <w:r>
        <w:rPr>
          <w:rFonts w:hint="eastAsia"/>
          <w:lang w:eastAsia="zh-CN"/>
        </w:rPr>
        <w:t>由于目前</w:t>
      </w:r>
      <w:r w:rsidR="00484483">
        <w:rPr>
          <w:rFonts w:hint="eastAsia"/>
          <w:lang w:eastAsia="zh-CN"/>
        </w:rPr>
        <w:t>对</w:t>
      </w:r>
      <w:r w:rsidR="000A1EFB">
        <w:rPr>
          <w:rFonts w:hint="eastAsia"/>
          <w:szCs w:val="24"/>
          <w:lang w:val="en-IN" w:eastAsia="zh-CN"/>
        </w:rPr>
        <w:t>附录</w:t>
      </w:r>
      <w:r>
        <w:rPr>
          <w:rFonts w:hint="eastAsia"/>
          <w:lang w:eastAsia="zh-CN"/>
        </w:rPr>
        <w:t>30A</w:t>
      </w:r>
      <w:r w:rsidR="00484483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BSS</w:t>
      </w:r>
      <w:r>
        <w:rPr>
          <w:rFonts w:hint="eastAsia"/>
          <w:lang w:eastAsia="zh-CN"/>
        </w:rPr>
        <w:t>规划馈线链路所做的划分，印度不支持对划分给</w:t>
      </w:r>
      <w:r>
        <w:rPr>
          <w:rFonts w:hint="eastAsia"/>
          <w:lang w:eastAsia="zh-CN"/>
        </w:rPr>
        <w:t>FSS</w:t>
      </w:r>
      <w:r>
        <w:rPr>
          <w:rFonts w:hint="eastAsia"/>
          <w:lang w:eastAsia="zh-CN"/>
        </w:rPr>
        <w:t>的</w:t>
      </w:r>
      <w:r>
        <w:rPr>
          <w:lang w:eastAsia="ko-KR"/>
        </w:rPr>
        <w:t>14.5-14.8 GHz</w:t>
      </w:r>
      <w:r>
        <w:rPr>
          <w:rFonts w:hint="eastAsia"/>
          <w:lang w:eastAsia="zh-CN"/>
        </w:rPr>
        <w:t>频段的现状做出改变。</w:t>
      </w:r>
    </w:p>
    <w:p w:rsidR="00E86CDE" w:rsidRDefault="005E3A53" w:rsidP="00484483">
      <w:pPr>
        <w:ind w:firstLineChars="200" w:firstLine="480"/>
        <w:rPr>
          <w:lang w:eastAsia="zh-CN"/>
        </w:rPr>
      </w:pPr>
      <w:r>
        <w:rPr>
          <w:rFonts w:hint="eastAsia"/>
          <w:szCs w:val="24"/>
          <w:lang w:val="en-IN" w:eastAsia="zh-CN"/>
        </w:rPr>
        <w:t>提交</w:t>
      </w:r>
      <w:r>
        <w:rPr>
          <w:rFonts w:hint="eastAsia"/>
          <w:szCs w:val="24"/>
          <w:lang w:val="en-IN" w:eastAsia="zh-CN"/>
        </w:rPr>
        <w:t>WRC-15</w:t>
      </w:r>
      <w:r>
        <w:rPr>
          <w:rFonts w:hint="eastAsia"/>
          <w:szCs w:val="24"/>
          <w:lang w:val="en-IN" w:eastAsia="zh-CN"/>
        </w:rPr>
        <w:t>的</w:t>
      </w:r>
      <w:r w:rsidR="00E86CDE">
        <w:rPr>
          <w:szCs w:val="24"/>
          <w:lang w:val="en-IN" w:eastAsia="zh-CN"/>
        </w:rPr>
        <w:t>CPM</w:t>
      </w:r>
      <w:r>
        <w:rPr>
          <w:rFonts w:hint="eastAsia"/>
          <w:szCs w:val="24"/>
          <w:lang w:val="en-IN" w:eastAsia="zh-CN"/>
        </w:rPr>
        <w:t>报告说明了</w:t>
      </w:r>
      <w:r>
        <w:rPr>
          <w:szCs w:val="24"/>
          <w:lang w:val="en-IN" w:eastAsia="zh-CN"/>
        </w:rPr>
        <w:t>14.5-14.8 GHz</w:t>
      </w:r>
      <w:r>
        <w:rPr>
          <w:rFonts w:hint="eastAsia"/>
          <w:szCs w:val="24"/>
          <w:lang w:val="en-IN" w:eastAsia="zh-CN"/>
        </w:rPr>
        <w:t>频段拟议非规划</w:t>
      </w:r>
      <w:r>
        <w:rPr>
          <w:rFonts w:hint="eastAsia"/>
          <w:szCs w:val="24"/>
          <w:lang w:val="en-IN" w:eastAsia="zh-CN"/>
        </w:rPr>
        <w:t>FSS</w:t>
      </w:r>
      <w:r>
        <w:rPr>
          <w:rFonts w:hint="eastAsia"/>
          <w:szCs w:val="24"/>
          <w:lang w:val="en-IN" w:eastAsia="zh-CN"/>
        </w:rPr>
        <w:t>上行链路与</w:t>
      </w:r>
      <w:r w:rsidR="000A1EFB">
        <w:rPr>
          <w:rFonts w:hint="eastAsia"/>
          <w:szCs w:val="24"/>
          <w:lang w:val="en-IN" w:eastAsia="zh-CN"/>
        </w:rPr>
        <w:t>附录</w:t>
      </w:r>
      <w:r>
        <w:rPr>
          <w:rFonts w:hint="eastAsia"/>
          <w:szCs w:val="24"/>
          <w:lang w:val="en-IN" w:eastAsia="zh-CN"/>
        </w:rPr>
        <w:t>30A</w:t>
      </w:r>
      <w:r w:rsidR="000A1EFB">
        <w:rPr>
          <w:rFonts w:hint="eastAsia"/>
          <w:szCs w:val="24"/>
          <w:lang w:val="en-IN" w:eastAsia="zh-CN"/>
        </w:rPr>
        <w:t>规划划分之间的共用非常困难。报告还说，为实施任何经过同意的保护附录</w:t>
      </w:r>
      <w:r w:rsidR="000A1EFB">
        <w:rPr>
          <w:rFonts w:hint="eastAsia"/>
          <w:szCs w:val="24"/>
          <w:lang w:val="en-IN" w:eastAsia="zh-CN"/>
        </w:rPr>
        <w:t>30A</w:t>
      </w:r>
      <w:r w:rsidR="000A1EFB">
        <w:rPr>
          <w:rFonts w:hint="eastAsia"/>
          <w:szCs w:val="24"/>
          <w:lang w:val="en-IN" w:eastAsia="zh-CN"/>
        </w:rPr>
        <w:t>规划和列表指配的标准，均需制定适当的规则程序和计算方法。</w:t>
      </w:r>
      <w:r w:rsidR="00E86CDE">
        <w:rPr>
          <w:rFonts w:hint="eastAsia"/>
          <w:lang w:eastAsia="zh-CN"/>
        </w:rPr>
        <w:t>按照保留的最后程序，可要求对无线电通信局的软件进行修改。为确定适当的标准，</w:t>
      </w:r>
      <w:r w:rsidR="000A1EFB">
        <w:rPr>
          <w:rFonts w:hint="eastAsia"/>
          <w:lang w:eastAsia="zh-CN"/>
        </w:rPr>
        <w:t>对新</w:t>
      </w:r>
      <w:r w:rsidR="00E86CDE">
        <w:rPr>
          <w:lang w:eastAsia="zh-CN"/>
        </w:rPr>
        <w:t>FSS</w:t>
      </w:r>
      <w:r w:rsidR="00E86CDE">
        <w:rPr>
          <w:rFonts w:hint="eastAsia"/>
          <w:lang w:eastAsia="zh-CN"/>
        </w:rPr>
        <w:t>系统累积效应</w:t>
      </w:r>
      <w:r w:rsidR="000A1EFB">
        <w:rPr>
          <w:rFonts w:hint="eastAsia"/>
          <w:lang w:eastAsia="zh-CN"/>
        </w:rPr>
        <w:t>的</w:t>
      </w:r>
      <w:r w:rsidR="00E86CDE">
        <w:rPr>
          <w:rFonts w:hint="eastAsia"/>
          <w:lang w:eastAsia="zh-CN"/>
        </w:rPr>
        <w:t>干扰仿真</w:t>
      </w:r>
      <w:r w:rsidR="000A1EFB">
        <w:rPr>
          <w:rFonts w:hint="eastAsia"/>
          <w:lang w:eastAsia="zh-CN"/>
        </w:rPr>
        <w:t>必须</w:t>
      </w:r>
      <w:r w:rsidR="00E86CDE">
        <w:rPr>
          <w:rFonts w:hint="eastAsia"/>
          <w:lang w:eastAsia="zh-CN"/>
        </w:rPr>
        <w:t>表明，</w:t>
      </w:r>
      <w:r w:rsidR="000A1EFB">
        <w:rPr>
          <w:rFonts w:hint="eastAsia"/>
          <w:lang w:eastAsia="zh-CN"/>
        </w:rPr>
        <w:t>确保</w:t>
      </w:r>
      <w:r w:rsidR="00E86CDE">
        <w:rPr>
          <w:rFonts w:hint="eastAsia"/>
          <w:lang w:val="en-US" w:eastAsia="zh-CN"/>
        </w:rPr>
        <w:t>附录</w:t>
      </w:r>
      <w:r w:rsidR="00E86CDE" w:rsidRPr="007D1768">
        <w:rPr>
          <w:bCs/>
          <w:lang w:eastAsia="zh-CN"/>
        </w:rPr>
        <w:t>30A</w:t>
      </w:r>
      <w:r w:rsidR="00E86CDE">
        <w:rPr>
          <w:rFonts w:hint="eastAsia"/>
          <w:lang w:eastAsia="zh-CN"/>
        </w:rPr>
        <w:t>规划</w:t>
      </w:r>
      <w:r w:rsidR="000A1EFB">
        <w:rPr>
          <w:rFonts w:hint="eastAsia"/>
          <w:lang w:eastAsia="zh-CN"/>
        </w:rPr>
        <w:t>将</w:t>
      </w:r>
      <w:r w:rsidR="00E86CDE">
        <w:rPr>
          <w:rFonts w:hint="eastAsia"/>
          <w:lang w:eastAsia="zh-CN"/>
        </w:rPr>
        <w:t>得到与</w:t>
      </w:r>
      <w:r w:rsidR="00E86CDE">
        <w:rPr>
          <w:rFonts w:hint="eastAsia"/>
          <w:lang w:val="en-US" w:eastAsia="zh-CN"/>
        </w:rPr>
        <w:t>《无线电规则》中</w:t>
      </w:r>
      <w:r w:rsidR="00E86CDE">
        <w:rPr>
          <w:lang w:val="en-US" w:eastAsia="zh-CN"/>
        </w:rPr>
        <w:t>EPM</w:t>
      </w:r>
      <w:r w:rsidR="00E86CDE">
        <w:rPr>
          <w:rFonts w:hint="eastAsia"/>
          <w:lang w:val="en-US" w:eastAsia="zh-CN"/>
        </w:rPr>
        <w:t>标准</w:t>
      </w:r>
      <w:r w:rsidR="000A1EFB">
        <w:rPr>
          <w:rFonts w:hint="eastAsia"/>
          <w:lang w:val="en-US" w:eastAsia="zh-CN"/>
        </w:rPr>
        <w:t>以及</w:t>
      </w:r>
      <w:r w:rsidR="00484483">
        <w:rPr>
          <w:rFonts w:hint="eastAsia"/>
          <w:lang w:val="en-US" w:eastAsia="zh-CN"/>
        </w:rPr>
        <w:t>规划和列表指配的</w:t>
      </w:r>
      <w:r w:rsidR="00484483">
        <w:rPr>
          <w:lang w:val="en-US" w:eastAsia="zh-CN"/>
        </w:rPr>
        <w:t>EPM</w:t>
      </w:r>
      <w:r w:rsidR="00484483">
        <w:rPr>
          <w:rFonts w:hint="eastAsia"/>
          <w:lang w:val="en-US" w:eastAsia="zh-CN"/>
        </w:rPr>
        <w:t>参考状况</w:t>
      </w:r>
      <w:r w:rsidR="000A1EFB">
        <w:rPr>
          <w:rFonts w:hint="eastAsia"/>
          <w:lang w:val="en-US" w:eastAsia="zh-CN"/>
        </w:rPr>
        <w:t>同等</w:t>
      </w:r>
      <w:r w:rsidR="00E86CDE">
        <w:rPr>
          <w:rFonts w:hint="eastAsia"/>
          <w:lang w:val="en-US" w:eastAsia="zh-CN"/>
        </w:rPr>
        <w:t>的保护。使用</w:t>
      </w:r>
      <w:r w:rsidR="00E86CDE">
        <w:rPr>
          <w:lang w:val="en-US" w:eastAsia="zh-CN"/>
        </w:rPr>
        <w:t>EPM</w:t>
      </w:r>
      <w:r w:rsidR="00E86CDE">
        <w:rPr>
          <w:rFonts w:hint="eastAsia"/>
          <w:lang w:val="en-US" w:eastAsia="zh-CN"/>
        </w:rPr>
        <w:t>方式确定受到影响的主管部门的困难之一是，由于</w:t>
      </w:r>
      <w:r w:rsidR="00E86CDE">
        <w:rPr>
          <w:lang w:eastAsia="zh-CN"/>
        </w:rPr>
        <w:t>MSPACE</w:t>
      </w:r>
      <w:r w:rsidR="00E86CDE">
        <w:rPr>
          <w:rFonts w:hint="eastAsia"/>
          <w:lang w:eastAsia="zh-CN"/>
        </w:rPr>
        <w:t>软件的结构及其实施，</w:t>
      </w:r>
      <w:r w:rsidR="00E86CDE">
        <w:rPr>
          <w:lang w:eastAsia="zh-CN"/>
        </w:rPr>
        <w:t>EPM</w:t>
      </w:r>
      <w:r w:rsidR="00E86CDE">
        <w:rPr>
          <w:rFonts w:hint="eastAsia"/>
          <w:lang w:eastAsia="zh-CN"/>
        </w:rPr>
        <w:t>较低的指配无法被确定为受到影响。之前召开的世界无线电通信大会曾经提出过该问题。但尚未找到现实可行的解决方案。</w:t>
      </w:r>
    </w:p>
    <w:p w:rsidR="00484483" w:rsidRDefault="00484483" w:rsidP="000D7AD4">
      <w:pPr>
        <w:keepNext/>
        <w:ind w:firstLineChars="200" w:firstLine="480"/>
        <w:rPr>
          <w:szCs w:val="24"/>
          <w:lang w:val="en-IN" w:eastAsia="zh-CN"/>
        </w:rPr>
      </w:pPr>
      <w:r>
        <w:rPr>
          <w:rFonts w:hint="eastAsia"/>
          <w:lang w:eastAsia="zh-CN"/>
        </w:rPr>
        <w:lastRenderedPageBreak/>
        <w:t>考虑到上述情况，并考虑到保护</w:t>
      </w:r>
      <w:r>
        <w:rPr>
          <w:rFonts w:hint="eastAsia"/>
          <w:szCs w:val="24"/>
          <w:lang w:val="en-IN" w:eastAsia="zh-CN"/>
        </w:rPr>
        <w:t>附录</w:t>
      </w:r>
      <w:r>
        <w:rPr>
          <w:rFonts w:hint="eastAsia"/>
          <w:lang w:eastAsia="zh-CN"/>
        </w:rPr>
        <w:t>30A</w:t>
      </w:r>
      <w:r>
        <w:rPr>
          <w:rFonts w:hint="eastAsia"/>
          <w:lang w:eastAsia="zh-CN"/>
        </w:rPr>
        <w:t>规划的</w:t>
      </w:r>
      <w:r>
        <w:rPr>
          <w:rFonts w:hint="eastAsia"/>
          <w:lang w:eastAsia="zh-CN"/>
        </w:rPr>
        <w:t>BSS</w:t>
      </w:r>
      <w:r>
        <w:rPr>
          <w:rFonts w:hint="eastAsia"/>
          <w:lang w:eastAsia="zh-CN"/>
        </w:rPr>
        <w:t>馈线链路是非常重要的要求，印度支持不改动（</w:t>
      </w:r>
      <w:r>
        <w:rPr>
          <w:rFonts w:hint="eastAsia"/>
          <w:lang w:eastAsia="zh-CN"/>
        </w:rPr>
        <w:t>NOC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14.5-14.8 </w:t>
      </w:r>
      <w:r>
        <w:rPr>
          <w:lang w:eastAsia="ko-KR"/>
        </w:rPr>
        <w:t>GHz</w:t>
      </w:r>
      <w:r>
        <w:rPr>
          <w:rFonts w:hint="eastAsia"/>
          <w:lang w:eastAsia="zh-CN"/>
        </w:rPr>
        <w:t>频段的方法（</w:t>
      </w:r>
      <w:r>
        <w:rPr>
          <w:rFonts w:hint="eastAsia"/>
          <w:lang w:eastAsia="zh-CN"/>
        </w:rPr>
        <w:t>CPM</w:t>
      </w:r>
      <w:r>
        <w:rPr>
          <w:rFonts w:hint="eastAsia"/>
          <w:lang w:eastAsia="zh-CN"/>
        </w:rPr>
        <w:t>报告的方法</w:t>
      </w:r>
      <w:r>
        <w:rPr>
          <w:rFonts w:hint="eastAsia"/>
          <w:lang w:eastAsia="zh-CN"/>
        </w:rPr>
        <w:t>FF1</w:t>
      </w:r>
      <w:r>
        <w:rPr>
          <w:rFonts w:hint="eastAsia"/>
          <w:lang w:eastAsia="zh-CN"/>
        </w:rPr>
        <w:t>）。</w:t>
      </w:r>
    </w:p>
    <w:p w:rsidR="00622560" w:rsidRPr="005E3A53" w:rsidRDefault="00E86CDE" w:rsidP="007F4BC8">
      <w:pPr>
        <w:pStyle w:val="Headingb"/>
        <w:rPr>
          <w:lang w:eastAsia="zh-CN"/>
        </w:rPr>
      </w:pPr>
      <w:r w:rsidRPr="005E3A53">
        <w:rPr>
          <w:lang w:eastAsia="ko-KR"/>
        </w:rPr>
        <w:t>2</w:t>
      </w:r>
      <w:r w:rsidRPr="005E3A53">
        <w:rPr>
          <w:lang w:eastAsia="ko-KR"/>
        </w:rPr>
        <w:tab/>
      </w:r>
      <w:r w:rsidR="005E3A53">
        <w:rPr>
          <w:rFonts w:hint="eastAsia"/>
          <w:lang w:eastAsia="zh-CN"/>
        </w:rPr>
        <w:t>提案</w:t>
      </w:r>
    </w:p>
    <w:p w:rsidR="00DB1CAC" w:rsidRDefault="00E86CDE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E86CDE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E86CDE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  <w:r w:rsidR="00E83978">
        <w:rPr>
          <w:rFonts w:ascii="Times New Roman Bold" w:hAnsi="Times New Roman Bold"/>
          <w:b w:val="0"/>
          <w:sz w:val="20"/>
          <w:lang w:eastAsia="zh-CN"/>
        </w:rPr>
        <w:br/>
      </w:r>
    </w:p>
    <w:p w:rsidR="001C0CD1" w:rsidRDefault="00E86CDE">
      <w:pPr>
        <w:pStyle w:val="Proposal"/>
      </w:pPr>
      <w:r>
        <w:rPr>
          <w:u w:val="single"/>
        </w:rPr>
        <w:t>NOC</w:t>
      </w:r>
      <w:r>
        <w:tab/>
        <w:t>IND/107A6A2/1</w:t>
      </w:r>
    </w:p>
    <w:p w:rsidR="00DB1CAC" w:rsidRDefault="00E86CDE" w:rsidP="00DB1CAC">
      <w:pPr>
        <w:pStyle w:val="Tabletitle"/>
        <w:rPr>
          <w:lang w:eastAsia="zh-CN"/>
        </w:rPr>
      </w:pPr>
      <w:r>
        <w:rPr>
          <w:lang w:eastAsia="zh-CN"/>
        </w:rPr>
        <w:t>11.7-14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E86CDE" w:rsidP="00DE3DED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proofErr w:type="spellStart"/>
            <w:r>
              <w:rPr>
                <w:rFonts w:hint="eastAsia"/>
              </w:rPr>
              <w:t>划分给以下业务</w:t>
            </w:r>
            <w:proofErr w:type="spellEnd"/>
          </w:p>
        </w:tc>
      </w:tr>
      <w:tr w:rsidR="00DB1CAC" w:rsidTr="00690722">
        <w:trPr>
          <w:cantSplit/>
        </w:trPr>
        <w:tc>
          <w:tcPr>
            <w:tcW w:w="3118" w:type="dxa"/>
            <w:tcBorders>
              <w:bottom w:val="single" w:sz="4" w:space="0" w:color="auto"/>
            </w:tcBorders>
          </w:tcPr>
          <w:p w:rsidR="00DB1CAC" w:rsidRDefault="00E86CDE" w:rsidP="00DE3DED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B1CAC" w:rsidRDefault="00E86CDE" w:rsidP="00DE3DED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区</w:t>
            </w:r>
          </w:p>
        </w:tc>
        <w:tc>
          <w:tcPr>
            <w:tcW w:w="3118" w:type="dxa"/>
          </w:tcPr>
          <w:p w:rsidR="00DB1CAC" w:rsidRDefault="00E86CDE" w:rsidP="00DE3DED">
            <w:pPr>
              <w:pStyle w:val="Tablehead"/>
              <w:spacing w:before="40" w:after="40"/>
              <w:rPr>
                <w:color w:val="000000"/>
                <w:lang w:val="en-AU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8B0AA2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8B0AA2">
              <w:rPr>
                <w:rStyle w:val="Tablefreq"/>
                <w:lang w:eastAsia="zh-CN"/>
              </w:rPr>
              <w:t>13.25-13.4</w:t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卫星地球探测</w:t>
            </w:r>
            <w:r w:rsidRPr="008B0AA2">
              <w:rPr>
                <w:lang w:eastAsia="zh-CN"/>
              </w:rPr>
              <w:t>（有源）</w:t>
            </w:r>
          </w:p>
          <w:p w:rsidR="00DB1CAC" w:rsidRPr="008B0AA2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rPr>
                <w:lang w:eastAsia="zh-CN"/>
              </w:rPr>
            </w:pPr>
            <w:r w:rsidRPr="008B0AA2">
              <w:rPr>
                <w:lang w:eastAsia="zh-CN"/>
              </w:rPr>
              <w:tab/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航空无线电导航</w:t>
            </w:r>
            <w:r w:rsidRPr="008B0AA2">
              <w:rPr>
                <w:lang w:eastAsia="zh-CN"/>
              </w:rPr>
              <w:t xml:space="preserve">  5.497</w:t>
            </w:r>
          </w:p>
          <w:p w:rsidR="00DB1CAC" w:rsidRPr="008B0AA2" w:rsidRDefault="00E86CDE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8B0AA2">
              <w:rPr>
                <w:lang w:eastAsia="zh-CN"/>
              </w:rPr>
              <w:tab/>
            </w:r>
            <w:r w:rsidRPr="008B0AA2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空间研究</w:t>
            </w:r>
            <w:r w:rsidRPr="008B0AA2">
              <w:t>（</w:t>
            </w:r>
            <w:proofErr w:type="spellStart"/>
            <w:r w:rsidRPr="008B0AA2">
              <w:t>有源</w:t>
            </w:r>
            <w:proofErr w:type="spellEnd"/>
            <w:r w:rsidRPr="008B0AA2">
              <w:t>）</w:t>
            </w:r>
          </w:p>
          <w:p w:rsidR="00DB1CAC" w:rsidRPr="008B0AA2" w:rsidRDefault="00E86CDE" w:rsidP="00DE3DED">
            <w:pPr>
              <w:pStyle w:val="TableTextS5"/>
              <w:tabs>
                <w:tab w:val="clear" w:pos="3119"/>
                <w:tab w:val="left" w:pos="2977"/>
              </w:tabs>
            </w:pPr>
            <w:r w:rsidRPr="008B0AA2">
              <w:tab/>
            </w:r>
            <w:r w:rsidRPr="008B0AA2">
              <w:tab/>
              <w:t>5.498A  5.499</w:t>
            </w:r>
          </w:p>
        </w:tc>
      </w:tr>
    </w:tbl>
    <w:p w:rsidR="001C0CD1" w:rsidRDefault="00E86CDE" w:rsidP="0048448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84483" w:rsidRPr="00484483">
        <w:rPr>
          <w:rFonts w:hint="eastAsia"/>
          <w:lang w:eastAsia="zh-CN"/>
        </w:rPr>
        <w:t>由于与现有业务不兼容，不改动</w:t>
      </w:r>
      <w:r w:rsidR="00484483" w:rsidRPr="00484483">
        <w:rPr>
          <w:rFonts w:hint="eastAsia"/>
          <w:lang w:eastAsia="zh-CN"/>
        </w:rPr>
        <w:t>13.25-13.4 GHz</w:t>
      </w:r>
      <w:r w:rsidR="00484483" w:rsidRPr="00484483">
        <w:rPr>
          <w:rFonts w:hint="eastAsia"/>
          <w:lang w:eastAsia="zh-CN"/>
        </w:rPr>
        <w:t>频段</w:t>
      </w:r>
      <w:r w:rsidR="00484483">
        <w:rPr>
          <w:rFonts w:hint="eastAsia"/>
          <w:lang w:eastAsia="zh-CN"/>
        </w:rPr>
        <w:t>。</w:t>
      </w:r>
    </w:p>
    <w:p w:rsidR="001C0CD1" w:rsidRDefault="00E86CDE">
      <w:pPr>
        <w:pStyle w:val="Proposal"/>
      </w:pPr>
      <w:r>
        <w:rPr>
          <w:u w:val="single"/>
        </w:rPr>
        <w:t>NOC</w:t>
      </w:r>
      <w:r>
        <w:tab/>
        <w:t>IND/107A6A2/2</w:t>
      </w:r>
    </w:p>
    <w:p w:rsidR="00DB1CAC" w:rsidRDefault="00E86CDE" w:rsidP="00DB1CAC">
      <w:pPr>
        <w:pStyle w:val="Tabletitle"/>
        <w:rPr>
          <w:lang w:eastAsia="zh-CN"/>
        </w:rPr>
      </w:pPr>
      <w:r>
        <w:rPr>
          <w:lang w:eastAsia="zh-CN"/>
        </w:rPr>
        <w:t>14-15.4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E86CDE" w:rsidP="00DE3DED">
            <w:pPr>
              <w:pStyle w:val="Tablehead"/>
              <w:spacing w:line="200" w:lineRule="exact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E86CDE" w:rsidP="00DE3DED">
            <w:pPr>
              <w:pStyle w:val="Tablehead"/>
              <w:spacing w:line="200" w:lineRule="exact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E86CDE" w:rsidP="00DE3DED">
            <w:pPr>
              <w:pStyle w:val="Tablehead"/>
              <w:spacing w:line="200" w:lineRule="exact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E86CDE" w:rsidP="00DE3DED">
            <w:pPr>
              <w:pStyle w:val="Tablehead"/>
              <w:spacing w:line="200" w:lineRule="exact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070A2A">
              <w:rPr>
                <w:rStyle w:val="Tablefreq"/>
                <w:lang w:eastAsia="zh-CN"/>
              </w:rPr>
              <w:t>14.5-14.8</w:t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固定</w:t>
            </w:r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卫星固定</w:t>
            </w:r>
            <w:r w:rsidRPr="00070A2A">
              <w:rPr>
                <w:lang w:eastAsia="zh-CN"/>
              </w:rPr>
              <w:t>（</w:t>
            </w:r>
            <w:r w:rsidRPr="00070A2A">
              <w:rPr>
                <w:rFonts w:hint="eastAsia"/>
                <w:lang w:eastAsia="zh-CN"/>
              </w:rPr>
              <w:t>地</w:t>
            </w:r>
            <w:r w:rsidRPr="00070A2A">
              <w:rPr>
                <w:lang w:eastAsia="zh-CN"/>
              </w:rPr>
              <w:t>对</w:t>
            </w:r>
            <w:r w:rsidRPr="00070A2A">
              <w:rPr>
                <w:rFonts w:hint="eastAsia"/>
                <w:lang w:eastAsia="zh-CN"/>
              </w:rPr>
              <w:t>空</w:t>
            </w:r>
            <w:r w:rsidRPr="00070A2A">
              <w:rPr>
                <w:lang w:eastAsia="zh-CN"/>
              </w:rPr>
              <w:t>）</w:t>
            </w:r>
            <w:r w:rsidRPr="00070A2A">
              <w:rPr>
                <w:lang w:eastAsia="zh-CN"/>
              </w:rPr>
              <w:t xml:space="preserve">  5.510</w:t>
            </w:r>
          </w:p>
          <w:p w:rsidR="00DB1CAC" w:rsidRPr="00261812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移动</w:t>
            </w:r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</w:r>
            <w:proofErr w:type="spellStart"/>
            <w:r w:rsidRPr="00070A2A">
              <w:t>空间研究</w:t>
            </w:r>
            <w:proofErr w:type="spellEnd"/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rPr>
                <w:rStyle w:val="Tablefreq"/>
              </w:rPr>
              <w:t>14.8-15.35</w:t>
            </w:r>
            <w:r w:rsidRPr="00070A2A">
              <w:tab/>
            </w:r>
            <w:r w:rsidRPr="00261812">
              <w:rPr>
                <w:rStyle w:val="capS5"/>
              </w:rPr>
              <w:t>固定</w:t>
            </w:r>
          </w:p>
          <w:p w:rsidR="00DB1CAC" w:rsidRPr="00261812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070A2A">
              <w:tab/>
            </w:r>
            <w:r w:rsidRPr="00070A2A">
              <w:tab/>
            </w:r>
            <w:r w:rsidRPr="00261812">
              <w:rPr>
                <w:rStyle w:val="capS5"/>
              </w:rPr>
              <w:t>移动</w:t>
            </w:r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</w:r>
            <w:proofErr w:type="spellStart"/>
            <w:r w:rsidRPr="00070A2A">
              <w:t>空间研究</w:t>
            </w:r>
            <w:proofErr w:type="spellEnd"/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  <w:t>5.339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lang w:eastAsia="zh-CN"/>
              </w:rPr>
            </w:pPr>
            <w:r w:rsidRPr="00070A2A">
              <w:rPr>
                <w:rStyle w:val="Tablefreq"/>
                <w:lang w:eastAsia="zh-CN"/>
              </w:rPr>
              <w:t>15.35-15.4</w:t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卫星地球探测</w:t>
            </w:r>
            <w:r w:rsidRPr="00070A2A">
              <w:rPr>
                <w:lang w:eastAsia="zh-CN"/>
              </w:rPr>
              <w:t>（无源）</w:t>
            </w:r>
          </w:p>
          <w:p w:rsidR="00DB1CAC" w:rsidRPr="00261812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  <w:rPr>
                <w:rStyle w:val="capS5"/>
              </w:rPr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射电天文</w:t>
            </w:r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rPr>
                <w:lang w:eastAsia="zh-CN"/>
              </w:rPr>
              <w:tab/>
            </w:r>
            <w:r w:rsidRPr="00070A2A">
              <w:rPr>
                <w:lang w:eastAsia="zh-CN"/>
              </w:rPr>
              <w:tab/>
            </w:r>
            <w:r w:rsidRPr="00261812">
              <w:rPr>
                <w:rStyle w:val="capS5"/>
              </w:rPr>
              <w:t>空间研究</w:t>
            </w:r>
            <w:r w:rsidRPr="00070A2A">
              <w:t>（</w:t>
            </w:r>
            <w:proofErr w:type="spellStart"/>
            <w:r w:rsidRPr="00070A2A">
              <w:t>无源</w:t>
            </w:r>
            <w:proofErr w:type="spellEnd"/>
            <w:r w:rsidRPr="00070A2A">
              <w:t>）</w:t>
            </w:r>
          </w:p>
          <w:p w:rsidR="00DB1CAC" w:rsidRPr="00070A2A" w:rsidRDefault="00E86CDE" w:rsidP="00DE3DED">
            <w:pPr>
              <w:pStyle w:val="TableTextS5"/>
              <w:tabs>
                <w:tab w:val="clear" w:pos="3119"/>
                <w:tab w:val="left" w:pos="2977"/>
              </w:tabs>
              <w:spacing w:before="20" w:after="10"/>
            </w:pPr>
            <w:r w:rsidRPr="00070A2A">
              <w:tab/>
            </w:r>
            <w:r w:rsidRPr="00070A2A">
              <w:tab/>
              <w:t>5.340  5.511</w:t>
            </w:r>
          </w:p>
        </w:tc>
      </w:tr>
    </w:tbl>
    <w:p w:rsidR="001C0CD1" w:rsidRDefault="00E86CDE" w:rsidP="0048448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84483">
        <w:rPr>
          <w:rFonts w:hint="eastAsia"/>
          <w:lang w:eastAsia="zh-CN"/>
        </w:rPr>
        <w:t>不改动</w:t>
      </w:r>
      <w:r>
        <w:rPr>
          <w:lang w:eastAsia="zh-CN"/>
        </w:rPr>
        <w:t>14.5-14.8 GHz</w:t>
      </w:r>
      <w:r w:rsidR="00484483">
        <w:rPr>
          <w:rFonts w:hint="eastAsia"/>
          <w:lang w:eastAsia="zh-CN"/>
        </w:rPr>
        <w:t>频段，以确保保护该频段上的附录</w:t>
      </w:r>
      <w:r w:rsidR="00484483" w:rsidRPr="00F7014F">
        <w:rPr>
          <w:rFonts w:eastAsia="BatangChe"/>
          <w:szCs w:val="24"/>
          <w:lang w:val="en-US" w:eastAsia="zh-CN"/>
        </w:rPr>
        <w:t>30A</w:t>
      </w:r>
      <w:r w:rsidR="00484483">
        <w:rPr>
          <w:rFonts w:asciiTheme="minorEastAsia" w:eastAsiaTheme="minorEastAsia" w:hAnsiTheme="minorEastAsia" w:hint="eastAsia"/>
          <w:szCs w:val="24"/>
          <w:lang w:val="en-US" w:eastAsia="zh-CN"/>
        </w:rPr>
        <w:t>的</w:t>
      </w:r>
      <w:r w:rsidR="00484483" w:rsidRPr="00F7014F">
        <w:rPr>
          <w:rFonts w:eastAsia="BatangChe"/>
          <w:szCs w:val="24"/>
          <w:lang w:val="en-US" w:eastAsia="zh-CN"/>
        </w:rPr>
        <w:t>BSS</w:t>
      </w:r>
      <w:r w:rsidR="00484483">
        <w:rPr>
          <w:rFonts w:asciiTheme="minorEastAsia" w:eastAsiaTheme="minorEastAsia" w:hAnsiTheme="minorEastAsia" w:hint="eastAsia"/>
          <w:szCs w:val="24"/>
          <w:lang w:val="en-US" w:eastAsia="zh-CN"/>
        </w:rPr>
        <w:t>规划。</w:t>
      </w:r>
      <w:r w:rsidR="00484483" w:rsidRPr="00484483">
        <w:rPr>
          <w:rFonts w:hint="eastAsia"/>
          <w:lang w:eastAsia="zh-CN"/>
        </w:rPr>
        <w:t>由于与现有业务不兼容，不改动</w:t>
      </w:r>
      <w:r w:rsidR="00484483">
        <w:rPr>
          <w:lang w:eastAsia="zh-CN"/>
        </w:rPr>
        <w:t>14.8-15.4</w:t>
      </w:r>
      <w:r w:rsidR="00484483" w:rsidRPr="00484483">
        <w:rPr>
          <w:rFonts w:hint="eastAsia"/>
          <w:lang w:eastAsia="zh-CN"/>
        </w:rPr>
        <w:t xml:space="preserve"> GHz</w:t>
      </w:r>
      <w:r w:rsidR="00484483" w:rsidRPr="00484483">
        <w:rPr>
          <w:rFonts w:hint="eastAsia"/>
          <w:lang w:eastAsia="zh-CN"/>
        </w:rPr>
        <w:t>频段</w:t>
      </w:r>
      <w:r w:rsidR="00484483">
        <w:rPr>
          <w:rFonts w:hint="eastAsia"/>
          <w:lang w:eastAsia="zh-CN"/>
        </w:rPr>
        <w:t>。</w:t>
      </w:r>
    </w:p>
    <w:p w:rsidR="001C0CD1" w:rsidRDefault="00E86CDE">
      <w:pPr>
        <w:pStyle w:val="Proposal"/>
        <w:rPr>
          <w:lang w:eastAsia="zh-CN"/>
        </w:rPr>
      </w:pPr>
      <w:r>
        <w:rPr>
          <w:lang w:eastAsia="zh-CN"/>
        </w:rPr>
        <w:lastRenderedPageBreak/>
        <w:t>SUP</w:t>
      </w:r>
      <w:r>
        <w:rPr>
          <w:lang w:eastAsia="zh-CN"/>
        </w:rPr>
        <w:tab/>
        <w:t>IND/107A6A2/3</w:t>
      </w:r>
    </w:p>
    <w:p w:rsidR="007B4F46" w:rsidRPr="0078315D" w:rsidRDefault="00E86CDE" w:rsidP="00E83978">
      <w:pPr>
        <w:pStyle w:val="ResNo"/>
        <w:rPr>
          <w:lang w:eastAsia="ja-JP"/>
        </w:rPr>
      </w:pPr>
      <w:bookmarkStart w:id="11" w:name="_Toc328053050"/>
      <w:r w:rsidRPr="00510604">
        <w:rPr>
          <w:rFonts w:hint="eastAsia"/>
          <w:lang w:eastAsia="zh-CN"/>
        </w:rPr>
        <w:t>第</w:t>
      </w:r>
      <w:r w:rsidRPr="00501F21">
        <w:rPr>
          <w:rStyle w:val="href"/>
          <w:rFonts w:hint="eastAsia"/>
          <w:lang w:eastAsia="zh-CN"/>
        </w:rPr>
        <w:t>152</w:t>
      </w:r>
      <w:proofErr w:type="spellStart"/>
      <w:r w:rsidRPr="00E83978">
        <w:rPr>
          <w:rFonts w:hint="eastAsia"/>
        </w:rPr>
        <w:t>号决议</w:t>
      </w:r>
      <w:proofErr w:type="spellEnd"/>
      <w:r w:rsidRPr="008B12BD">
        <w:rPr>
          <w:rFonts w:hint="eastAsia"/>
          <w:lang w:eastAsia="zh-CN"/>
        </w:rPr>
        <w:t>（</w:t>
      </w:r>
      <w:r w:rsidRPr="008B12BD">
        <w:rPr>
          <w:lang w:eastAsia="ja-JP"/>
        </w:rPr>
        <w:t>WRC-12</w:t>
      </w:r>
      <w:r w:rsidRPr="008B12BD">
        <w:rPr>
          <w:rFonts w:hint="eastAsia"/>
          <w:lang w:eastAsia="zh-CN"/>
        </w:rPr>
        <w:t>）</w:t>
      </w:r>
      <w:bookmarkEnd w:id="11"/>
    </w:p>
    <w:p w:rsidR="007B4F46" w:rsidRPr="00454B19" w:rsidRDefault="00E86CDE" w:rsidP="007B4F46">
      <w:pPr>
        <w:pStyle w:val="Restitle"/>
        <w:rPr>
          <w:lang w:val="en-US" w:eastAsia="zh-CN"/>
        </w:rPr>
      </w:pPr>
      <w:bookmarkStart w:id="12" w:name="_Toc328053051"/>
      <w:r>
        <w:rPr>
          <w:rFonts w:hint="eastAsia"/>
          <w:lang w:eastAsia="zh-CN"/>
        </w:rPr>
        <w:t>在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区和</w:t>
      </w: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>区</w:t>
      </w:r>
      <w:r>
        <w:rPr>
          <w:rFonts w:hint="eastAsia"/>
          <w:lang w:eastAsia="zh-CN"/>
        </w:rPr>
        <w:t>13-17 GHz</w:t>
      </w:r>
      <w:r>
        <w:rPr>
          <w:rFonts w:hint="eastAsia"/>
          <w:lang w:eastAsia="zh-CN"/>
        </w:rPr>
        <w:t>频段为地对空方向的</w:t>
      </w:r>
      <w:r>
        <w:rPr>
          <w:lang w:eastAsia="zh-CN"/>
        </w:rPr>
        <w:br/>
      </w:r>
      <w:r>
        <w:rPr>
          <w:rFonts w:hint="eastAsia"/>
          <w:lang w:eastAsia="zh-CN"/>
        </w:rPr>
        <w:t>卫星固定业务增加主要业务划分</w:t>
      </w:r>
      <w:bookmarkEnd w:id="12"/>
    </w:p>
    <w:p w:rsidR="00E86CDE" w:rsidRDefault="00E86CDE" w:rsidP="00484483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84483">
        <w:rPr>
          <w:rFonts w:hint="eastAsia"/>
          <w:lang w:eastAsia="zh-CN"/>
        </w:rPr>
        <w:t>本议项下的研究已完成。</w:t>
      </w:r>
    </w:p>
    <w:p w:rsidR="00280D12" w:rsidRDefault="00280D12" w:rsidP="00484483">
      <w:pPr>
        <w:pStyle w:val="Reasons"/>
        <w:rPr>
          <w:rFonts w:hint="eastAsia"/>
          <w:lang w:eastAsia="zh-CN"/>
        </w:rPr>
      </w:pPr>
    </w:p>
    <w:p w:rsidR="001C0CD1" w:rsidRDefault="00E86CDE" w:rsidP="00E86CDE">
      <w:pPr>
        <w:jc w:val="center"/>
      </w:pPr>
      <w:r>
        <w:t>______________</w:t>
      </w:r>
    </w:p>
    <w:sectPr w:rsidR="001C0CD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1B" w:rsidRDefault="00F24D1B">
      <w:r>
        <w:separator/>
      </w:r>
    </w:p>
  </w:endnote>
  <w:endnote w:type="continuationSeparator" w:id="0">
    <w:p w:rsidR="00F24D1B" w:rsidRDefault="00F2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F146F">
      <w:rPr>
        <w:lang w:val="en-US"/>
      </w:rPr>
      <w:t>P:\CHI\ITU-R\CONF-R\CMR15\100\107ADD06ADD02C.docx</w:t>
    </w:r>
    <w:r>
      <w:fldChar w:fldCharType="end"/>
    </w:r>
    <w:r w:rsidR="00E86CDE">
      <w:t xml:space="preserve"> (388841)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46F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46F"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4F146F">
      <w:rPr>
        <w:lang w:val="en-US"/>
      </w:rPr>
      <w:t>P:\CHI\ITU-R\CONF-R\CMR15\100\107ADD06ADD02C.docx</w:t>
    </w:r>
    <w:r>
      <w:fldChar w:fldCharType="end"/>
    </w:r>
    <w:r w:rsidR="00E86CDE">
      <w:t xml:space="preserve"> (388841)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F146F">
      <w:t>30.10.15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F146F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1B" w:rsidRDefault="00F24D1B">
      <w:r>
        <w:t>____________________</w:t>
      </w:r>
    </w:p>
  </w:footnote>
  <w:footnote w:type="continuationSeparator" w:id="0">
    <w:p w:rsidR="00F24D1B" w:rsidRDefault="00F24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F146F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107(Add.6)(Add.2)-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A1EFB"/>
    <w:rsid w:val="000C09BA"/>
    <w:rsid w:val="000C1F1E"/>
    <w:rsid w:val="000C6AA7"/>
    <w:rsid w:val="000D7AD4"/>
    <w:rsid w:val="000E26F6"/>
    <w:rsid w:val="000F634F"/>
    <w:rsid w:val="00123C07"/>
    <w:rsid w:val="00153363"/>
    <w:rsid w:val="00166859"/>
    <w:rsid w:val="001765EC"/>
    <w:rsid w:val="001853E8"/>
    <w:rsid w:val="001B6360"/>
    <w:rsid w:val="001C0CD1"/>
    <w:rsid w:val="001F4EA6"/>
    <w:rsid w:val="00214959"/>
    <w:rsid w:val="002260A6"/>
    <w:rsid w:val="002742B3"/>
    <w:rsid w:val="00280D12"/>
    <w:rsid w:val="002A4C9C"/>
    <w:rsid w:val="002B509B"/>
    <w:rsid w:val="002D3DC8"/>
    <w:rsid w:val="002E2A59"/>
    <w:rsid w:val="002E4507"/>
    <w:rsid w:val="00305254"/>
    <w:rsid w:val="003169D2"/>
    <w:rsid w:val="00343F97"/>
    <w:rsid w:val="003B4BEF"/>
    <w:rsid w:val="003C6B45"/>
    <w:rsid w:val="0041282E"/>
    <w:rsid w:val="00437869"/>
    <w:rsid w:val="00465A34"/>
    <w:rsid w:val="00484483"/>
    <w:rsid w:val="004A76E3"/>
    <w:rsid w:val="004C4554"/>
    <w:rsid w:val="004D2DEC"/>
    <w:rsid w:val="004E263C"/>
    <w:rsid w:val="004F146F"/>
    <w:rsid w:val="004F2BE6"/>
    <w:rsid w:val="00527E8A"/>
    <w:rsid w:val="00542E85"/>
    <w:rsid w:val="00562479"/>
    <w:rsid w:val="00576849"/>
    <w:rsid w:val="005932DC"/>
    <w:rsid w:val="005A0ACB"/>
    <w:rsid w:val="005E08D2"/>
    <w:rsid w:val="005E3A53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D1768"/>
    <w:rsid w:val="007F0FC5"/>
    <w:rsid w:val="007F4BC8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912959"/>
    <w:rsid w:val="009657F9"/>
    <w:rsid w:val="0099525B"/>
    <w:rsid w:val="009C72B7"/>
    <w:rsid w:val="00A0052C"/>
    <w:rsid w:val="00A31B14"/>
    <w:rsid w:val="00A323DC"/>
    <w:rsid w:val="00A466E6"/>
    <w:rsid w:val="00A815BE"/>
    <w:rsid w:val="00AA5DA1"/>
    <w:rsid w:val="00AE369F"/>
    <w:rsid w:val="00B026CB"/>
    <w:rsid w:val="00B577CA"/>
    <w:rsid w:val="00B711CC"/>
    <w:rsid w:val="00B851D4"/>
    <w:rsid w:val="00B868FC"/>
    <w:rsid w:val="00B95072"/>
    <w:rsid w:val="00BB26CD"/>
    <w:rsid w:val="00C07239"/>
    <w:rsid w:val="00C364B1"/>
    <w:rsid w:val="00C47D87"/>
    <w:rsid w:val="00C627F9"/>
    <w:rsid w:val="00C6584D"/>
    <w:rsid w:val="00C929E0"/>
    <w:rsid w:val="00CB4E5A"/>
    <w:rsid w:val="00CC6715"/>
    <w:rsid w:val="00CC73D7"/>
    <w:rsid w:val="00CF0AD7"/>
    <w:rsid w:val="00CF0BE1"/>
    <w:rsid w:val="00D52A14"/>
    <w:rsid w:val="00D6206A"/>
    <w:rsid w:val="00D74599"/>
    <w:rsid w:val="00DA0469"/>
    <w:rsid w:val="00DD13B7"/>
    <w:rsid w:val="00DF3B0C"/>
    <w:rsid w:val="00E14984"/>
    <w:rsid w:val="00E22A25"/>
    <w:rsid w:val="00E326B1"/>
    <w:rsid w:val="00E560F1"/>
    <w:rsid w:val="00E66886"/>
    <w:rsid w:val="00E83978"/>
    <w:rsid w:val="00E86CDE"/>
    <w:rsid w:val="00E92319"/>
    <w:rsid w:val="00F24D1B"/>
    <w:rsid w:val="00F837F4"/>
    <w:rsid w:val="00FC59C4"/>
    <w:rsid w:val="00FD23FE"/>
    <w:rsid w:val="00FE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9B5273D-7D3B-4B4F-9789-604209FB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R15-WRC15-C-0107!A6-A2!MSW-C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251FE1-4729-49AA-904A-0CBED24F34E1}">
  <ds:schemaRefs>
    <ds:schemaRef ds:uri="http://purl.org/dc/terms/"/>
    <ds:schemaRef ds:uri="996b2e75-67fd-4955-a3b0-5ab9934cb50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862</Words>
  <Characters>1223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R15-WRC15-C-0107!A6-A2!MSW-C</vt:lpstr>
    </vt:vector>
  </TitlesOfParts>
  <Manager>General Secretariat - Pool</Manager>
  <Company>International Telecommunication Union (ITU)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R15-WRC15-C-0107!A6-A2!MSW-C</dc:title>
  <dc:subject>World Radiocommunication Conference - 2015</dc:subject>
  <dc:creator>Documents Proposals Manager (DPM)</dc:creator>
  <cp:keywords>DPM_v5.2015.10.230_prod</cp:keywords>
  <dc:description/>
  <cp:lastModifiedBy>Xu, Hui</cp:lastModifiedBy>
  <cp:revision>21</cp:revision>
  <cp:lastPrinted>2015-10-30T16:34:00Z</cp:lastPrinted>
  <dcterms:created xsi:type="dcterms:W3CDTF">2015-10-30T15:21:00Z</dcterms:created>
  <dcterms:modified xsi:type="dcterms:W3CDTF">2015-10-30T16:35:00Z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